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November 4, 2003)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9"/>
          <w:szCs w:val="19"/>
          <w:b w:val="1"/>
          <w:bCs w:val="1"/>
          <w:color w:val="auto"/>
        </w:rPr>
        <w:t>Filed Pursuant to Rule 424(b)(3)</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333-108730</w:t>
      </w:r>
    </w:p>
    <w:p>
      <w:pPr>
        <w:spacing w:after="0" w:line="101" w:lineRule="exact"/>
        <w:rPr>
          <w:sz w:val="24"/>
          <w:szCs w:val="24"/>
          <w:color w:val="auto"/>
        </w:rPr>
      </w:pPr>
    </w:p>
    <w:p>
      <w:pPr>
        <w:sectPr>
          <w:pgSz w:w="11900" w:h="16838" w:orient="portrait"/>
          <w:cols w:equalWidth="0" w:num="2">
            <w:col w:w="7720" w:space="720"/>
            <w:col w:w="2980"/>
          </w:cols>
          <w:pgMar w:left="240" w:top="220" w:right="239" w:bottom="1440" w:gutter="0" w:footer="0" w:header="0"/>
        </w:sectPr>
      </w:pPr>
    </w:p>
    <w:p>
      <w:pPr>
        <w:jc w:val="center"/>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1.500% Series A Convertible Debentures due June 1, 2023</w:t>
      </w:r>
    </w:p>
    <w:p>
      <w:pPr>
        <w:jc w:val="center"/>
        <w:spacing w:after="0" w:line="230" w:lineRule="auto"/>
        <w:rPr>
          <w:sz w:val="20"/>
          <w:szCs w:val="20"/>
          <w:color w:val="auto"/>
        </w:rPr>
      </w:pPr>
      <w:r>
        <w:rPr>
          <w:rFonts w:ascii="Arial" w:cs="Arial" w:eastAsia="Arial" w:hAnsi="Arial"/>
          <w:sz w:val="22"/>
          <w:szCs w:val="22"/>
          <w:b w:val="1"/>
          <w:bCs w:val="1"/>
          <w:color w:val="auto"/>
        </w:rPr>
        <w:t>2.125% Series B Convertible Debentures due June 1, 2023</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document supplements the prospectus of Schlumberger Limited dated November 4, 2003 relating to the 1.500% Series A Convertible Debentures due June 1, 2023, the 2.125% Series B Convertible Debentures due June 1, 2023 and the shares of common stock issuable upon conversion of the debentures. The information in this prospectus supplement replaces and supersedes the information set forth under the heading “Selling Securityholders” in the prospectus dated November 4, 2003 and in all prior prospectus supplements to that prospectus.</w:t>
      </w:r>
    </w:p>
    <w:p>
      <w:pPr>
        <w:spacing w:after="0" w:line="99" w:lineRule="exact"/>
        <w:rPr>
          <w:sz w:val="24"/>
          <w:szCs w:val="24"/>
          <w:color w:val="auto"/>
        </w:rPr>
      </w:pPr>
    </w:p>
    <w:p>
      <w:pPr>
        <w:ind w:right="38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November 20, 2003, the closing sale price of our common stock as reported on the New York Stock Exchange was $46.46 per share.</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debentures and our common stock involves risks. See “Risk Factors” beginning on page 6 of the prospectus.</w:t>
      </w:r>
    </w:p>
    <w:p>
      <w:pPr>
        <w:spacing w:after="0" w:line="15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November 21, 2003.</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SECURITYHOLDERS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supplement and the accompanying prospectus, any or all of the debentures listed below and our common stock issued upon conversion of the debentures. When we refer to “selling securityholders” in this prospectus supplement and the accompanying prospectus, we mean those persons listed in the table below, as well as pledges, donees, assignees, transferees, successors and others who later hold any of the selling securityholders’ interests.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supplement and the accompanying prospectus. Unless set forth below, none of the selling securityholders has, or within the past three years has had, any material relationship with us or any of our predecessors or affiliates.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supplement and the accompanying prospectus or otherwise in transactions exempt from the registration requirements of the Securities Act. Please read “Plan of Distribution” in the accompanying prospectus.</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27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2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7.9</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442,500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31,250(2)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118,750(3)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3,150,000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43,550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37,013,000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8.2</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462,662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45,738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38,500,000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532,281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w w:val="98"/>
              </w:rPr>
              <w:t>Argent Classic Convertible Arbitrage (Bermuda)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10,200,000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2.0</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256,020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128,142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LLC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107,025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29,900,000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3.2</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594,632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Arlington County Employees’ Retirement System</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6,221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Arpeggio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12,050,000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150,625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Asset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6,497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Associated Electric &amp; Gas Insurance Services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Atticus Global Advisors,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158,993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Banca Del Gottardo Lugano</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Barclays Global Investors Diversified Alpha Plus Funds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3,725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BBT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&amp; Co. Inc.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2,830,000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39,126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Offshore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1,580,000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21,844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1,110,000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15,346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California State Auto Association Inter-Insurance</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7"/>
              </w:rPr>
              <w:t>California State Auto Association Retirement Pension Plan</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26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Series B</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Percentage</w:t>
            </w:r>
          </w:p>
        </w:tc>
        <w:tc>
          <w:tcPr>
            <w:tcW w:w="13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Owned</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of Series B</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That May</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Debentures</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8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6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5"/>
                <w:szCs w:val="15"/>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Be Sold</w:t>
            </w: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2,073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960,000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Income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270,000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414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Citigroup Global Markets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97,063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580,000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CQS Convertible &amp; Quantatitive Strategies Master Fund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187,500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41,476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CSV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2,400,000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7,788,000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107,672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9,633,000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133,181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4,223,500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58,391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DBAG London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14,900,000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330,999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Deephaven Domestic Convertible Trading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8,874,000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7,772,000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219,837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 of Zeneca AG Product Holdings,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3,871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6,912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Deutsche Asset Management Investmentgesellschaft Funds TRT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6,912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967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Dodeca Fund I,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6,359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8,287,000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114,571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Duke Endowment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2,972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DWS Investment GmbH</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1,480,000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Excellus Health Plan,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3,750,000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51,845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Fidelity Financial Trust: Fidelity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80,000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Fulcrum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765,000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2,738,000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34,225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1,005,000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12,500,000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172,818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7,400,000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169,922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1,541,000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19,262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GenCorp Foundation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705,000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6,400,000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Market Neutral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51,000,000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11.3</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637,500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Goldman Sachs &amp; Co. Profit Sharing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3,179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Hamburger Pensionskasse von 1905 VvaG</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6,428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0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4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HFR CA Global Select Master Trust Account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HFR CA Select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11,060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796,392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245,167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JMG Capital Partners,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41,250,000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4.2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776,551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32,750,000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1,190,515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10,092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KBC Financial Products USA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4,838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Fixed Income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829</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Lehman Brothers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LLT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255,000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Lyxor/Forest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98,862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Zola Fund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Lyxor/AM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Lyxor/Gaia II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43,958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M.H. Davidson &amp; Co.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355,500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73,125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Marathon Global Convertible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McMahan Securities Co.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13,162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1,750,000</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6,912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14,516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Merrill Lynch, Pierce, Fenner &amp; Smith,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166,191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Mint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MVI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7,327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4,095,000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56,615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NGSC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NMS Services (Cayman)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256,342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414,765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594,781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OZ Convertible Master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3,038,000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42,001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OZ MAC 13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OZ Master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36,742,000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507,976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3,318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gridSpan w:val="3"/>
          </w:tcPr>
          <w:p>
            <w:pPr>
              <w:spacing w:after="0"/>
              <w:rPr>
                <w:sz w:val="20"/>
                <w:szCs w:val="20"/>
                <w:color w:val="auto"/>
              </w:rPr>
            </w:pPr>
            <w:r>
              <w:rPr>
                <w:rFonts w:ascii="Arial" w:cs="Arial" w:eastAsia="Arial" w:hAnsi="Arial"/>
                <w:sz w:val="14"/>
                <w:szCs w:val="14"/>
                <w:color w:val="auto"/>
              </w:rPr>
              <w:t>Partner Reinsurance Company, Ltd.—International</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125,000</w:t>
            </w:r>
          </w:p>
        </w:tc>
        <w:tc>
          <w:tcPr>
            <w:tcW w:w="17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1,728</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2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18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Potlach</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11,125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Quattro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RBC Alternative Assets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Relay 11 Holdings Co.</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2,400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Rhapsody Fund,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4.4</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250,000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San Diego County Employee Retirement Association</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1,800,000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24,885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Satellite Convertible Arbitrage Master Fund,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193,557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75,302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69,127(4)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1,225,000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16,936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126,000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3,342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76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116,000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3"/>
              </w:rPr>
              <w:t>State Employees’ Retirement Fund of the State of Delaware—</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International</w:t>
            </w:r>
          </w:p>
        </w:tc>
        <w:tc>
          <w:tcPr>
            <w:tcW w:w="1500" w:type="dxa"/>
            <w:vAlign w:val="bottom"/>
            <w:gridSpan w:val="3"/>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2,965,000</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40,992</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4,555,000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103,287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 Thomas Trading,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9,150,000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114,375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SunAmerica Value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2,846,000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35,575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Teachers Insurance and Annuity Association of America</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27,500,000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380,201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1,030,000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14,240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The Northwestern Mutual Life Insurance Company</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138,255(5)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10,369(6)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Topanga XI</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55,548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31,562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AG London Branch</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UBS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1,859,000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23,237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HealthCare</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University of Massachusetts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Victory Convertible Securities Fund Investment Company</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16,250,000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224,664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Securities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3,089,000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38,612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942,000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13,023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4,463,000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61,703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White River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Windmill Master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235,033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Worldwide Transactions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303,000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4,189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13,750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31,798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color w:val="auto"/>
              </w:rPr>
              <w:t>Zazove Convertible Arbitrage Fund L.P.</w:t>
            </w:r>
          </w:p>
        </w:tc>
        <w:tc>
          <w:tcPr>
            <w:tcW w:w="1500" w:type="dxa"/>
            <w:vAlign w:val="bottom"/>
            <w:gridSpan w:val="3"/>
          </w:tcPr>
          <w:p>
            <w:pPr>
              <w:jc w:val="right"/>
              <w:ind w:right="540"/>
              <w:spacing w:after="0"/>
              <w:rPr>
                <w:sz w:val="20"/>
                <w:szCs w:val="20"/>
                <w:color w:val="auto"/>
              </w:rPr>
            </w:pPr>
            <w:r>
              <w:rPr>
                <w:rFonts w:ascii="Arial" w:cs="Arial" w:eastAsia="Arial" w:hAnsi="Arial"/>
                <w:sz w:val="14"/>
                <w:szCs w:val="14"/>
                <w:color w:val="auto"/>
              </w:rPr>
              <w:t>6,500,000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5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89,865</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26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Series B</w:t>
            </w: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52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58,067</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Zazove Income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Zola Partners,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Management c/o Quattro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2,300,000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28,750</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00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7" w:lineRule="exact"/>
        <w:rPr>
          <w:sz w:val="20"/>
          <w:szCs w:val="20"/>
          <w:color w:val="auto"/>
        </w:rPr>
      </w:pPr>
    </w:p>
    <w:p>
      <w:pPr>
        <w:ind w:left="460" w:hanging="36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6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pursuant to Rule 13d-3(d)(i) of the Exchange Act using 585,444,115 shares of common stock outstanding as of September 30, 2003.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2019-12-11T19:31:50Z</dcterms:created>
  <dcterms:modified xsi:type="dcterms:W3CDTF">2019-12-11T19:31:50Z</dcterms:modified>
</cp:coreProperties>
</file>