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24,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r>
        <w:rPr>
          <w:rFonts w:ascii="Arial" w:cs="Arial" w:eastAsia="Arial" w:hAnsi="Arial"/>
          <w:sz w:val="16"/>
          <w:szCs w:val="16"/>
          <w:b w:val="1"/>
          <w:bCs w:val="1"/>
          <w:color w:val="auto"/>
        </w:rPr>
        <w: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24, 2014, Paal Kibsgaard, Chief Executive Officer of Schlumberger Limited (“Schlumberger”), addressed the oil and gas investment community at the 42</w:t>
      </w:r>
      <w:r>
        <w:rPr>
          <w:rFonts w:ascii="Arial" w:cs="Arial" w:eastAsia="Arial" w:hAnsi="Arial"/>
          <w:sz w:val="15"/>
          <w:szCs w:val="15"/>
          <w:color w:val="auto"/>
        </w:rPr>
        <w:t>nd</w:t>
      </w:r>
      <w:r>
        <w:rPr>
          <w:rFonts w:ascii="Arial" w:cs="Arial" w:eastAsia="Arial" w:hAnsi="Arial"/>
          <w:sz w:val="18"/>
          <w:szCs w:val="18"/>
          <w:color w:val="auto"/>
        </w:rPr>
        <w:t xml:space="preserve"> Annual Howard Weil Energy Conference in New Orleans, Louisiana to discuss, among other things, Schlumberger’s business outlook for 2014. The presentation and slides are available on the Schlumberger Investor Relations website at http://investorcenter.slb.com/phoenix.zhtml? c=97513&amp;p=irol-presentations.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117"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color w:val="auto"/>
        </w:rPr>
        <w:t>The attached presentation contains “forward-looking statements” within the meaning of the U.S. federal securities laws. Forward-looking statements often contain words such as “will,” “believe,” “expect,” “should,” “estimate,” “project,” “target,” “anticipate,” “guidance,” “confident” and similar terms. Such statements may relate to, among other things, our forecasts or expectations regarding business outlook, including growth in revenue, operating margins and earnings per share; growth for Schlumberger as a whole and for each of its segments (and for specified products or geographic areas within each segment); Schlumberger’s transformation initiatives; oil and natural gas demand and production growth; oil and natural gas prices; Schlumberger’s stock repurchase program; Schlumberger’s dividend plans; market share; technology leadership;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uncertainty and volatility; changes in exploration and production spending by Schlumberger’s customers and changes in the level of oil and natural gas exploration and development; general economic, political and business conditions in key regions of the world, including any effects of sanctions; the inability of Schlumberger’s transformation initiatives to achieve expected results; integration of acquired businesses; the realization of expected synergies from acquisitions; pricing erosion; weather and seasonal factors; operational delays; the inability to respond to increased activity levels;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production; and other risks and uncertainties detailed in our Forms 10-K, 10-Q, and 8-K filed with or furnished to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attached presentation, and Schlumberger disclaims any intention or obligation to update publicly or revise such statements, whether as a result of new information, future events or otherwise.</w:t>
      </w:r>
    </w:p>
    <w:p>
      <w:pPr>
        <w:sectPr>
          <w:pgSz w:w="11900" w:h="16838" w:orient="portrait"/>
          <w:cols w:equalWidth="0" w:num="1">
            <w:col w:w="11340"/>
          </w:cols>
          <w:pgMar w:left="240" w:top="270"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2014</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2019-12-05T13:50:50Z</dcterms:created>
  <dcterms:modified xsi:type="dcterms:W3CDTF">2019-12-05T13:50:50Z</dcterms:modified>
</cp:coreProperties>
</file>