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July 22, 2004, the closing sale price of our common stock as reported on the New York Stock Exchange was $64.26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July 23,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Series A</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Owned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Owned</w:t>
            </w: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That May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That May</w:t>
            </w: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4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Be Sold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0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Outstanding</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35,400,000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7.9</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9,500,000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2.1</w:t>
            </w:r>
          </w:p>
        </w:tc>
        <w:tc>
          <w:tcPr>
            <w:tcW w:w="15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3,150,000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37,013,000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8.2</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38,500,000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(Bermuda)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10,200,000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12,400,000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2.8</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296,020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7,100,000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1.6</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4,595,000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63,528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359,000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29,900,000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14,500,000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3.2</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11,950,000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149,375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Ascend Offshore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5,930,804</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74,135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Ascend Partners Sapient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1,569,196</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19,614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470,000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165,000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15,000,000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298,000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170,000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Beamtenversicherungskasse Des Kantons Zurich</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7,050,000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1.6</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88,125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30,000,000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&amp; Co. Inc.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21,250,000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Bernische Lehrerversicherungskasse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9,625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2,830,000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1,580,000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1,110,000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BRED Banque Populaire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10,000,000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105,000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California State Auto Association Retirement Pension Plan</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color w:val="auto"/>
              </w:rPr>
              <w:t>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rPr>
                <w:sz w:val="20"/>
                <w:szCs w:val="20"/>
                <w:color w:val="auto"/>
              </w:rPr>
            </w:pPr>
            <w:r>
              <w:rPr>
                <w:rFonts w:ascii="Arial" w:cs="Arial" w:eastAsia="Arial" w:hAnsi="Arial"/>
                <w:sz w:val="14"/>
                <w:szCs w:val="14"/>
                <w:color w:val="auto"/>
              </w:rPr>
              <w:t>110,000</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5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Centennier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134,941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960,000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CIBC World Markets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103,976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City of Southfield Fire &amp; Police Retirement System</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350,000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1,700,000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68,256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Clinton Multistrategy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1,275,000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15,937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Clinton Riverside Convertible Portfolio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1,725,000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CNH CA Master Account,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7,250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CQS Convertible &amp; Quantatitive Strategies Master Fund</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Limited</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15,000,000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187,500</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LLC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7,788,000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107,672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9,633,000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133,181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4,223,500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58,391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8,874,000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7,772,000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1.7</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219,837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1,797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6,912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1,244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Deutsche Asset Management Investmentgesellschaft Funds</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TRT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500,000</w:t>
            </w:r>
          </w:p>
        </w:tc>
        <w:tc>
          <w:tcPr>
            <w:tcW w:w="1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6,912</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221,208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967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6,359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8,287,000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114,571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215,000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2,972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1,480,000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51,845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F&amp;C Global Convertible Bond SICAV</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183,000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2,530(4)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9,562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2,738,000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34,225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12,562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172,818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7,400,000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207,251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Gemini Sammelstiftung Zur Forderung Der Personalvorsorge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260,000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6,400,000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51,000,000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11.3</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10,280,000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142,126(5)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gridSpan w:val="3"/>
          </w:tcPr>
          <w:p>
            <w:pPr>
              <w:spacing w:after="0"/>
              <w:rPr>
                <w:sz w:val="20"/>
                <w:szCs w:val="20"/>
                <w:color w:val="auto"/>
              </w:rPr>
            </w:pPr>
            <w:r>
              <w:rPr>
                <w:rFonts w:ascii="Arial" w:cs="Arial" w:eastAsia="Arial" w:hAnsi="Arial"/>
                <w:sz w:val="14"/>
                <w:szCs w:val="14"/>
                <w:color w:val="auto"/>
              </w:rPr>
              <w:t>Hamburger Pensionskasse von 1905 VvaG</w:t>
            </w:r>
          </w:p>
        </w:tc>
        <w:tc>
          <w:tcPr>
            <w:tcW w:w="680" w:type="dxa"/>
            <w:vAlign w:val="bottom"/>
          </w:tcPr>
          <w:p>
            <w:pPr>
              <w:jc w:val="right"/>
              <w:spacing w:after="0"/>
              <w:rPr>
                <w:sz w:val="20"/>
                <w:szCs w:val="20"/>
                <w:color w:val="auto"/>
              </w:rPr>
            </w:pPr>
            <w:r>
              <w:rPr>
                <w:rFonts w:ascii="Arial" w:cs="Arial" w:eastAsia="Arial" w:hAnsi="Arial"/>
                <w:sz w:val="14"/>
                <w:szCs w:val="14"/>
                <w:color w:val="auto"/>
              </w:rPr>
              <w:t>465,000</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6,428</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94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ING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ING VP Convertible Portfolio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Jefferies Umbrella Fund Global Convertible Bonds</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Jefferies Umbrella Fund US Convertible Bonds</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J.P. Morgan Securities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1,512,000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LODH The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52,253</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31,798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204,617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Antalis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EMS-Chemie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EMS-Dottikon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Lonza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2,875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Rockwell Automation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Vantico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1"/>
              </w:rPr>
              <w:t>Shares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Percentage</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2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20" w:type="dxa"/>
            <w:vAlign w:val="bottom"/>
          </w:tcPr>
          <w:p>
            <w:pPr>
              <w:spacing w:after="0"/>
              <w:rPr>
                <w:sz w:val="15"/>
                <w:szCs w:val="15"/>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16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Offered Hereby</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Personalfuersorgestiftung Der Gebaeudeversicherung Des</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Kantons Bern</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350,000</w:t>
            </w:r>
          </w:p>
        </w:tc>
        <w:tc>
          <w:tcPr>
            <w:tcW w:w="178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4,375</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Personalvorsorge Der PV Promea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3,125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Potlach</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890,000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11,125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Professional Liability Ins. Co. of America (aka AICA)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Quattro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15,400,000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3.4</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192,500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Royal Bank of Canada (CI)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S.A.C. Capital Associates,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135,604(6)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30,000,000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414,765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193,557</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75,302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69,127(7)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1,225,000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16,936</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116,000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State Employees’ Retirement Fund of the State of Delaware—</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International</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2,965,000</w:t>
            </w:r>
          </w:p>
        </w:tc>
        <w:tc>
          <w:tcPr>
            <w:tcW w:w="1760" w:type="dxa"/>
            <w:vAlign w:val="bottom"/>
            <w:gridSpan w:val="3"/>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40,992</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4,555,000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3,225,000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103,287</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16,180,000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202,250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35,575</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207,382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165,906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27,500,000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2.8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380,201</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138,255(8)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83,758(9)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55,548</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Tribeca Investments,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17,500,000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241,946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2,903</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31,562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UBS AG London Branch</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138,255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Securities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7,087,000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97,981</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HealthCare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6,312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Universal Investment Gesellschaft MBH, Ref. Aventis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16,250,000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224,664</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942,000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13,023</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4,463,000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61,703</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21,250,000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356,291</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235,033</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303,000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4,189</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35,946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1,675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46,798</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2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6,500,000</w:t>
            </w:r>
          </w:p>
        </w:tc>
        <w:tc>
          <w:tcPr>
            <w:tcW w:w="1780" w:type="dxa"/>
            <w:vAlign w:val="bottom"/>
            <w:gridSpan w:val="3"/>
          </w:tcPr>
          <w:p>
            <w:pPr>
              <w:jc w:val="right"/>
              <w:ind w:right="520"/>
              <w:spacing w:after="0"/>
              <w:rPr>
                <w:sz w:val="20"/>
                <w:szCs w:val="20"/>
                <w:color w:val="auto"/>
              </w:rPr>
            </w:pPr>
            <w:r>
              <w:rPr>
                <w:rFonts w:ascii="Arial" w:cs="Arial" w:eastAsia="Arial" w:hAnsi="Arial"/>
                <w:sz w:val="14"/>
                <w:szCs w:val="14"/>
                <w:color w:val="auto"/>
              </w:rPr>
              <w:t>1.4</w:t>
            </w:r>
          </w:p>
        </w:tc>
        <w:tc>
          <w:tcPr>
            <w:tcW w:w="920" w:type="dxa"/>
            <w:vAlign w:val="bottom"/>
          </w:tcPr>
          <w:p>
            <w:pPr>
              <w:jc w:val="right"/>
              <w:spacing w:after="0"/>
              <w:rPr>
                <w:sz w:val="20"/>
                <w:szCs w:val="20"/>
                <w:color w:val="auto"/>
              </w:rPr>
            </w:pPr>
            <w:r>
              <w:rPr>
                <w:rFonts w:ascii="Arial" w:cs="Arial" w:eastAsia="Arial" w:hAnsi="Arial"/>
                <w:sz w:val="14"/>
                <w:szCs w:val="14"/>
                <w:color w:val="auto"/>
              </w:rPr>
              <w:t>81,250</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54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F&amp;C Global Convertible Bond SICAV also beneficially owns $300,000 of our Series A debentures.</w:t>
      </w:r>
    </w:p>
    <w:p>
      <w:pPr>
        <w:spacing w:after="0" w:line="9"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Goldman, Sachs &amp; Co. also beneficially owns (i) 408,710 shares of our common stock, (ii) options to purchase 1,482,500 shares of our common stock that are exercisable within 60 days of the date of this prospectus supplement and (iii) $3,780,000 of our Series A debentures.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2019-12-13T06:41:57Z</dcterms:created>
  <dcterms:modified xsi:type="dcterms:W3CDTF">2019-12-13T06:41:57Z</dcterms:modified>
</cp:coreProperties>
</file>