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156210</wp:posOffset>
            </wp:positionH>
            <wp:positionV relativeFrom="page">
              <wp:posOffset>156210</wp:posOffset>
            </wp:positionV>
            <wp:extent cx="7248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181610</wp:posOffset>
            </wp:positionV>
            <wp:extent cx="7248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8255"/>
                    </a:xfrm>
                    <a:prstGeom prst="rect">
                      <a:avLst/>
                    </a:prstGeom>
                    <a:noFill/>
                  </pic:spPr>
                </pic:pic>
              </a:graphicData>
            </a:graphic>
          </wp:anchor>
        </w:drawing>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61595</wp:posOffset>
            </wp:positionV>
            <wp:extent cx="1442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73025</wp:posOffset>
            </wp:positionV>
            <wp:extent cx="1442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3" w:lineRule="exact"/>
        <w:rPr>
          <w:sz w:val="24"/>
          <w:szCs w:val="24"/>
          <w:color w:val="auto"/>
        </w:rPr>
      </w:pPr>
    </w:p>
    <w:p>
      <w:pPr>
        <w:ind w:left="520" w:hanging="51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2015</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3" w:lineRule="exact"/>
        <w:rPr>
          <w:sz w:val="24"/>
          <w:szCs w:val="24"/>
          <w:color w:val="auto"/>
        </w:rPr>
      </w:pPr>
    </w:p>
    <w:p>
      <w:pPr>
        <w:ind w:left="520" w:hanging="514"/>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5"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48260</wp:posOffset>
            </wp:positionV>
            <wp:extent cx="1442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Schlumberger N.V.</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(Schlumberger Limited)</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45720</wp:posOffset>
            </wp:positionV>
            <wp:extent cx="1442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02" w:lineRule="exact"/>
        <w:rPr>
          <w:sz w:val="24"/>
          <w:szCs w:val="24"/>
          <w:color w:val="auto"/>
        </w:rPr>
      </w:pPr>
    </w:p>
    <w:tbl>
      <w:tblPr>
        <w:tblLayout w:type="fixed"/>
        <w:tblInd w:w="1320" w:type="dxa"/>
        <w:tblCellMar>
          <w:top w:w="0" w:type="dxa"/>
          <w:left w:w="0" w:type="dxa"/>
          <w:bottom w:w="0" w:type="dxa"/>
          <w:right w:w="0" w:type="dxa"/>
        </w:tblCellMar>
      </w:tblPr>
      <w:tr>
        <w:trPr>
          <w:trHeight w:val="197"/>
        </w:trPr>
        <w:tc>
          <w:tcPr>
            <w:tcW w:w="960" w:type="dxa"/>
            <w:vAlign w:val="bottom"/>
          </w:tcPr>
          <w:p>
            <w:pPr>
              <w:spacing w:after="0"/>
              <w:rPr>
                <w:sz w:val="17"/>
                <w:szCs w:val="17"/>
                <w:color w:val="auto"/>
              </w:rPr>
            </w:pPr>
          </w:p>
        </w:tc>
        <w:tc>
          <w:tcPr>
            <w:tcW w:w="3540" w:type="dxa"/>
            <w:vAlign w:val="bottom"/>
            <w:gridSpan w:val="2"/>
          </w:tcPr>
          <w:p>
            <w:pPr>
              <w:jc w:val="center"/>
              <w:ind w:right="2409"/>
              <w:spacing w:after="0"/>
              <w:rPr>
                <w:sz w:val="20"/>
                <w:szCs w:val="20"/>
                <w:color w:val="auto"/>
              </w:rPr>
            </w:pPr>
            <w:r>
              <w:rPr>
                <w:rFonts w:ascii="Times New Roman" w:cs="Times New Roman" w:eastAsia="Times New Roman" w:hAnsi="Times New Roman"/>
                <w:sz w:val="16"/>
                <w:szCs w:val="16"/>
                <w:b w:val="1"/>
                <w:bCs w:val="1"/>
                <w:color w:val="auto"/>
                <w:w w:val="98"/>
              </w:rPr>
              <w:t>Curaçao</w:t>
            </w:r>
          </w:p>
        </w:tc>
        <w:tc>
          <w:tcPr>
            <w:tcW w:w="3660" w:type="dxa"/>
            <w:vAlign w:val="bottom"/>
            <w:gridSpan w:val="2"/>
          </w:tcPr>
          <w:p>
            <w:pPr>
              <w:jc w:val="center"/>
              <w:ind w:left="1870"/>
              <w:spacing w:after="0"/>
              <w:rPr>
                <w:sz w:val="20"/>
                <w:szCs w:val="20"/>
                <w:color w:val="auto"/>
              </w:rPr>
            </w:pPr>
            <w:r>
              <w:rPr>
                <w:rFonts w:ascii="Times New Roman" w:cs="Times New Roman" w:eastAsia="Times New Roman" w:hAnsi="Times New Roman"/>
                <w:sz w:val="16"/>
                <w:szCs w:val="16"/>
                <w:b w:val="1"/>
                <w:bCs w:val="1"/>
                <w:color w:val="auto"/>
                <w:w w:val="98"/>
              </w:rPr>
              <w:t>52-0684746</w:t>
            </w:r>
          </w:p>
        </w:tc>
        <w:tc>
          <w:tcPr>
            <w:tcW w:w="0" w:type="dxa"/>
            <w:vAlign w:val="bottom"/>
          </w:tcPr>
          <w:p>
            <w:pPr>
              <w:spacing w:after="0"/>
              <w:rPr>
                <w:sz w:val="1"/>
                <w:szCs w:val="1"/>
                <w:color w:val="auto"/>
              </w:rPr>
            </w:pPr>
          </w:p>
        </w:tc>
      </w:tr>
      <w:tr>
        <w:trPr>
          <w:trHeight w:val="160"/>
        </w:trPr>
        <w:tc>
          <w:tcPr>
            <w:tcW w:w="4500" w:type="dxa"/>
            <w:vAlign w:val="bottom"/>
            <w:gridSpan w:val="3"/>
          </w:tcPr>
          <w:p>
            <w:pPr>
              <w:jc w:val="center"/>
              <w:ind w:right="1469"/>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tc>
        <w:tc>
          <w:tcPr>
            <w:tcW w:w="3660" w:type="dxa"/>
            <w:vAlign w:val="bottom"/>
            <w:gridSpan w:val="2"/>
          </w:tcPr>
          <w:p>
            <w:pPr>
              <w:jc w:val="center"/>
              <w:ind w:left="1890"/>
              <w:spacing w:after="0"/>
              <w:rPr>
                <w:sz w:val="20"/>
                <w:szCs w:val="20"/>
                <w:color w:val="auto"/>
              </w:rPr>
            </w:pPr>
            <w:r>
              <w:rPr>
                <w:rFonts w:ascii="Times New Roman" w:cs="Times New Roman" w:eastAsia="Times New Roman" w:hAnsi="Times New Roman"/>
                <w:sz w:val="12"/>
                <w:szCs w:val="12"/>
                <w:color w:val="auto"/>
              </w:rPr>
              <w:t>(IRS Employer Identification No.)</w:t>
            </w:r>
          </w:p>
        </w:tc>
        <w:tc>
          <w:tcPr>
            <w:tcW w:w="0" w:type="dxa"/>
            <w:vAlign w:val="bottom"/>
          </w:tcPr>
          <w:p>
            <w:pPr>
              <w:spacing w:after="0"/>
              <w:rPr>
                <w:sz w:val="1"/>
                <w:szCs w:val="1"/>
                <w:color w:val="auto"/>
              </w:rPr>
            </w:pPr>
          </w:p>
        </w:tc>
      </w:tr>
      <w:tr>
        <w:trPr>
          <w:trHeight w:val="179"/>
        </w:trPr>
        <w:tc>
          <w:tcPr>
            <w:tcW w:w="4500" w:type="dxa"/>
            <w:vAlign w:val="bottom"/>
            <w:gridSpan w:val="3"/>
          </w:tcPr>
          <w:p>
            <w:pPr>
              <w:jc w:val="center"/>
              <w:ind w:right="1469"/>
              <w:spacing w:after="0"/>
              <w:rPr>
                <w:sz w:val="20"/>
                <w:szCs w:val="20"/>
                <w:color w:val="auto"/>
              </w:rPr>
            </w:pPr>
            <w:r>
              <w:rPr>
                <w:rFonts w:ascii="Times New Roman" w:cs="Times New Roman" w:eastAsia="Times New Roman" w:hAnsi="Times New Roman"/>
                <w:sz w:val="14"/>
                <w:szCs w:val="14"/>
                <w:b w:val="1"/>
                <w:bCs w:val="1"/>
                <w:color w:val="auto"/>
              </w:rPr>
              <w:t>42, rue Saint-Dominique</w:t>
            </w:r>
          </w:p>
        </w:tc>
        <w:tc>
          <w:tcPr>
            <w:tcW w:w="3660" w:type="dxa"/>
            <w:vAlign w:val="bottom"/>
            <w:gridSpan w:val="2"/>
            <w:vMerge w:val="restart"/>
          </w:tcPr>
          <w:p>
            <w:pPr>
              <w:jc w:val="center"/>
              <w:ind w:left="1870"/>
              <w:spacing w:after="0"/>
              <w:rPr>
                <w:sz w:val="20"/>
                <w:szCs w:val="20"/>
                <w:color w:val="auto"/>
              </w:rPr>
            </w:pPr>
            <w:r>
              <w:rPr>
                <w:rFonts w:ascii="Times New Roman" w:cs="Times New Roman" w:eastAsia="Times New Roman" w:hAnsi="Times New Roman"/>
                <w:sz w:val="14"/>
                <w:szCs w:val="14"/>
                <w:b w:val="1"/>
                <w:bCs w:val="1"/>
                <w:color w:val="auto"/>
              </w:rPr>
              <w:t>75007</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3540" w:type="dxa"/>
            <w:vAlign w:val="bottom"/>
            <w:gridSpan w:val="2"/>
          </w:tcPr>
          <w:p>
            <w:pPr>
              <w:jc w:val="center"/>
              <w:ind w:right="2429"/>
              <w:spacing w:after="0"/>
              <w:rPr>
                <w:sz w:val="20"/>
                <w:szCs w:val="20"/>
                <w:color w:val="auto"/>
              </w:rPr>
            </w:pPr>
            <w:r>
              <w:rPr>
                <w:rFonts w:ascii="Times New Roman" w:cs="Times New Roman" w:eastAsia="Times New Roman" w:hAnsi="Times New Roman"/>
                <w:sz w:val="14"/>
                <w:szCs w:val="14"/>
                <w:b w:val="1"/>
                <w:bCs w:val="1"/>
                <w:color w:val="auto"/>
                <w:w w:val="99"/>
              </w:rPr>
              <w:t>Paris, France</w:t>
            </w:r>
          </w:p>
        </w:tc>
        <w:tc>
          <w:tcPr>
            <w:tcW w:w="3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500" w:type="dxa"/>
            <w:vAlign w:val="bottom"/>
            <w:gridSpan w:val="3"/>
          </w:tcPr>
          <w:p>
            <w:pPr>
              <w:jc w:val="center"/>
              <w:ind w:right="1469"/>
              <w:spacing w:after="0"/>
              <w:rPr>
                <w:sz w:val="20"/>
                <w:szCs w:val="20"/>
                <w:color w:val="auto"/>
              </w:rPr>
            </w:pPr>
            <w:r>
              <w:rPr>
                <w:rFonts w:ascii="Times New Roman" w:cs="Times New Roman" w:eastAsia="Times New Roman" w:hAnsi="Times New Roman"/>
                <w:sz w:val="14"/>
                <w:szCs w:val="14"/>
                <w:b w:val="1"/>
                <w:bCs w:val="1"/>
                <w:color w:val="auto"/>
              </w:rPr>
              <w:t>5599 San Felipe, 17</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Floor</w:t>
            </w:r>
          </w:p>
        </w:tc>
        <w:tc>
          <w:tcPr>
            <w:tcW w:w="3660" w:type="dxa"/>
            <w:vAlign w:val="bottom"/>
            <w:gridSpan w:val="2"/>
            <w:vMerge w:val="restart"/>
          </w:tcPr>
          <w:p>
            <w:pPr>
              <w:jc w:val="center"/>
              <w:ind w:left="1870"/>
              <w:spacing w:after="0"/>
              <w:rPr>
                <w:sz w:val="20"/>
                <w:szCs w:val="20"/>
                <w:color w:val="auto"/>
              </w:rPr>
            </w:pPr>
            <w:r>
              <w:rPr>
                <w:rFonts w:ascii="Times New Roman" w:cs="Times New Roman" w:eastAsia="Times New Roman" w:hAnsi="Times New Roman"/>
                <w:sz w:val="14"/>
                <w:szCs w:val="14"/>
                <w:b w:val="1"/>
                <w:bCs w:val="1"/>
                <w:color w:val="auto"/>
              </w:rPr>
              <w:t>77056</w:t>
            </w:r>
          </w:p>
        </w:tc>
        <w:tc>
          <w:tcPr>
            <w:tcW w:w="0" w:type="dxa"/>
            <w:vAlign w:val="bottom"/>
          </w:tcPr>
          <w:p>
            <w:pPr>
              <w:spacing w:after="0"/>
              <w:rPr>
                <w:sz w:val="1"/>
                <w:szCs w:val="1"/>
                <w:color w:val="auto"/>
              </w:rPr>
            </w:pPr>
          </w:p>
        </w:tc>
      </w:tr>
      <w:tr>
        <w:trPr>
          <w:trHeight w:val="186"/>
        </w:trPr>
        <w:tc>
          <w:tcPr>
            <w:tcW w:w="4500" w:type="dxa"/>
            <w:vAlign w:val="bottom"/>
            <w:gridSpan w:val="3"/>
          </w:tcPr>
          <w:p>
            <w:pPr>
              <w:jc w:val="center"/>
              <w:ind w:right="1469"/>
              <w:spacing w:after="0"/>
              <w:rPr>
                <w:sz w:val="20"/>
                <w:szCs w:val="20"/>
                <w:color w:val="auto"/>
              </w:rPr>
            </w:pPr>
            <w:r>
              <w:rPr>
                <w:rFonts w:ascii="Times New Roman" w:cs="Times New Roman" w:eastAsia="Times New Roman" w:hAnsi="Times New Roman"/>
                <w:sz w:val="14"/>
                <w:szCs w:val="14"/>
                <w:b w:val="1"/>
                <w:bCs w:val="1"/>
                <w:color w:val="auto"/>
              </w:rPr>
              <w:t>Houston, Texas, United States of America</w:t>
            </w:r>
          </w:p>
        </w:tc>
        <w:tc>
          <w:tcPr>
            <w:tcW w:w="3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500" w:type="dxa"/>
            <w:vAlign w:val="bottom"/>
            <w:gridSpan w:val="3"/>
          </w:tcPr>
          <w:p>
            <w:pPr>
              <w:jc w:val="center"/>
              <w:ind w:right="1469"/>
              <w:spacing w:after="0"/>
              <w:rPr>
                <w:sz w:val="20"/>
                <w:szCs w:val="20"/>
                <w:color w:val="auto"/>
              </w:rPr>
            </w:pPr>
            <w:r>
              <w:rPr>
                <w:rFonts w:ascii="Times New Roman" w:cs="Times New Roman" w:eastAsia="Times New Roman" w:hAnsi="Times New Roman"/>
                <w:sz w:val="14"/>
                <w:szCs w:val="14"/>
                <w:b w:val="1"/>
                <w:bCs w:val="1"/>
                <w:color w:val="auto"/>
              </w:rPr>
              <w:t>62 Buckingham Gate,</w:t>
            </w:r>
          </w:p>
        </w:tc>
        <w:tc>
          <w:tcPr>
            <w:tcW w:w="3660" w:type="dxa"/>
            <w:vAlign w:val="bottom"/>
            <w:gridSpan w:val="2"/>
            <w:vMerge w:val="restart"/>
          </w:tcPr>
          <w:p>
            <w:pPr>
              <w:jc w:val="center"/>
              <w:ind w:left="1890"/>
              <w:spacing w:after="0"/>
              <w:rPr>
                <w:sz w:val="20"/>
                <w:szCs w:val="20"/>
                <w:color w:val="auto"/>
              </w:rPr>
            </w:pPr>
            <w:r>
              <w:rPr>
                <w:rFonts w:ascii="Times New Roman" w:cs="Times New Roman" w:eastAsia="Times New Roman" w:hAnsi="Times New Roman"/>
                <w:sz w:val="14"/>
                <w:szCs w:val="14"/>
                <w:b w:val="1"/>
                <w:bCs w:val="1"/>
                <w:color w:val="auto"/>
              </w:rPr>
              <w:t>SW1E 6AJ</w:t>
            </w:r>
          </w:p>
        </w:tc>
        <w:tc>
          <w:tcPr>
            <w:tcW w:w="0" w:type="dxa"/>
            <w:vAlign w:val="bottom"/>
          </w:tcPr>
          <w:p>
            <w:pPr>
              <w:spacing w:after="0"/>
              <w:rPr>
                <w:sz w:val="1"/>
                <w:szCs w:val="1"/>
                <w:color w:val="auto"/>
              </w:rPr>
            </w:pPr>
          </w:p>
        </w:tc>
      </w:tr>
      <w:tr>
        <w:trPr>
          <w:trHeight w:val="186"/>
        </w:trPr>
        <w:tc>
          <w:tcPr>
            <w:tcW w:w="4500" w:type="dxa"/>
            <w:vAlign w:val="bottom"/>
            <w:gridSpan w:val="3"/>
          </w:tcPr>
          <w:p>
            <w:pPr>
              <w:jc w:val="center"/>
              <w:ind w:right="1469"/>
              <w:spacing w:after="0"/>
              <w:rPr>
                <w:sz w:val="20"/>
                <w:szCs w:val="20"/>
                <w:color w:val="auto"/>
              </w:rPr>
            </w:pPr>
            <w:r>
              <w:rPr>
                <w:rFonts w:ascii="Times New Roman" w:cs="Times New Roman" w:eastAsia="Times New Roman" w:hAnsi="Times New Roman"/>
                <w:sz w:val="14"/>
                <w:szCs w:val="14"/>
                <w:b w:val="1"/>
                <w:bCs w:val="1"/>
                <w:color w:val="auto"/>
              </w:rPr>
              <w:t>London, United Kingdom</w:t>
            </w:r>
          </w:p>
        </w:tc>
        <w:tc>
          <w:tcPr>
            <w:tcW w:w="3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500" w:type="dxa"/>
            <w:vAlign w:val="bottom"/>
            <w:gridSpan w:val="3"/>
          </w:tcPr>
          <w:p>
            <w:pPr>
              <w:jc w:val="center"/>
              <w:ind w:right="1469"/>
              <w:spacing w:after="0"/>
              <w:rPr>
                <w:sz w:val="20"/>
                <w:szCs w:val="20"/>
                <w:color w:val="auto"/>
              </w:rPr>
            </w:pPr>
            <w:r>
              <w:rPr>
                <w:rFonts w:ascii="Times New Roman" w:cs="Times New Roman" w:eastAsia="Times New Roman" w:hAnsi="Times New Roman"/>
                <w:sz w:val="14"/>
                <w:szCs w:val="14"/>
                <w:b w:val="1"/>
                <w:bCs w:val="1"/>
                <w:color w:val="auto"/>
              </w:rPr>
              <w:t>Parkstraat 83, The Hague,</w:t>
            </w:r>
          </w:p>
        </w:tc>
        <w:tc>
          <w:tcPr>
            <w:tcW w:w="3660" w:type="dxa"/>
            <w:vAlign w:val="bottom"/>
            <w:gridSpan w:val="2"/>
            <w:vMerge w:val="restart"/>
          </w:tcPr>
          <w:p>
            <w:pPr>
              <w:jc w:val="center"/>
              <w:ind w:left="1890"/>
              <w:spacing w:after="0"/>
              <w:rPr>
                <w:sz w:val="20"/>
                <w:szCs w:val="20"/>
                <w:color w:val="auto"/>
              </w:rPr>
            </w:pPr>
            <w:r>
              <w:rPr>
                <w:rFonts w:ascii="Times New Roman" w:cs="Times New Roman" w:eastAsia="Times New Roman" w:hAnsi="Times New Roman"/>
                <w:sz w:val="14"/>
                <w:szCs w:val="14"/>
                <w:b w:val="1"/>
                <w:bCs w:val="1"/>
                <w:color w:val="auto"/>
              </w:rPr>
              <w:t>2514 JG</w:t>
            </w:r>
          </w:p>
        </w:tc>
        <w:tc>
          <w:tcPr>
            <w:tcW w:w="0" w:type="dxa"/>
            <w:vAlign w:val="bottom"/>
          </w:tcPr>
          <w:p>
            <w:pPr>
              <w:spacing w:after="0"/>
              <w:rPr>
                <w:sz w:val="1"/>
                <w:szCs w:val="1"/>
                <w:color w:val="auto"/>
              </w:rPr>
            </w:pPr>
          </w:p>
        </w:tc>
      </w:tr>
      <w:tr>
        <w:trPr>
          <w:trHeight w:val="153"/>
        </w:trPr>
        <w:tc>
          <w:tcPr>
            <w:tcW w:w="960" w:type="dxa"/>
            <w:vAlign w:val="bottom"/>
          </w:tcPr>
          <w:p>
            <w:pPr>
              <w:spacing w:after="0"/>
              <w:rPr>
                <w:sz w:val="13"/>
                <w:szCs w:val="13"/>
                <w:color w:val="auto"/>
              </w:rPr>
            </w:pPr>
          </w:p>
        </w:tc>
        <w:tc>
          <w:tcPr>
            <w:tcW w:w="3540" w:type="dxa"/>
            <w:vAlign w:val="bottom"/>
            <w:gridSpan w:val="2"/>
          </w:tcPr>
          <w:p>
            <w:pPr>
              <w:jc w:val="center"/>
              <w:ind w:right="2429"/>
              <w:spacing w:after="0" w:line="153" w:lineRule="exact"/>
              <w:rPr>
                <w:sz w:val="20"/>
                <w:szCs w:val="20"/>
                <w:color w:val="auto"/>
              </w:rPr>
            </w:pPr>
            <w:r>
              <w:rPr>
                <w:rFonts w:ascii="Times New Roman" w:cs="Times New Roman" w:eastAsia="Times New Roman" w:hAnsi="Times New Roman"/>
                <w:sz w:val="14"/>
                <w:szCs w:val="14"/>
                <w:b w:val="1"/>
                <w:bCs w:val="1"/>
                <w:color w:val="auto"/>
              </w:rPr>
              <w:t>The Netherlands</w:t>
            </w:r>
          </w:p>
        </w:tc>
        <w:tc>
          <w:tcPr>
            <w:tcW w:w="3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500" w:type="dxa"/>
            <w:vAlign w:val="bottom"/>
            <w:gridSpan w:val="3"/>
          </w:tcPr>
          <w:p>
            <w:pPr>
              <w:jc w:val="center"/>
              <w:ind w:right="1469"/>
              <w:spacing w:after="0"/>
              <w:rPr>
                <w:sz w:val="20"/>
                <w:szCs w:val="20"/>
                <w:color w:val="auto"/>
              </w:rPr>
            </w:pPr>
            <w:r>
              <w:rPr>
                <w:rFonts w:ascii="Times New Roman" w:cs="Times New Roman" w:eastAsia="Times New Roman" w:hAnsi="Times New Roman"/>
                <w:sz w:val="12"/>
                <w:szCs w:val="12"/>
                <w:color w:val="auto"/>
              </w:rPr>
              <w:t>(Addresses of principal executive offices)</w:t>
            </w:r>
          </w:p>
        </w:tc>
        <w:tc>
          <w:tcPr>
            <w:tcW w:w="3660" w:type="dxa"/>
            <w:vAlign w:val="bottom"/>
            <w:gridSpan w:val="2"/>
          </w:tcPr>
          <w:p>
            <w:pPr>
              <w:jc w:val="center"/>
              <w:ind w:left="1870"/>
              <w:spacing w:after="0"/>
              <w:rPr>
                <w:sz w:val="20"/>
                <w:szCs w:val="20"/>
                <w:color w:val="auto"/>
              </w:rPr>
            </w:pPr>
            <w:r>
              <w:rPr>
                <w:rFonts w:ascii="Times New Roman" w:cs="Times New Roman" w:eastAsia="Times New Roman" w:hAnsi="Times New Roman"/>
                <w:sz w:val="12"/>
                <w:szCs w:val="12"/>
                <w:color w:val="auto"/>
              </w:rPr>
              <w:t>(Zip Codes)</w:t>
            </w:r>
          </w:p>
        </w:tc>
        <w:tc>
          <w:tcPr>
            <w:tcW w:w="0" w:type="dxa"/>
            <w:vAlign w:val="bottom"/>
          </w:tcPr>
          <w:p>
            <w:pPr>
              <w:spacing w:after="0"/>
              <w:rPr>
                <w:sz w:val="1"/>
                <w:szCs w:val="1"/>
                <w:color w:val="auto"/>
              </w:rPr>
            </w:pPr>
          </w:p>
        </w:tc>
      </w:tr>
      <w:tr>
        <w:trPr>
          <w:trHeight w:val="205"/>
        </w:trPr>
        <w:tc>
          <w:tcPr>
            <w:tcW w:w="960" w:type="dxa"/>
            <w:vAlign w:val="bottom"/>
          </w:tcPr>
          <w:p>
            <w:pPr>
              <w:spacing w:after="0"/>
              <w:rPr>
                <w:sz w:val="17"/>
                <w:szCs w:val="17"/>
                <w:color w:val="auto"/>
              </w:rPr>
            </w:pPr>
          </w:p>
        </w:tc>
        <w:tc>
          <w:tcPr>
            <w:tcW w:w="72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Registrant’s telephone number in the United States, including area code, is: (713) 513-2000</w:t>
            </w: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140" w:type="dxa"/>
            <w:vAlign w:val="bottom"/>
            <w:gridSpan w:val="3"/>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80" w:type="dxa"/>
            <w:vAlign w:val="bottom"/>
          </w:tcPr>
          <w:p>
            <w:pPr>
              <w:spacing w:after="0"/>
              <w:rPr>
                <w:sz w:val="15"/>
                <w:szCs w:val="15"/>
                <w:color w:val="auto"/>
              </w:rPr>
            </w:pPr>
          </w:p>
        </w:tc>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00" w:type="dxa"/>
            <w:vAlign w:val="bottom"/>
            <w:gridSpan w:val="3"/>
          </w:tcPr>
          <w:p>
            <w:pPr>
              <w:jc w:val="center"/>
              <w:ind w:right="1449"/>
              <w:spacing w:after="0" w:line="117" w:lineRule="exact"/>
              <w:rPr>
                <w:sz w:val="20"/>
                <w:szCs w:val="20"/>
                <w:color w:val="auto"/>
              </w:rPr>
            </w:pPr>
            <w:r>
              <w:rPr>
                <w:rFonts w:ascii="Times New Roman" w:cs="Times New Roman" w:eastAsia="Times New Roman" w:hAnsi="Times New Roman"/>
                <w:sz w:val="13"/>
                <w:szCs w:val="13"/>
                <w:color w:val="auto"/>
              </w:rPr>
              <w:t>Common Stock, par value $0.01 per share</w:t>
            </w:r>
          </w:p>
        </w:tc>
        <w:tc>
          <w:tcPr>
            <w:tcW w:w="366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New York Stock Exchange</w:t>
            </w: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66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Euronext Paris</w:t>
            </w: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66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color w:val="auto"/>
              </w:rPr>
              <w:t>The London Stock Exchange</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SIX Swiss Exchange</w:t>
            </w: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65405</wp:posOffset>
            </wp:positionV>
            <wp:extent cx="1442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19" w:lineRule="exact"/>
        <w:rPr>
          <w:sz w:val="24"/>
          <w:szCs w:val="24"/>
          <w:color w:val="auto"/>
        </w:rPr>
      </w:pPr>
    </w:p>
    <w:p>
      <w:pPr>
        <w:ind w:right="3760"/>
        <w:spacing w:after="0" w:line="22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3" w:lineRule="exact"/>
        <w:rPr>
          <w:sz w:val="24"/>
          <w:szCs w:val="24"/>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6" w:lineRule="exact"/>
        <w:rPr>
          <w:sz w:val="24"/>
          <w:szCs w:val="24"/>
          <w:color w:val="auto"/>
        </w:rPr>
      </w:pPr>
    </w:p>
    <w:p>
      <w:pPr>
        <w:ind w:right="200"/>
        <w:spacing w:after="0" w:line="224"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June 30, 2015, the aggregate market value of the common stock of the registrant held by non-affiliates of the registrant was approximately $109.0 billion.</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2015, the number of shares of common stock outstanding was 1,256,367,980.</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0" w:lineRule="exact"/>
        <w:rPr>
          <w:sz w:val="24"/>
          <w:szCs w:val="24"/>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Certain information required to be furnished pursuant to Part III of this Form 10-K is set forth in, and is hereby incorporated by reference herein from, Schlumberger’s definitive proxy statement for its 2016 Annual General Meeting of Stockholders, to be filed by Schlumberger with the Securities and Exchange Commission pursuant to Regulation 14A within 120 days after December 31, 2015 (the “2016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7248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75565</wp:posOffset>
            </wp:positionV>
            <wp:extent cx="7248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206375</wp:posOffset>
            </wp:positionV>
            <wp:extent cx="729107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00" w:type="dxa"/>
            <w:vAlign w:val="bottom"/>
            <w:gridSpan w:val="8"/>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8"/>
              </w:rPr>
              <w:t>SCHLUMBERGER LIMITED</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700" w:type="dxa"/>
            <w:vAlign w:val="bottom"/>
            <w:gridSpan w:val="8"/>
          </w:tcPr>
          <w:p>
            <w:pPr>
              <w:jc w:val="center"/>
              <w:ind w:right="3960"/>
              <w:spacing w:after="0"/>
              <w:rPr>
                <w:sz w:val="20"/>
                <w:szCs w:val="20"/>
                <w:color w:val="auto"/>
              </w:rPr>
            </w:pPr>
            <w:r>
              <w:rPr>
                <w:rFonts w:ascii="Times New Roman" w:cs="Times New Roman" w:eastAsia="Times New Roman" w:hAnsi="Times New Roman"/>
                <w:sz w:val="18"/>
                <w:szCs w:val="18"/>
                <w:color w:val="auto"/>
                <w:w w:val="97"/>
              </w:rPr>
              <w:t>Table of Contents</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700" w:type="dxa"/>
            <w:vAlign w:val="bottom"/>
            <w:gridSpan w:val="8"/>
          </w:tcPr>
          <w:p>
            <w:pPr>
              <w:jc w:val="center"/>
              <w:ind w:right="3940"/>
              <w:spacing w:after="0"/>
              <w:rPr>
                <w:sz w:val="20"/>
                <w:szCs w:val="20"/>
                <w:color w:val="auto"/>
              </w:rPr>
            </w:pPr>
            <w:r>
              <w:rPr>
                <w:rFonts w:ascii="Times New Roman" w:cs="Times New Roman" w:eastAsia="Times New Roman" w:hAnsi="Times New Roman"/>
                <w:sz w:val="18"/>
                <w:szCs w:val="18"/>
                <w:color w:val="auto"/>
                <w:w w:val="99"/>
              </w:rPr>
              <w:t>Form 10-K</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580" w:type="dxa"/>
            <w:vAlign w:val="bottom"/>
            <w:vMerge w:val="restart"/>
          </w:tcPr>
          <w:p>
            <w:pPr>
              <w:spacing w:after="0"/>
              <w:rPr>
                <w:rFonts w:ascii="Times New Roman" w:cs="Times New Roman" w:eastAsia="Times New Roman" w:hAnsi="Times New Roman"/>
                <w:sz w:val="18"/>
                <w:szCs w:val="18"/>
                <w:b w:val="1"/>
                <w:bCs w:val="1"/>
                <w:color w:val="0000EE"/>
                <w:w w:val="92"/>
              </w:rPr>
            </w:pPr>
            <w:hyperlink w:anchor="page3">
              <w:r>
                <w:rPr>
                  <w:rFonts w:ascii="Times New Roman" w:cs="Times New Roman" w:eastAsia="Times New Roman" w:hAnsi="Times New Roman"/>
                  <w:sz w:val="18"/>
                  <w:szCs w:val="18"/>
                  <w:b w:val="1"/>
                  <w:bCs w:val="1"/>
                  <w:color w:val="0000EE"/>
                  <w:w w:val="92"/>
                </w:rPr>
                <w:t>PART I</w:t>
              </w:r>
            </w:hyperlink>
          </w:p>
        </w:tc>
        <w:tc>
          <w:tcPr>
            <w:tcW w:w="480" w:type="dxa"/>
            <w:vAlign w:val="bottom"/>
            <w:gridSpan w:val="4"/>
            <w:vMerge w:val="restart"/>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1"/>
        </w:trPr>
        <w:tc>
          <w:tcPr>
            <w:tcW w:w="580" w:type="dxa"/>
            <w:vAlign w:val="bottom"/>
            <w:tcBorders>
              <w:bottom w:val="single" w:sz="8" w:color="0000EE"/>
            </w:tcBorders>
            <w:vMerge w:val="continue"/>
          </w:tcPr>
          <w:p>
            <w:pPr>
              <w:spacing w:after="0"/>
              <w:rPr>
                <w:sz w:val="14"/>
                <w:szCs w:val="14"/>
                <w:color w:val="auto"/>
              </w:rPr>
            </w:pPr>
          </w:p>
        </w:tc>
        <w:tc>
          <w:tcPr>
            <w:tcW w:w="480" w:type="dxa"/>
            <w:vAlign w:val="bottom"/>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998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980" w:type="dxa"/>
            <w:vAlign w:val="bottom"/>
            <w:gridSpan w:val="20"/>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Risk Factors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9980" w:type="dxa"/>
            <w:vAlign w:val="bottom"/>
            <w:gridSpan w:val="20"/>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Unresolved Staff Comments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5"/>
              </w:rPr>
            </w:pPr>
            <w:hyperlink w:anchor="page11">
              <w:r>
                <w:rPr>
                  <w:rFonts w:ascii="Times New Roman" w:cs="Times New Roman" w:eastAsia="Times New Roman" w:hAnsi="Times New Roman"/>
                  <w:sz w:val="18"/>
                  <w:szCs w:val="18"/>
                  <w:color w:val="0000EE"/>
                  <w:w w:val="95"/>
                </w:rPr>
                <w:t>Properties</w:t>
              </w:r>
            </w:hyperlink>
          </w:p>
        </w:tc>
        <w:tc>
          <w:tcPr>
            <w:tcW w:w="1280" w:type="dxa"/>
            <w:vAlign w:val="bottom"/>
            <w:tcBorders>
              <w:top w:val="single" w:sz="8" w:color="0000EE"/>
            </w:tcBorders>
            <w:gridSpan w:val="7"/>
          </w:tcPr>
          <w:p>
            <w:pPr>
              <w:spacing w:after="0"/>
              <w:rPr>
                <w:sz w:val="24"/>
                <w:szCs w:val="24"/>
                <w:color w:val="auto"/>
              </w:rPr>
            </w:pPr>
          </w:p>
        </w:tc>
        <w:tc>
          <w:tcPr>
            <w:tcW w:w="798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9980" w:type="dxa"/>
            <w:vAlign w:val="bottom"/>
            <w:gridSpan w:val="20"/>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Legal Proceedings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980" w:type="dxa"/>
            <w:vAlign w:val="bottom"/>
            <w:gridSpan w:val="20"/>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Mine Safety Disclosures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rFonts w:ascii="Times New Roman" w:cs="Times New Roman" w:eastAsia="Times New Roman" w:hAnsi="Times New Roman"/>
                <w:sz w:val="18"/>
                <w:szCs w:val="18"/>
                <w:b w:val="1"/>
                <w:bCs w:val="1"/>
                <w:color w:val="0000EE"/>
              </w:rPr>
            </w:pPr>
            <w:hyperlink w:anchor="page12">
              <w:r>
                <w:rPr>
                  <w:rFonts w:ascii="Times New Roman" w:cs="Times New Roman" w:eastAsia="Times New Roman" w:hAnsi="Times New Roman"/>
                  <w:sz w:val="18"/>
                  <w:szCs w:val="18"/>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420" w:type="dxa"/>
            <w:vAlign w:val="bottom"/>
            <w:gridSpan w:val="3"/>
          </w:tcPr>
          <w:p>
            <w:pPr>
              <w:spacing w:after="0"/>
              <w:rPr>
                <w:sz w:val="24"/>
                <w:szCs w:val="24"/>
                <w:color w:val="auto"/>
              </w:rPr>
            </w:pPr>
          </w:p>
        </w:tc>
        <w:tc>
          <w:tcPr>
            <w:tcW w:w="81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w:anchor="page12">
              <w:r>
                <w:rPr>
                  <w:rFonts w:ascii="Times New Roman" w:cs="Times New Roman" w:eastAsia="Times New Roman" w:hAnsi="Times New Roman"/>
                  <w:sz w:val="18"/>
                  <w:szCs w:val="18"/>
                  <w:color w:val="0000EE"/>
                  <w:w w:val="98"/>
                </w:rPr>
                <w:t>Market for Schlumberger’s Common Stock, Related Stockholder Matters and Issuer Purchases of Equity Securities</w:t>
              </w:r>
            </w:hyperlink>
          </w:p>
        </w:tc>
        <w:tc>
          <w:tcPr>
            <w:tcW w:w="18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16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14">
              <w:r>
                <w:rPr>
                  <w:rFonts w:ascii="Times New Roman" w:cs="Times New Roman" w:eastAsia="Times New Roman" w:hAnsi="Times New Roman"/>
                  <w:sz w:val="18"/>
                  <w:szCs w:val="18"/>
                  <w:color w:val="0000EE"/>
                  <w:w w:val="97"/>
                </w:rPr>
                <w:t>Selected Financial Data</w:t>
              </w:r>
            </w:hyperlink>
          </w:p>
        </w:tc>
        <w:tc>
          <w:tcPr>
            <w:tcW w:w="830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63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7"/>
              </w:rPr>
            </w:pPr>
            <w:hyperlink w:anchor="page15">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362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9980" w:type="dxa"/>
            <w:vAlign w:val="bottom"/>
            <w:gridSpan w:val="20"/>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Quantitative and Qualitative Disclosures About Market Risk</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328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Financial Statements and Supplementary Data</w:t>
              </w:r>
            </w:hyperlink>
          </w:p>
        </w:tc>
        <w:tc>
          <w:tcPr>
            <w:tcW w:w="1000" w:type="dxa"/>
            <w:vAlign w:val="bottom"/>
            <w:tcBorders>
              <w:top w:val="single" w:sz="8" w:color="0000EE"/>
            </w:tcBorders>
          </w:tcPr>
          <w:p>
            <w:pPr>
              <w:spacing w:after="0"/>
              <w:rPr>
                <w:sz w:val="24"/>
                <w:szCs w:val="24"/>
                <w:color w:val="auto"/>
              </w:rPr>
            </w:pPr>
          </w:p>
        </w:tc>
        <w:tc>
          <w:tcPr>
            <w:tcW w:w="570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63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w:anchor="page66">
              <w:r>
                <w:rPr>
                  <w:rFonts w:ascii="Times New Roman" w:cs="Times New Roman" w:eastAsia="Times New Roman" w:hAnsi="Times New Roman"/>
                  <w:sz w:val="18"/>
                  <w:szCs w:val="18"/>
                  <w:color w:val="0000EE"/>
                  <w:w w:val="98"/>
                </w:rPr>
                <w:t>Changes in and Disagreements with Accountants on Accounting and Financial Disclosure</w:t>
              </w:r>
            </w:hyperlink>
          </w:p>
        </w:tc>
        <w:tc>
          <w:tcPr>
            <w:tcW w:w="360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17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66">
              <w:r>
                <w:rPr>
                  <w:rFonts w:ascii="Times New Roman" w:cs="Times New Roman" w:eastAsia="Times New Roman" w:hAnsi="Times New Roman"/>
                  <w:sz w:val="18"/>
                  <w:szCs w:val="18"/>
                  <w:color w:val="0000EE"/>
                  <w:w w:val="97"/>
                </w:rPr>
                <w:t>Controls and Procedures</w:t>
              </w:r>
            </w:hyperlink>
          </w:p>
        </w:tc>
        <w:tc>
          <w:tcPr>
            <w:tcW w:w="824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9980" w:type="dxa"/>
            <w:vAlign w:val="bottom"/>
            <w:gridSpan w:val="20"/>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Other Information</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12"/>
        </w:trPr>
        <w:tc>
          <w:tcPr>
            <w:tcW w:w="72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3"/>
              </w:rPr>
            </w:pPr>
            <w:hyperlink w:anchor="page67">
              <w:r>
                <w:rPr>
                  <w:rFonts w:ascii="Times New Roman" w:cs="Times New Roman" w:eastAsia="Times New Roman" w:hAnsi="Times New Roman"/>
                  <w:sz w:val="18"/>
                  <w:szCs w:val="18"/>
                  <w:b w:val="1"/>
                  <w:bCs w:val="1"/>
                  <w:color w:val="0000EE"/>
                  <w:w w:val="93"/>
                </w:rPr>
                <w:t>PART III</w:t>
              </w:r>
            </w:hyperlink>
          </w:p>
        </w:tc>
        <w:tc>
          <w:tcPr>
            <w:tcW w:w="3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52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w:anchor="page67">
              <w:r>
                <w:rPr>
                  <w:rFonts w:ascii="Times New Roman" w:cs="Times New Roman" w:eastAsia="Times New Roman" w:hAnsi="Times New Roman"/>
                  <w:sz w:val="18"/>
                  <w:szCs w:val="18"/>
                  <w:color w:val="0000EE"/>
                  <w:w w:val="97"/>
                </w:rPr>
                <w:t>Directors, Executive Officers and Corporate Governance of Schlumberger</w:t>
              </w:r>
            </w:hyperlink>
          </w:p>
        </w:tc>
        <w:tc>
          <w:tcPr>
            <w:tcW w:w="472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1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67">
              <w:r>
                <w:rPr>
                  <w:rFonts w:ascii="Times New Roman" w:cs="Times New Roman" w:eastAsia="Times New Roman" w:hAnsi="Times New Roman"/>
                  <w:sz w:val="18"/>
                  <w:szCs w:val="18"/>
                  <w:color w:val="0000EE"/>
                  <w:w w:val="97"/>
                </w:rPr>
                <w:t>Executive Compensation</w:t>
              </w:r>
            </w:hyperlink>
          </w:p>
        </w:tc>
        <w:tc>
          <w:tcPr>
            <w:tcW w:w="820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71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w:anchor="page67">
              <w:r>
                <w:rPr>
                  <w:rFonts w:ascii="Times New Roman" w:cs="Times New Roman" w:eastAsia="Times New Roman" w:hAnsi="Times New Roman"/>
                  <w:sz w:val="18"/>
                  <w:szCs w:val="18"/>
                  <w:color w:val="0000EE"/>
                  <w:w w:val="98"/>
                </w:rPr>
                <w:t>Security Ownership of Certain Beneficial Owners and Management and Related Stockholder Matters</w:t>
              </w:r>
            </w:hyperlink>
          </w:p>
        </w:tc>
        <w:tc>
          <w:tcPr>
            <w:tcW w:w="280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9980" w:type="dxa"/>
            <w:vAlign w:val="bottom"/>
            <w:gridSpan w:val="20"/>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Certain Relationships and Related Transactions, and Director Independence</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536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Principal Accounting Fees and Services</w:t>
              </w:r>
            </w:hyperlink>
          </w:p>
        </w:tc>
        <w:tc>
          <w:tcPr>
            <w:tcW w:w="462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312"/>
        </w:trPr>
        <w:tc>
          <w:tcPr>
            <w:tcW w:w="1060" w:type="dxa"/>
            <w:vAlign w:val="bottom"/>
            <w:gridSpan w:val="5"/>
          </w:tcPr>
          <w:p>
            <w:pPr>
              <w:spacing w:after="0"/>
              <w:rPr>
                <w:rFonts w:ascii="Times New Roman" w:cs="Times New Roman" w:eastAsia="Times New Roman" w:hAnsi="Times New Roman"/>
                <w:sz w:val="18"/>
                <w:szCs w:val="18"/>
                <w:b w:val="1"/>
                <w:bCs w:val="1"/>
                <w:color w:val="0000EE"/>
              </w:rPr>
            </w:pPr>
            <w:hyperlink w:anchor="page68">
              <w:r>
                <w:rPr>
                  <w:rFonts w:ascii="Times New Roman" w:cs="Times New Roman" w:eastAsia="Times New Roman" w:hAnsi="Times New Roman"/>
                  <w:sz w:val="18"/>
                  <w:szCs w:val="18"/>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360" w:type="dxa"/>
            <w:vAlign w:val="bottom"/>
            <w:gridSpan w:val="2"/>
          </w:tcPr>
          <w:p>
            <w:pPr>
              <w:spacing w:after="0"/>
              <w:rPr>
                <w:sz w:val="24"/>
                <w:szCs w:val="24"/>
                <w:color w:val="auto"/>
              </w:rPr>
            </w:pPr>
          </w:p>
        </w:tc>
        <w:tc>
          <w:tcPr>
            <w:tcW w:w="9980" w:type="dxa"/>
            <w:vAlign w:val="bottom"/>
            <w:gridSpan w:val="20"/>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Exhibits and Financial Statement Schedules</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312"/>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0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Signatures</w:t>
              </w:r>
            </w:hyperlink>
          </w:p>
        </w:tc>
        <w:tc>
          <w:tcPr>
            <w:tcW w:w="688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9240" w:type="dxa"/>
            <w:vAlign w:val="bottom"/>
            <w:gridSpan w:val="1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Certifications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All references in this report to “Registrant,” “Company,” “Schlumberger,” “we” or “our” are to Schlumberger Limited (Schlumberger N.V., incorporated in Curaçao) and its consolidated subsidiaries.</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Founded in 1926, Schlumberger is the world’s leading supplier of technology, integrated project management and information solutions to the international oil and gas exploration and production industry. Having invented wireline logging as a technique for obtaining downhole data in oil and gas wells, Schlumberger today provides the industry’s widest range of products and services from exploration through production. As of December 31, 2015, the Company employed approximately 95,000 people of over 140 nationalities operating in approximately 85 countries. Schlumberger has principal executive offices in Paris, Houston, London and The Hague.</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August 26, 2015, Schlumberger and Cameron International Corporations (Cameron) jointly announced that they had entered into a definitive merger agreement in which Cameron will merge with an indirect wholly-owned subsidiary of Schlumberger in a stock and cash transaction. Under the terms of the agreement, Cameron shareholders will receive 0.716 shares of Schlumberger common stock and a cash payment of $14.44 in exchange for each Cameron share of common stock outstanding. Schlumberger estimates that it will issue approximately 137 million shares of its common stock and pay cash of approximately $2.8 billion in connection with this transaction. In November 2015, the US Department of Justice cleared the proposed merger without any conditions. On December 17, 2015, Cameron stockholders voted to adopt the proposed merger. However, the transaction remains subject to certain regulatory approvals and other customary closing conditions. It is anticipated that the closing of the transaction will occur in the first quarter of 2016.</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 xml:space="preserve">Cameron designs, manufactures, markets and services equipment used by the oil and gas industry and industrial manufacturing companies. Cameron is a leading international manufacturer of oil and gas pressure control and separation equipment, including valves, wellheads, controls, chokes, blowout preventers and assembled systems for oil and gas drilling, production and transmission used in onshore, offshore and subsea applications and provides oil and gas separation, metering and flow measurement equipment. </w:t>
      </w:r>
      <w:r>
        <w:rPr>
          <w:rFonts w:ascii="Times New Roman" w:cs="Times New Roman" w:eastAsia="Times New Roman" w:hAnsi="Times New Roman"/>
          <w:sz w:val="18"/>
          <w:szCs w:val="18"/>
          <w:color w:val="000000"/>
        </w:rPr>
        <w:t>Cameron reported revenue of $10.4 billion for the year ended December 31, 2014.</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Schlumberger operates in each of the major oilfield service markets, managing its business through three Groups: Reservoir Characterization, Drilling and Production. Each Group consists of a number of technology-based service and product lines, or Technologies. These Technologies cover the entire life cycle of the reservoir and correspond to a number of markets in which Schlumberger holds leading positions. The business is also reported through four geographic Areas: North America, Latin America, Europe/CIS/Africa and Middle East &amp; Asia. Within these Areas, a network of GeoMarket* regions provides logistical, technical and commercial coordination.</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role of the Groups and Technologies is to support Schlumberger in providing the best possible service to customers and that it remains at the forefront of technology development. The Groups and Technologies are collectively responsible for driving excellence in execution throughout their businesses, overseeing operational processes, resource allocation, personnel and delivering superior financial results. The GeoMarket structure offers customers a single point of contact at the local level for field operations and brings together geographically focused teams to meet local needs and deliver customized solutions. The Areas and GeoMarkets are responsible for providing the most efficient and cost effective support possible to the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are as follows:</w:t>
      </w:r>
    </w:p>
    <w:p>
      <w:pPr>
        <w:spacing w:after="0" w:line="2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Reservoir Characterization Group </w:t>
      </w:r>
      <w:r>
        <w:rPr>
          <w:rFonts w:ascii="Times New Roman" w:cs="Times New Roman" w:eastAsia="Times New Roman" w:hAnsi="Times New Roman"/>
          <w:sz w:val="18"/>
          <w:szCs w:val="18"/>
          <w:color w:val="auto"/>
        </w:rPr>
        <w:t>– Consists of the principal Technologies involved in finding and defining hydrocarbon resources. These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WesternGeco, Wireline, Testing Services, Software Integrated Solutions (SIS) and Integrated Services Management (ISM).</w:t>
      </w:r>
    </w:p>
    <w:p>
      <w:pPr>
        <w:spacing w:after="0" w:line="159" w:lineRule="exact"/>
        <w:rPr>
          <w:sz w:val="20"/>
          <w:szCs w:val="20"/>
          <w:color w:val="auto"/>
        </w:rPr>
      </w:pPr>
    </w:p>
    <w:p>
      <w:pPr>
        <w:jc w:val="both"/>
        <w:ind w:left="760" w:hanging="382"/>
        <w:spacing w:after="0" w:line="25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WesternGeco </w:t>
      </w:r>
      <w:r>
        <w:rPr>
          <w:rFonts w:ascii="Times New Roman" w:cs="Times New Roman" w:eastAsia="Times New Roman" w:hAnsi="Times New Roman"/>
          <w:sz w:val="18"/>
          <w:szCs w:val="18"/>
          <w:color w:val="auto"/>
        </w:rPr>
        <w:t>is a leading geophysical services supplier, providing comprehensive worldwide reservoir imaging, monitoring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It provides increasingly accurate measurements and images of subsurface geology and rock properties for both customer proprietary and multiclient surveys. WesternGeco offers the industry’s most extensive multiclient library.</w:t>
      </w:r>
    </w:p>
    <w:p>
      <w:pPr>
        <w:spacing w:after="0" w:line="1" w:lineRule="exact"/>
        <w:rPr>
          <w:rFonts w:ascii="Times New Roman" w:cs="Times New Roman" w:eastAsia="Times New Roman" w:hAnsi="Times New Roman"/>
          <w:sz w:val="18"/>
          <w:szCs w:val="18"/>
          <w:color w:val="auto"/>
        </w:rPr>
      </w:pPr>
    </w:p>
    <w:p>
      <w:pPr>
        <w:ind w:left="760" w:hanging="382"/>
        <w:spacing w:after="0" w:line="24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Wireline </w:t>
      </w:r>
      <w:r>
        <w:rPr>
          <w:rFonts w:ascii="Times New Roman" w:cs="Times New Roman" w:eastAsia="Times New Roman" w:hAnsi="Times New Roman"/>
          <w:sz w:val="18"/>
          <w:szCs w:val="18"/>
          <w:color w:val="auto"/>
        </w:rPr>
        <w:t>provides the information necessary to evaluate subsurface formation rocks and fluids to plan and monitor well construction, and to monitor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evaluate well production. Wireline offers both openhole and cased-hole services including wireline perforating.</w:t>
      </w:r>
    </w:p>
    <w:p>
      <w:pPr>
        <w:ind w:left="760" w:hanging="382"/>
        <w:spacing w:after="0" w:line="24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Testing Services </w:t>
      </w:r>
      <w:r>
        <w:rPr>
          <w:rFonts w:ascii="Times New Roman" w:cs="Times New Roman" w:eastAsia="Times New Roman" w:hAnsi="Times New Roman"/>
          <w:sz w:val="18"/>
          <w:szCs w:val="18"/>
          <w:color w:val="auto"/>
        </w:rPr>
        <w:t>provides exploration and production pressure and flow-rate measurement services both at the surface and downhole. The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provides tubing-conveyed perforating services.</w:t>
      </w:r>
    </w:p>
    <w:p>
      <w:pPr>
        <w:ind w:left="760" w:right="20" w:hanging="382"/>
        <w:spacing w:after="0" w:line="253"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Software Integrated Solutions </w:t>
      </w:r>
      <w:r>
        <w:rPr>
          <w:rFonts w:ascii="Times New Roman" w:cs="Times New Roman" w:eastAsia="Times New Roman" w:hAnsi="Times New Roman"/>
          <w:sz w:val="18"/>
          <w:szCs w:val="18"/>
          <w:color w:val="auto"/>
        </w:rPr>
        <w:t>sells proprietary software and provides consulting, information management and IT infrastructure services to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oil and gas industry. SIS also offers expert consulting services for reservoir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3" w:name="page4"/>
    <w:bookmarkEnd w:id="3"/>
    <w:p>
      <w:pPr>
        <w:ind w:left="760"/>
        <w:spacing w:after="0" w:line="257" w:lineRule="auto"/>
        <w:rPr>
          <w:sz w:val="20"/>
          <w:szCs w:val="20"/>
          <w:color w:val="auto"/>
        </w:rPr>
      </w:pPr>
      <w:r>
        <w:rPr>
          <w:rFonts w:ascii="Times New Roman" w:cs="Times New Roman" w:eastAsia="Times New Roman" w:hAnsi="Times New Roman"/>
          <w:sz w:val="18"/>
          <w:szCs w:val="18"/>
          <w:color w:val="auto"/>
        </w:rPr>
        <w:t>characterization, field development planning and production enhancement, as well as industry leading petrotechnical data services and training solutions.</w:t>
      </w:r>
    </w:p>
    <w:p>
      <w:pPr>
        <w:spacing w:after="0" w:line="1" w:lineRule="exact"/>
        <w:rPr>
          <w:sz w:val="20"/>
          <w:szCs w:val="20"/>
          <w:color w:val="auto"/>
        </w:rPr>
      </w:pPr>
    </w:p>
    <w:p>
      <w:pPr>
        <w:jc w:val="both"/>
        <w:ind w:left="760" w:hanging="382"/>
        <w:spacing w:after="0" w:line="249"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Integrated Services Management </w:t>
      </w:r>
      <w:r>
        <w:rPr>
          <w:rFonts w:ascii="Times New Roman" w:cs="Times New Roman" w:eastAsia="Times New Roman" w:hAnsi="Times New Roman"/>
          <w:sz w:val="18"/>
          <w:szCs w:val="18"/>
          <w:color w:val="auto"/>
        </w:rPr>
        <w:t>provides coordination and management of Schlumberger services, products, and third parties in projects around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 ISM offers a certified Integrated Services Project Manager as a focal point of contact between the project owner and the various Schlumberger services, ensuring alignment of project objectives.</w:t>
      </w:r>
    </w:p>
    <w:p>
      <w:pPr>
        <w:spacing w:after="0" w:line="18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Drilling Group </w:t>
      </w:r>
      <w:r>
        <w:rPr>
          <w:rFonts w:ascii="Times New Roman" w:cs="Times New Roman" w:eastAsia="Times New Roman" w:hAnsi="Times New Roman"/>
          <w:sz w:val="18"/>
          <w:szCs w:val="18"/>
          <w:color w:val="auto"/>
        </w:rPr>
        <w:t>– Consists of the principal Technologies involved in the drilling and positioning of oil and gas wells and comprises Bits &amp; Drilling Tools, M-I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SWACO, Drilling &amp; Measurements, Land Rigs and Integrated Drilling Services.</w:t>
      </w:r>
    </w:p>
    <w:p>
      <w:pPr>
        <w:spacing w:after="0" w:line="159" w:lineRule="exact"/>
        <w:rPr>
          <w:sz w:val="20"/>
          <w:szCs w:val="20"/>
          <w:color w:val="auto"/>
        </w:rPr>
      </w:pPr>
    </w:p>
    <w:p>
      <w:pPr>
        <w:jc w:val="both"/>
        <w:ind w:left="760" w:hanging="382"/>
        <w:spacing w:after="0" w:line="25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Bits &amp; Drilling Tools </w:t>
      </w:r>
      <w:r>
        <w:rPr>
          <w:rFonts w:ascii="Times New Roman" w:cs="Times New Roman" w:eastAsia="Times New Roman" w:hAnsi="Times New Roman"/>
          <w:sz w:val="18"/>
          <w:szCs w:val="18"/>
          <w:color w:val="auto"/>
        </w:rPr>
        <w:t>designs, manufactures and markets roller cone and fixed cutter drill bits for all environments. The drill bits include designs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 market segments where faster penetration rates and increased footage provide significant economic benefits in lowering overall well costs. Drilling tools includes a wide variety of bottom-hole-assembly, borehole-enlargement technologies and impact tools, as well as a comprehensive collection of tubulars and tubular services for oil and gas drilling operations.</w:t>
      </w:r>
    </w:p>
    <w:p>
      <w:pPr>
        <w:spacing w:after="0" w:line="2" w:lineRule="exact"/>
        <w:rPr>
          <w:rFonts w:ascii="Times New Roman" w:cs="Times New Roman" w:eastAsia="Times New Roman" w:hAnsi="Times New Roman"/>
          <w:sz w:val="18"/>
          <w:szCs w:val="18"/>
          <w:color w:val="auto"/>
        </w:rPr>
      </w:pPr>
    </w:p>
    <w:p>
      <w:pPr>
        <w:jc w:val="both"/>
        <w:ind w:left="760" w:hanging="382"/>
        <w:spacing w:after="0" w:line="24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 SWACO </w:t>
      </w:r>
      <w:r>
        <w:rPr>
          <w:rFonts w:ascii="Times New Roman" w:cs="Times New Roman" w:eastAsia="Times New Roman" w:hAnsi="Times New Roman"/>
          <w:sz w:val="18"/>
          <w:szCs w:val="18"/>
          <w:color w:val="auto"/>
        </w:rPr>
        <w:t>is the leading supplier of drilling fluid systems engineered to improve drilling performance by anticipating fluids-related problems, fluid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and specialty equipment designed to optimize wellbore productivity and production technology solutions formulated to maximize production rates. M-I SWACO also provides engineered managed pressure drilling and underbalanced drilling solutions, as well as environmental services and products to safely manage waste volumes generated in both drilling and production operations.</w:t>
      </w:r>
    </w:p>
    <w:p>
      <w:pPr>
        <w:spacing w:after="0" w:line="1" w:lineRule="exact"/>
        <w:rPr>
          <w:rFonts w:ascii="Times New Roman" w:cs="Times New Roman" w:eastAsia="Times New Roman" w:hAnsi="Times New Roman"/>
          <w:sz w:val="18"/>
          <w:szCs w:val="18"/>
          <w:color w:val="auto"/>
        </w:rPr>
      </w:pPr>
    </w:p>
    <w:p>
      <w:pPr>
        <w:ind w:left="760" w:hanging="382"/>
        <w:spacing w:after="0" w:line="24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Drilling &amp; Measurements </w:t>
      </w:r>
      <w:r>
        <w:rPr>
          <w:rFonts w:ascii="Times New Roman" w:cs="Times New Roman" w:eastAsia="Times New Roman" w:hAnsi="Times New Roman"/>
          <w:sz w:val="18"/>
          <w:szCs w:val="18"/>
          <w:color w:val="auto"/>
        </w:rPr>
        <w:t>provides mud logging services for geological and drilling surveillance, directional drilling, measurement-while-drilling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logging-while-drilling services for all well profiles as well as engineering support.</w:t>
      </w:r>
    </w:p>
    <w:p>
      <w:pPr>
        <w:ind w:left="760" w:hanging="382"/>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Land Rigs </w:t>
      </w:r>
      <w:r>
        <w:rPr>
          <w:rFonts w:ascii="Times New Roman" w:cs="Times New Roman" w:eastAsia="Times New Roman" w:hAnsi="Times New Roman"/>
          <w:sz w:val="18"/>
          <w:szCs w:val="18"/>
          <w:color w:val="auto"/>
        </w:rPr>
        <w:t>provides land drilling rigs and related support services.</w:t>
      </w:r>
    </w:p>
    <w:p>
      <w:pPr>
        <w:spacing w:after="0" w:line="5" w:lineRule="exact"/>
        <w:rPr>
          <w:rFonts w:ascii="Times New Roman" w:cs="Times New Roman" w:eastAsia="Times New Roman" w:hAnsi="Times New Roman"/>
          <w:sz w:val="18"/>
          <w:szCs w:val="18"/>
          <w:color w:val="auto"/>
        </w:rPr>
      </w:pPr>
    </w:p>
    <w:p>
      <w:pPr>
        <w:ind w:left="760" w:hanging="382"/>
        <w:spacing w:after="0" w:line="282" w:lineRule="auto"/>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Integrated Drilling Services </w:t>
      </w:r>
      <w:r>
        <w:rPr>
          <w:rFonts w:ascii="Times New Roman" w:cs="Times New Roman" w:eastAsia="Times New Roman" w:hAnsi="Times New Roman"/>
          <w:sz w:val="17"/>
          <w:szCs w:val="17"/>
          <w:color w:val="auto"/>
        </w:rPr>
        <w:t>encompasses the services necessary to construct or change the architecture (re-entry) of wells. This service covers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aspects of well planning, well drilling, engineering, supervision, logistics, procurement and contracting of third parties, and drilling rig management.</w:t>
      </w:r>
    </w:p>
    <w:p>
      <w:pPr>
        <w:spacing w:after="0" w:line="15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Production Group </w:t>
      </w:r>
      <w:r>
        <w:rPr>
          <w:rFonts w:ascii="Times New Roman" w:cs="Times New Roman" w:eastAsia="Times New Roman" w:hAnsi="Times New Roman"/>
          <w:sz w:val="18"/>
          <w:szCs w:val="18"/>
          <w:color w:val="auto"/>
        </w:rPr>
        <w:t>– Consists of the principal Technologies involved in the lifetime production of oil and gas reservoirs and includes Well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Completions, Artificial Lift, Well Intervention, Water Services, Integrated Production Services and Schlumberger Production Management.</w:t>
      </w:r>
    </w:p>
    <w:p>
      <w:pPr>
        <w:spacing w:after="0" w:line="159" w:lineRule="exact"/>
        <w:rPr>
          <w:sz w:val="20"/>
          <w:szCs w:val="20"/>
          <w:color w:val="auto"/>
        </w:rPr>
      </w:pPr>
    </w:p>
    <w:p>
      <w:pPr>
        <w:ind w:left="760" w:right="20" w:hanging="382"/>
        <w:spacing w:after="0" w:line="258"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Well Services </w:t>
      </w:r>
      <w:r>
        <w:rPr>
          <w:rFonts w:ascii="Times New Roman" w:cs="Times New Roman" w:eastAsia="Times New Roman" w:hAnsi="Times New Roman"/>
          <w:sz w:val="18"/>
          <w:szCs w:val="18"/>
          <w:color w:val="auto"/>
        </w:rPr>
        <w:t>provides services used during oil and gas well drilling and completion as well as those used to maintain optimal production throughout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life of a well. The services include pressure pumping, well cementing and stimulation operations as well as intervention activities.</w:t>
      </w:r>
    </w:p>
    <w:p>
      <w:pPr>
        <w:spacing w:after="0" w:line="1" w:lineRule="exact"/>
        <w:rPr>
          <w:rFonts w:ascii="Times New Roman" w:cs="Times New Roman" w:eastAsia="Times New Roman" w:hAnsi="Times New Roman"/>
          <w:sz w:val="18"/>
          <w:szCs w:val="18"/>
          <w:color w:val="auto"/>
        </w:rPr>
      </w:pPr>
    </w:p>
    <w:p>
      <w:pPr>
        <w:ind w:left="760" w:hanging="382"/>
        <w:spacing w:after="0" w:line="24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Completions </w:t>
      </w:r>
      <w:r>
        <w:rPr>
          <w:rFonts w:ascii="Times New Roman" w:cs="Times New Roman" w:eastAsia="Times New Roman" w:hAnsi="Times New Roman"/>
          <w:sz w:val="18"/>
          <w:szCs w:val="18"/>
          <w:color w:val="auto"/>
        </w:rPr>
        <w:t>supplies well completion services and equipment that include packers, safety valves, sand control technology as well as a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intelligent well completions technology and equipment.</w:t>
      </w:r>
    </w:p>
    <w:p>
      <w:pPr>
        <w:ind w:left="760" w:hanging="382"/>
        <w:spacing w:after="0" w:line="24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Artificial Lift </w:t>
      </w:r>
      <w:r>
        <w:rPr>
          <w:rFonts w:ascii="Times New Roman" w:cs="Times New Roman" w:eastAsia="Times New Roman" w:hAnsi="Times New Roman"/>
          <w:sz w:val="18"/>
          <w:szCs w:val="18"/>
          <w:color w:val="auto"/>
        </w:rPr>
        <w:t>provides production equipment and optimization services using electrical submersible pumps, gas lift equipment, rod lift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progressing cavity pumps and surface horizontal pumping systems.</w:t>
      </w:r>
    </w:p>
    <w:p>
      <w:pPr>
        <w:ind w:left="760" w:hanging="382"/>
        <w:spacing w:after="0" w:line="24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Well Intervention </w:t>
      </w:r>
      <w:r>
        <w:rPr>
          <w:rFonts w:ascii="Times New Roman" w:cs="Times New Roman" w:eastAsia="Times New Roman" w:hAnsi="Times New Roman"/>
          <w:sz w:val="18"/>
          <w:szCs w:val="18"/>
          <w:color w:val="auto"/>
        </w:rPr>
        <w:t>develops coiled tubing equipment and services and provides slickline services for downhole mechanical well intervention, reservoir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monitoring and downhole data acquisition.</w:t>
      </w:r>
    </w:p>
    <w:p>
      <w:pPr>
        <w:ind w:left="760" w:hanging="382"/>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Water Services </w:t>
      </w:r>
      <w:r>
        <w:rPr>
          <w:rFonts w:ascii="Times New Roman" w:cs="Times New Roman" w:eastAsia="Times New Roman" w:hAnsi="Times New Roman"/>
          <w:sz w:val="18"/>
          <w:szCs w:val="18"/>
          <w:color w:val="auto"/>
        </w:rPr>
        <w:t>specializes in the development, management and environmental protection of water resources.</w:t>
      </w:r>
    </w:p>
    <w:p>
      <w:pPr>
        <w:spacing w:after="0" w:line="5" w:lineRule="exact"/>
        <w:rPr>
          <w:rFonts w:ascii="Times New Roman" w:cs="Times New Roman" w:eastAsia="Times New Roman" w:hAnsi="Times New Roman"/>
          <w:sz w:val="18"/>
          <w:szCs w:val="18"/>
          <w:color w:val="auto"/>
        </w:rPr>
      </w:pPr>
    </w:p>
    <w:p>
      <w:pPr>
        <w:jc w:val="both"/>
        <w:ind w:left="760" w:hanging="382"/>
        <w:spacing w:after="0" w:line="24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Integrated Production Services </w:t>
      </w:r>
      <w:r>
        <w:rPr>
          <w:rFonts w:ascii="Times New Roman" w:cs="Times New Roman" w:eastAsia="Times New Roman" w:hAnsi="Times New Roman"/>
          <w:sz w:val="18"/>
          <w:szCs w:val="18"/>
          <w:color w:val="auto"/>
        </w:rPr>
        <w:t>encompasses the project scope necessary to abandon, maintain, or increase the production of single or multiple wells.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aspects of project planning addressed include well engineering, wellsite supervision, civil engineering, logistics, procurement, contracting of third parties, and workovers.</w:t>
      </w:r>
    </w:p>
    <w:p>
      <w:pPr>
        <w:spacing w:after="0" w:line="1" w:lineRule="exact"/>
        <w:rPr>
          <w:rFonts w:ascii="Times New Roman" w:cs="Times New Roman" w:eastAsia="Times New Roman" w:hAnsi="Times New Roman"/>
          <w:sz w:val="18"/>
          <w:szCs w:val="18"/>
          <w:color w:val="auto"/>
        </w:rPr>
      </w:pPr>
    </w:p>
    <w:p>
      <w:pPr>
        <w:jc w:val="both"/>
        <w:ind w:left="760" w:hanging="382"/>
        <w:spacing w:after="0" w:line="249"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Schlumberger Production Management (SPM) </w:t>
      </w:r>
      <w:r>
        <w:rPr>
          <w:rFonts w:ascii="Times New Roman" w:cs="Times New Roman" w:eastAsia="Times New Roman" w:hAnsi="Times New Roman"/>
          <w:sz w:val="18"/>
          <w:szCs w:val="18"/>
          <w:color w:val="auto"/>
        </w:rPr>
        <w:t>is a business model for field production projects. This model combines the required services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of the Technologies with drilling rig management, specialized engineering and project management expertise to provide a complete solution to well construction and production improvement.</w:t>
      </w:r>
    </w:p>
    <w:p>
      <w:pPr>
        <w:spacing w:after="0" w:line="187" w:lineRule="exact"/>
        <w:rPr>
          <w:rFonts w:ascii="Times New Roman" w:cs="Times New Roman" w:eastAsia="Times New Roman" w:hAnsi="Times New Roman"/>
          <w:sz w:val="18"/>
          <w:szCs w:val="18"/>
          <w:color w:val="auto"/>
        </w:rPr>
      </w:pPr>
    </w:p>
    <w:p>
      <w:pPr>
        <w:jc w:val="both"/>
        <w:ind w:left="7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SPM commercial arrangements create alignment between Schlumberger and the asset holder and/or the operator whereby Schlumberger receives remuneration in line with its value creation. These projects are generally focused on developing and co-managing production of Schlumberger’s customers’ assets under long-term agreements. Schlumberger will invest its own services and products, and in some cases cash, into the field development activities and operations. Although in certain arrangements Schlumberger is paid for a portion of the services or products it provides, generally Schlumberger will not be paid at the time of providing its services or upon delivery of its products. Instead, Schlumberger is generally compensated based upon cash flow generated or on a fee-per-barrel basis. This may include certain arrangements whereby Schlumberger is only compensated based upon incremental production that it helps deliver above a mutually agreed baseline.</w:t>
      </w:r>
    </w:p>
    <w:p>
      <w:pPr>
        <w:spacing w:after="0" w:line="186" w:lineRule="exact"/>
        <w:rPr>
          <w:sz w:val="20"/>
          <w:szCs w:val="20"/>
          <w:color w:val="auto"/>
        </w:rPr>
      </w:pPr>
    </w:p>
    <w:p>
      <w:pPr>
        <w:jc w:val="both"/>
        <w:ind w:left="380"/>
        <w:spacing w:after="0" w:line="217" w:lineRule="auto"/>
        <w:rPr>
          <w:sz w:val="20"/>
          <w:szCs w:val="20"/>
          <w:color w:val="auto"/>
        </w:rPr>
      </w:pPr>
      <w:r>
        <w:rPr>
          <w:rFonts w:ascii="Times New Roman" w:cs="Times New Roman" w:eastAsia="Times New Roman" w:hAnsi="Times New Roman"/>
          <w:sz w:val="18"/>
          <w:szCs w:val="18"/>
          <w:color w:val="auto"/>
        </w:rPr>
        <w:t>Schlumberger also has a 40% equity ownership interest in OneSubsea</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18"/>
          <w:szCs w:val="18"/>
          <w:color w:val="auto"/>
        </w:rPr>
        <w:t>, a joint venture with Cameron. The joint venture manufactures and develops products, systems and services for the subsea oil and gas market. Schlumberger’s 40% share of the net income of the joint venture is reflected in the results of the Production Group.</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spacing w:after="0" w:line="260" w:lineRule="auto"/>
        <w:rPr>
          <w:sz w:val="20"/>
          <w:szCs w:val="20"/>
          <w:color w:val="auto"/>
        </w:rPr>
      </w:pPr>
      <w:r>
        <w:rPr>
          <w:rFonts w:ascii="Times New Roman" w:cs="Times New Roman" w:eastAsia="Times New Roman" w:hAnsi="Times New Roman"/>
          <w:sz w:val="18"/>
          <w:szCs w:val="18"/>
          <w:color w:val="auto"/>
        </w:rPr>
        <w:t>Supporting the Technologies is a global network of research and engineering centers. Through this organization, Schlumberger is committed to advanced technology programs that enhance oilfield efficiency, lower finding and producing costs, improve productivity, maximize reserve recovery and increase asset value while accomplishing these goals in a safe and environmentally sound manner.</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Schlumberger primarily uses its own personnel to market its offerings. The customer base, business risks and opportunities for growth are essentially uniform across all services. There is a sharing of manufacturing and engineering facilities as well as research centers, and the labor force is interchangeable. Technological innovation, quality of service and price differentiation are the principal methods of competition, which vary geographically with respect to the different services offered. While there are numerous competitors, both large and small, Schlumberger believes that it is an industry leader in providing geophysical services, wireline logging, well testing, exploration and production software, drilling and completion fluids, solids and waste management, coiled-tubing, drill bits, measurement-while-drilling, logging-while-drilling, directional drilling services and mud logging. A large proportion of Schlumberger offerings is non-rig related; consequently, revenue does not necessarily correlate to the rig count.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owns and controls a variety of intellectual property, including but not limited to patents, proprietary information and software tools and applications that, in the aggregate, are material to Schlumberger’s business. While Schlumberger seeks and holds numerous patents covering various products and processes, no particular patent or group of patents is considered material to Schlumberger’s business.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Seasonal changes in weather and significant weather events can temporarily affect the delivery of oilfield services. For example, the spring thaw in Canada and consequent road restrictions can affect activity levels, while the winter months in the North Sea, Russia and China can produce severe weather conditions that typically result in temporarily reduced levels of activity. In addition, hurricanes and typhoons can disrupt coastal and offshore operations. Furthermore, customer spending patterns for multiclient data, software and other oilfield services and products generally result in higher activity in the fourth quarter of each year as clients seek to utilize their annual budgets.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Backlog of Orders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year ended December 31, 2015, no single customer exceeded 10% of consolidated revenue. Other than WesternGeco, Schlumberger has no significant backlog due to the nature of its businesses. The WesternGeco backlog, which is based on signed contracts with customers, was $1.1 billion at December 31, 2015 ($0.7 billion at December 31, 2014).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1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 xml:space="preserve">Financial information by business segment and geographic area for the years ended December 31, 2015, 2014 and 2013 is provided in Note 17 of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of Schlumberger</w:t>
      </w:r>
    </w:p>
    <w:p>
      <w:pPr>
        <w:spacing w:after="0" w:line="11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The following table sets forth, as of January 27, 2016, the names and ages of the executive officers of Schlumberger, including all offices and positions held by each for at least the past five years.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3"/>
              </w:rPr>
              <w:t>Age</w:t>
            </w: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Current Position and Five-Year Business Experience</w:t>
            </w:r>
          </w:p>
        </w:tc>
      </w:tr>
      <w:tr>
        <w:trPr>
          <w:trHeight w:val="20"/>
        </w:trPr>
        <w:tc>
          <w:tcPr>
            <w:tcW w:w="4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427"/>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Paal Kibsgaard</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80" w:type="dxa"/>
            <w:vAlign w:val="bottom"/>
          </w:tcPr>
          <w:p>
            <w:pPr>
              <w:spacing w:after="0"/>
              <w:rPr>
                <w:sz w:val="24"/>
                <w:szCs w:val="24"/>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Chairman of the Board of Directors, since April 2015; Chief Executive Officer, since August 2011; Director since April</w:t>
            </w:r>
          </w:p>
        </w:tc>
      </w:tr>
      <w:tr>
        <w:trPr>
          <w:trHeight w:val="232"/>
        </w:trPr>
        <w:tc>
          <w:tcPr>
            <w:tcW w:w="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2011; Chief Operating Officer, February 2010 to July 2011.</w:t>
            </w:r>
          </w:p>
        </w:tc>
      </w:tr>
      <w:tr>
        <w:trPr>
          <w:trHeight w:val="425"/>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Ayat</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tcPr>
          <w:p>
            <w:pPr>
              <w:spacing w:after="0"/>
              <w:rPr>
                <w:sz w:val="24"/>
                <w:szCs w:val="24"/>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Executive Vice President and Chief Financial Officer, since March 2007.</w:t>
            </w:r>
          </w:p>
        </w:tc>
      </w:tr>
      <w:tr>
        <w:trPr>
          <w:trHeight w:val="425"/>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Alexander Juden</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tcPr>
          <w:p>
            <w:pPr>
              <w:spacing w:after="0"/>
              <w:rPr>
                <w:sz w:val="24"/>
                <w:szCs w:val="24"/>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Secretary and General Counsel, since April 2009.</w:t>
            </w:r>
          </w:p>
        </w:tc>
      </w:tr>
      <w:tr>
        <w:trPr>
          <w:trHeight w:val="40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Ashok Belani</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80" w:type="dxa"/>
            <w:vAlign w:val="bottom"/>
          </w:tcPr>
          <w:p>
            <w:pPr>
              <w:spacing w:after="0"/>
              <w:rPr>
                <w:sz w:val="24"/>
                <w:szCs w:val="24"/>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7"/>
              </w:rPr>
              <w:t>Executive Vice President, Technology, since January 2011; President, Reservoir Characterization Group, February 2010</w:t>
            </w:r>
          </w:p>
        </w:tc>
      </w:tr>
      <w:tr>
        <w:trPr>
          <w:trHeight w:val="232"/>
        </w:trPr>
        <w:tc>
          <w:tcPr>
            <w:tcW w:w="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 August 2011.</w:t>
            </w:r>
          </w:p>
        </w:tc>
      </w:tr>
      <w:tr>
        <w:trPr>
          <w:trHeight w:val="40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Jean-Francois Poupeau</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tcPr>
          <w:p>
            <w:pPr>
              <w:spacing w:after="0"/>
              <w:rPr>
                <w:sz w:val="24"/>
                <w:szCs w:val="24"/>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Executive Vice President Corporate Development and Communications, since June 2012; President, Drilling Group,</w:t>
            </w:r>
          </w:p>
        </w:tc>
      </w:tr>
      <w:tr>
        <w:trPr>
          <w:trHeight w:val="232"/>
        </w:trPr>
        <w:tc>
          <w:tcPr>
            <w:tcW w:w="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May 2010 to June 2012.</w:t>
            </w:r>
          </w:p>
        </w:tc>
      </w:tr>
      <w:tr>
        <w:trPr>
          <w:trHeight w:val="40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Khaled Al Mogharbel</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80" w:type="dxa"/>
            <w:vAlign w:val="bottom"/>
          </w:tcPr>
          <w:p>
            <w:pPr>
              <w:spacing w:after="0"/>
              <w:rPr>
                <w:sz w:val="24"/>
                <w:szCs w:val="24"/>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President, Drilling Group, since July 2013; President, Middle East, August 2011 to June 2013; Project – Gulfsands</w:t>
            </w:r>
          </w:p>
        </w:tc>
      </w:tr>
      <w:tr>
        <w:trPr>
          <w:trHeight w:val="232"/>
        </w:trPr>
        <w:tc>
          <w:tcPr>
            <w:tcW w:w="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Petroleum – Syria, July 2009 to July 2011.</w:t>
            </w:r>
          </w:p>
        </w:tc>
      </w:tr>
      <w:tr>
        <w:trPr>
          <w:trHeight w:val="40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Stephane Biguet</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80" w:type="dxa"/>
            <w:vAlign w:val="bottom"/>
          </w:tcPr>
          <w:p>
            <w:pPr>
              <w:spacing w:after="0"/>
              <w:rPr>
                <w:sz w:val="24"/>
                <w:szCs w:val="24"/>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Vice President Controller, Operations, since August 2015; Vice President Controller, Operations &amp; Integration, from</w:t>
            </w:r>
          </w:p>
        </w:tc>
      </w:tr>
      <w:tr>
        <w:trPr>
          <w:trHeight w:val="213"/>
        </w:trPr>
        <w:tc>
          <w:tcPr>
            <w:tcW w:w="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November 2013 to August 2015; Vice President, Global Shared Services Organization, August 2011 to October 2013;</w:t>
            </w:r>
          </w:p>
        </w:tc>
      </w:tr>
      <w:tr>
        <w:trPr>
          <w:trHeight w:val="213"/>
        </w:trPr>
        <w:tc>
          <w:tcPr>
            <w:tcW w:w="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Mergers and Acquisitions Director, February 2011 to July 2011; Controller, Reservoir Characterization Group, October</w:t>
            </w:r>
          </w:p>
        </w:tc>
      </w:tr>
      <w:tr>
        <w:trPr>
          <w:trHeight w:val="232"/>
        </w:trPr>
        <w:tc>
          <w:tcPr>
            <w:tcW w:w="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2008 to July 2011.</w:t>
            </w:r>
          </w:p>
        </w:tc>
      </w:tr>
      <w:tr>
        <w:trPr>
          <w:trHeight w:val="425"/>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Danton</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80" w:type="dxa"/>
            <w:vAlign w:val="bottom"/>
          </w:tcPr>
          <w:p>
            <w:pPr>
              <w:spacing w:after="0"/>
              <w:rPr>
                <w:sz w:val="24"/>
                <w:szCs w:val="24"/>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Vice President – Director of Taxes, since January 1999.</w:t>
            </w:r>
          </w:p>
        </w:tc>
      </w:tr>
      <w:tr>
        <w:trPr>
          <w:trHeight w:val="40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Farrant</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80" w:type="dxa"/>
            <w:vAlign w:val="bottom"/>
          </w:tcPr>
          <w:p>
            <w:pPr>
              <w:spacing w:after="0"/>
              <w:rPr>
                <w:sz w:val="24"/>
                <w:szCs w:val="24"/>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Vice President, Investor Relations, since February 2014; Special Projects Manager, December 2013 to January 2014;</w:t>
            </w:r>
          </w:p>
        </w:tc>
      </w:tr>
      <w:tr>
        <w:trPr>
          <w:trHeight w:val="213"/>
        </w:trPr>
        <w:tc>
          <w:tcPr>
            <w:tcW w:w="4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GeoMarket Manager, North Sea, April 2012 to November 2013; Integration Manager, Smith Merger, April 2010 to</w:t>
            </w:r>
          </w:p>
        </w:tc>
      </w:tr>
      <w:tr>
        <w:trPr>
          <w:trHeight w:val="232"/>
        </w:trPr>
        <w:tc>
          <w:tcPr>
            <w:tcW w:w="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April 2012.</w:t>
            </w:r>
          </w:p>
        </w:tc>
      </w:tr>
      <w:tr>
        <w:trPr>
          <w:trHeight w:val="40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Sherif Foda</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tcPr>
          <w:p>
            <w:pPr>
              <w:spacing w:after="0"/>
              <w:rPr>
                <w:sz w:val="24"/>
                <w:szCs w:val="24"/>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President, Production Group, since July 2013; President, Europe and Africa, June 2011 to June 2013; Saudi Arabia and</w:t>
            </w:r>
          </w:p>
        </w:tc>
      </w:tr>
      <w:tr>
        <w:trPr>
          <w:trHeight w:val="232"/>
        </w:trPr>
        <w:tc>
          <w:tcPr>
            <w:tcW w:w="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Bahrain GeoMarket Manager, June 2009 to June 2011.</w:t>
            </w:r>
          </w:p>
        </w:tc>
      </w:tr>
      <w:tr>
        <w:trPr>
          <w:trHeight w:val="425"/>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Aaron Gatt Floridia</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80" w:type="dxa"/>
            <w:vAlign w:val="bottom"/>
          </w:tcPr>
          <w:p>
            <w:pPr>
              <w:spacing w:after="0"/>
              <w:rPr>
                <w:sz w:val="24"/>
                <w:szCs w:val="24"/>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President, Reservoir Characterization Group, since August 2011; President Middle East, May 2009 to July 2011.</w:t>
            </w:r>
          </w:p>
        </w:tc>
      </w:tr>
      <w:tr>
        <w:trPr>
          <w:trHeight w:val="425"/>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Howard Guild</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80" w:type="dxa"/>
            <w:vAlign w:val="bottom"/>
          </w:tcPr>
          <w:p>
            <w:pPr>
              <w:spacing w:after="0"/>
              <w:rPr>
                <w:sz w:val="24"/>
                <w:szCs w:val="24"/>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Chief Accounting Officer, since July 2005.</w:t>
            </w:r>
          </w:p>
        </w:tc>
      </w:tr>
      <w:tr>
        <w:trPr>
          <w:trHeight w:val="40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Imran Kizilbash</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80" w:type="dxa"/>
            <w:vAlign w:val="bottom"/>
          </w:tcPr>
          <w:p>
            <w:pPr>
              <w:spacing w:after="0"/>
              <w:rPr>
                <w:sz w:val="24"/>
                <w:szCs w:val="24"/>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Vice President and Treasurer, since November 2013; Controller, Operations &amp; Integration, July 2013 to October 2013;</w:t>
            </w:r>
          </w:p>
        </w:tc>
      </w:tr>
      <w:tr>
        <w:trPr>
          <w:trHeight w:val="232"/>
        </w:trPr>
        <w:tc>
          <w:tcPr>
            <w:tcW w:w="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Controller, Operations, January 2011 to June 2013; Controller, Schlumberger Limited, May 2009 to January 2011.</w:t>
            </w:r>
          </w:p>
        </w:tc>
      </w:tr>
      <w:tr>
        <w:trPr>
          <w:trHeight w:val="40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Gerard Martellozo</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tcPr>
          <w:p>
            <w:pPr>
              <w:spacing w:after="0"/>
              <w:rPr>
                <w:sz w:val="24"/>
                <w:szCs w:val="24"/>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Vice President Human Resources, since June 2014; Senior Advisor to the CEO, August 2012 to May 2014; Human</w:t>
            </w:r>
          </w:p>
        </w:tc>
      </w:tr>
      <w:tr>
        <w:trPr>
          <w:trHeight w:val="232"/>
        </w:trPr>
        <w:tc>
          <w:tcPr>
            <w:tcW w:w="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Resources Manager, Drilling Group, May 2010 to July 2012.</w:t>
            </w:r>
          </w:p>
        </w:tc>
      </w:tr>
      <w:tr>
        <w:trPr>
          <w:trHeight w:val="40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Schorn</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80" w:type="dxa"/>
            <w:vAlign w:val="bottom"/>
          </w:tcPr>
          <w:p>
            <w:pPr>
              <w:spacing w:after="0"/>
              <w:rPr>
                <w:sz w:val="24"/>
                <w:szCs w:val="24"/>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President, Operations, since August 2015; President, Operations &amp; Integration, July 2013 to August 2015; President,</w:t>
            </w:r>
          </w:p>
        </w:tc>
      </w:tr>
      <w:tr>
        <w:trPr>
          <w:trHeight w:val="232"/>
        </w:trPr>
        <w:tc>
          <w:tcPr>
            <w:tcW w:w="4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Production Group, January 2011 to June 2013; President Well Services, May 2008 to January 2011.</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Schlumberger Internet website is </w:t>
      </w:r>
      <w:r>
        <w:rPr>
          <w:rFonts w:ascii="Times New Roman" w:cs="Times New Roman" w:eastAsia="Times New Roman" w:hAnsi="Times New Roman"/>
          <w:sz w:val="18"/>
          <w:szCs w:val="18"/>
          <w:u w:val="single" w:color="auto"/>
          <w:color w:val="auto"/>
        </w:rPr>
        <w:t>www.slb.com</w:t>
      </w:r>
      <w:r>
        <w:rPr>
          <w:rFonts w:ascii="Times New Roman" w:cs="Times New Roman" w:eastAsia="Times New Roman" w:hAnsi="Times New Roman"/>
          <w:sz w:val="18"/>
          <w:szCs w:val="18"/>
          <w:color w:val="auto"/>
        </w:rPr>
        <w:t xml:space="preserve">. Schlumberger uses its Investor Relations website, </w:t>
      </w:r>
      <w:r>
        <w:rPr>
          <w:rFonts w:ascii="Times New Roman" w:cs="Times New Roman" w:eastAsia="Times New Roman" w:hAnsi="Times New Roman"/>
          <w:sz w:val="18"/>
          <w:szCs w:val="18"/>
          <w:u w:val="single" w:color="auto"/>
          <w:color w:val="auto"/>
        </w:rPr>
        <w:t>www.slb.com/ir</w:t>
      </w:r>
      <w:r>
        <w:rPr>
          <w:rFonts w:ascii="Times New Roman" w:cs="Times New Roman" w:eastAsia="Times New Roman" w:hAnsi="Times New Roman"/>
          <w:sz w:val="18"/>
          <w:szCs w:val="18"/>
          <w:color w:val="auto"/>
        </w:rPr>
        <w:t xml:space="preserve">, as a routine channel for distribution of important information, including news releases, analyst presentations, and financial information. Schlumberger makes available free of charge on or through its Investor Relations website at </w:t>
      </w:r>
      <w:r>
        <w:rPr>
          <w:rFonts w:ascii="Times New Roman" w:cs="Times New Roman" w:eastAsia="Times New Roman" w:hAnsi="Times New Roman"/>
          <w:sz w:val="18"/>
          <w:szCs w:val="18"/>
          <w:u w:val="single" w:color="auto"/>
          <w:color w:val="auto"/>
        </w:rPr>
        <w:t>www.slb.com/ir</w:t>
      </w:r>
      <w:r>
        <w:rPr>
          <w:rFonts w:ascii="Times New Roman" w:cs="Times New Roman" w:eastAsia="Times New Roman" w:hAnsi="Times New Roman"/>
          <w:sz w:val="18"/>
          <w:szCs w:val="18"/>
          <w:color w:val="auto"/>
        </w:rPr>
        <w:t xml:space="preserve"> access to its Annual Reports on Form 10-K, Quarterly Reports on Form 10-Q, Current Reports on Form 8-K, its Proxy Statements and Forms 3, 4 and 5 filed on behalf of directors and executive officers, and amendments to each of those reports, as soon as reasonably practicable after such material is filed with or furnished to the Securities and Exchange Commission (“SEC”). Alternatively, you may access these reports at the SEC’s Internet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Copies are also available, without charge, from Schlumberger Investor Relations, 5599 San Felipe, 17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Houston, Texas 77056. Unless expressly noted, the information on our website or any other website is not incorporated by reference in this Form 10-K and should not be considered part of this Form 10-K or any other filing Schlumberger makes with the SEC.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18"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following discussion of risk factors known to us contains important information for the understanding of our “forward-looking statements,” which are discussed immediately following Item 7A. of this Form 10-K and elsewhere. These risk factors should also be read in conjunction with Item 7. Management’s Discussion and Analysis of Financial Condition and Results of Operations, and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and related notes included in this Form 10-K.</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We urge you to consider carefully the risks described below, as well as in other reports and materials that we file with the SEC and the other information included or incorporated by reference in this Form 10-K. If any of the risks described below or elsewhere in this Form 10-K were to materialize, our business, financial condition, results of operations, cash flows or prospects could be materially adversely affected. In such case, the trading price of our common stock could decline and you could lose part or all of your investment. Additional risks and uncertainties not currently known to us or that we currently deem immaterial may also materially adversely affect our financial condition, results of operations and cash flows.</w:t>
      </w:r>
    </w:p>
    <w:p>
      <w:pPr>
        <w:spacing w:after="0" w:line="18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color w:val="auto"/>
        </w:rPr>
        <w:t>Demand for the majority of our services is substantially dependent on the levels of expenditures by the oil and gas industry. The current significant oil and gas industry downturn has resulted in reduced demand for oilfield services, which has had, and may continue to have, a significant adverse impact on our financial condition, results of operations and cash flows. If these conditions worsen or oil and gas prices do not improve, further reductions in spending by the oil and gas industry could have a material adverse effect on our financial condition, results of operations and cash flows.</w:t>
      </w:r>
    </w:p>
    <w:p>
      <w:pPr>
        <w:spacing w:after="0" w:line="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Demand for the majority of our services depends substantially on the level of expenditures by the oil and gas industry for the exploration, development and production of oil and natural gas reserves. These expenditures are generally dependent on the industry’s view of future oil and natural gas prices and are sensitive to the industry’s view of future economic growth and the resulting impact on demand for oil and natural gas. Since 2014, oil and gas prices have declined significantly, resulting in lower expenditures by the oil and gas industry. As a result, many of our customers have reduced or delayed their oil and gas exploration and production spending, reducing the demand for our services and exerting downward pressure on the prices that we charge. These conditions have had, and may continue to have, an adverse impact on our financial condition.</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Continued low oil and gas prices or a further decline in oil and gas prices could cause a reduction in cash flows for our customers, which could have significant adverse effects on the financial condition of some of our customers. This could result in project modifications, delays or cancellations, general business disruptions, and delays in payment of, or nonpayment of, amounts that are owed to us. These effects could have a material adverse effect on our financial condition, results of operations and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prices for oil and natural gas have historically been volatile and can be affected by a variety of factors, including:</w:t>
      </w:r>
    </w:p>
    <w:p>
      <w:pPr>
        <w:spacing w:after="0" w:line="112" w:lineRule="exact"/>
        <w:rPr>
          <w:sz w:val="20"/>
          <w:szCs w:val="20"/>
          <w:color w:val="auto"/>
        </w:rPr>
      </w:pPr>
    </w:p>
    <w:p>
      <w:pPr>
        <w:ind w:left="760" w:hanging="38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hydrocarbons, which is affected by general economic and business conditions;</w:t>
      </w:r>
    </w:p>
    <w:p>
      <w:pPr>
        <w:spacing w:after="0" w:line="111"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or willingness of the Organization of Petroleum Exporting Countries (“OPEC”) to set and maintain production levels for oil;</w:t>
      </w:r>
    </w:p>
    <w:p>
      <w:pPr>
        <w:spacing w:after="0" w:line="111"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gas production levels by non-OPEC countries;</w:t>
      </w:r>
    </w:p>
    <w:p>
      <w:pPr>
        <w:spacing w:after="0" w:line="111"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excess production capacity;</w:t>
      </w:r>
    </w:p>
    <w:p>
      <w:pPr>
        <w:spacing w:after="0" w:line="111"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uncertainty and geopolitical unrest;</w:t>
      </w:r>
    </w:p>
    <w:p>
      <w:pPr>
        <w:spacing w:after="0" w:line="111"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worldwide oil and gas exploration and production activity;</w:t>
      </w:r>
    </w:p>
    <w:p>
      <w:pPr>
        <w:spacing w:after="0" w:line="111"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potential resources;</w:t>
      </w:r>
    </w:p>
    <w:p>
      <w:pPr>
        <w:spacing w:after="0" w:line="111"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policies and subsidies;</w:t>
      </w:r>
    </w:p>
    <w:p>
      <w:pPr>
        <w:spacing w:after="0" w:line="111"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exploring for, producing and delivering oil and gas;</w:t>
      </w:r>
    </w:p>
    <w:p>
      <w:pPr>
        <w:spacing w:after="0" w:line="111"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affecting energy consumption; and</w:t>
      </w:r>
    </w:p>
    <w:p>
      <w:pPr>
        <w:spacing w:after="0" w:line="111"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21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There can be no assurance that the demand or pricing for oil and natural gas will follow historic patterns or recover in the near term. Continued or worsening conditions in the oil and gas industry could further adversely affect our financial condition, results of operations and cash flows.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7" w:name="page8"/>
    <w:bookmarkEnd w:id="7"/>
    <w:p>
      <w:pPr>
        <w:ind w:right="20"/>
        <w:spacing w:after="0" w:line="277" w:lineRule="auto"/>
        <w:rPr>
          <w:sz w:val="20"/>
          <w:szCs w:val="20"/>
          <w:color w:val="auto"/>
        </w:rPr>
      </w:pPr>
      <w:r>
        <w:rPr>
          <w:rFonts w:ascii="Times New Roman" w:cs="Times New Roman" w:eastAsia="Times New Roman" w:hAnsi="Times New Roman"/>
          <w:sz w:val="18"/>
          <w:szCs w:val="18"/>
          <w:b w:val="1"/>
          <w:bCs w:val="1"/>
          <w:color w:val="auto"/>
        </w:rPr>
        <w:t>A significant portion of our revenue is derived from our non-United States operations, which exposes us to risks inherent in doing business in each of the approximately 85 countries in which we operate.</w:t>
      </w:r>
    </w:p>
    <w:p>
      <w:pPr>
        <w:spacing w:after="0" w:line="5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Our non-United States operations accounted for approximately 76% of our consolidated revenue in 2015, 71% in 2014 and 73% in 2013. Operations in countries other than the United States are subject to various risks, including:</w:t>
      </w:r>
    </w:p>
    <w:p>
      <w:pPr>
        <w:spacing w:after="0" w:line="57" w:lineRule="exact"/>
        <w:rPr>
          <w:sz w:val="20"/>
          <w:szCs w:val="20"/>
          <w:color w:val="auto"/>
        </w:rPr>
      </w:pPr>
    </w:p>
    <w:p>
      <w:pPr>
        <w:ind w:left="760" w:hanging="38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political, social and economic conditions in certain areas;</w:t>
      </w:r>
    </w:p>
    <w:p>
      <w:pPr>
        <w:spacing w:after="0" w:line="111"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possible expropriation of our assets or other governmental actions;</w:t>
      </w:r>
    </w:p>
    <w:p>
      <w:pPr>
        <w:spacing w:after="0" w:line="111"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acts of terrorism, war or other armed conflict;</w:t>
      </w:r>
    </w:p>
    <w:p>
      <w:pPr>
        <w:spacing w:after="0" w:line="111"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confiscatory taxation or other adverse tax policies;</w:t>
      </w:r>
    </w:p>
    <w:p>
      <w:pPr>
        <w:spacing w:after="0" w:line="111"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deprivation of contract rights;</w:t>
      </w:r>
    </w:p>
    <w:p>
      <w:pPr>
        <w:spacing w:after="0" w:line="111"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economic sanctions or other restrictions imposed by the European Union, the United States or other countries;</w:t>
      </w:r>
    </w:p>
    <w:p>
      <w:pPr>
        <w:spacing w:after="0" w:line="111"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under the United States Foreign Corrupt Practices Act or similar legislation in other countries;</w:t>
      </w:r>
    </w:p>
    <w:p>
      <w:pPr>
        <w:spacing w:after="0" w:line="111"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repatriation of income or capital;</w:t>
      </w:r>
    </w:p>
    <w:p>
      <w:pPr>
        <w:spacing w:after="0" w:line="111"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controls;</w:t>
      </w:r>
    </w:p>
    <w:p>
      <w:pPr>
        <w:spacing w:after="0" w:line="111"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w:t>
      </w:r>
    </w:p>
    <w:p>
      <w:pPr>
        <w:spacing w:after="0" w:line="111"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devaluations.</w:t>
      </w:r>
    </w:p>
    <w:p>
      <w:pPr>
        <w:spacing w:after="0" w:line="2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completed the wind down of our service operations in Iran during the second quarter of 2013. Prior to this, certain of our non-US subsidiaries provided oilfield services to the National Iranian Oil Company and certain of its affiliates (“NIOC”). We have reclassified the results of this business as a discontinued operation. All prior periods have been restated accordingly.</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residual transactions or dealings with the government of Iran during 2015 consisted of payments of taxes and other typical governmental charges. Certain of our non-US subsidiaries maintained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maintains an account at Tejarat for payment of local expenses such as taxes and utilities. We anticipate that we will discontinue our dealings with Saderat and Tejarat following the receipt of all amounts owed to us for prior services rendered in Iran.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failure to comply with Foreign Corrupt Practices Act (“FCPA”) and other laws could have a negative impact on our ongoing operations.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complex US and foreign laws and regulations, such as the FCPA, the U.K. Bribery Act and various other anti-bribery and anti-corruption laws. We are also subject to trade sanction laws that restrict certain operations in various countries or with certain persons. The internal controls, policies and procedures, and employee training and compliance programs we have implemented to deter prohibited practices may not be effective in preventing employees, contractors or agents from violating or circumventing such internal policies and violating applicable laws and regulations. Any determination that we have violated or are responsible for violations of anti-bribery or anti-corruption laws could have a material adverse effect on our financial condition. Violations of international and US laws and regulations may result in fines and penalties, criminal sanctions, administrative remedies, restrictions on business conduct and could have a material adverse effect on our reputation and our business, operating results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compliance costs and liabilities could reduce our earnings and cash available for operations.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increasingly stringent laws and regulations relating to importation and use of hazardous materials, radioactive materials, chemicals and explosives and to environmental protection, including laws and regulations governing air emissions, hydraulic fracturing, water discharges and waste management. We incur, and expect to continue to incur, capital and operating costs to comply with environmental laws and regulations. The technical requirements of these laws and regulations are becoming increasingly complex, stringent and expensive to implement. These laws may provide for “strict liability” for remediation costs, damages to natural resources or threats to public health and safety. Strict liability can render a party liable for damages without regard to negligence or fault on the part of the party. Some environmental laws provide for joint and several strict liability for remediation of spills and releases of hazardous substances.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and generate hazardous substances and wastes in our operations. In addition, many of our current and former properties are, or have been, used for industrial purposes. Accordingly, we could become subject to material liabilities relating to the investigation and cleanup of potentially contaminated properties, and to claims alleging personal injury or property damage as the result of exposures to, or releases of, hazardous substances. In addition, stricter enforcement of existing laws and regulations, new laws and regulations,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8" w:name="page9"/>
    <w:bookmarkEnd w:id="8"/>
    <w:p>
      <w:pPr>
        <w:jc w:val="both"/>
        <w:spacing w:after="0" w:line="275" w:lineRule="auto"/>
        <w:rPr>
          <w:sz w:val="20"/>
          <w:szCs w:val="20"/>
          <w:color w:val="auto"/>
        </w:rPr>
      </w:pPr>
      <w:r>
        <w:rPr>
          <w:rFonts w:ascii="Times New Roman" w:cs="Times New Roman" w:eastAsia="Times New Roman" w:hAnsi="Times New Roman"/>
          <w:sz w:val="18"/>
          <w:szCs w:val="18"/>
          <w:color w:val="auto"/>
        </w:rPr>
        <w:t>discovery of previously unknown contamination or the imposition of new or increased requirements could require us to incur costs or become the basis of new or increased liabilities that could reduce our earnings and our cash available for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subject to substantial liability claims, which could adversely affect our financial condition, results of operations and cash flows.</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technical complexities of our operations expose us to a wide range of significant health, safety and environmental risks. Our offerings involve production-related activities, radioactive materials, chemicals, explosives and other equipment and services that are deployed in challenging exploration, development and production environments. An accident involving these services or equipment, or a failure of a product, could cause personal injury, loss of life, damage to or destruction of property, equipment or the environment, or suspension of operations. Our insurance may not protect us against liability for some kinds of events, including events involving pollution, or against losses resulting from business interruption. Moreover, we may not be able to maintain insurance at levels of risk coverage or policy limits that we deem adequate. Any damages caused by our services or products that are not covered by insurance, or are in excess of policy limits or are subject to substantial deductibles, could adversely affect our financial condition, results of operations and 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for our products and services could be reduced by existing and future legislation or regulations.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Environmental advocacy groups and regulatory agencies in the United States and other countries have been focusing considerable attention on the emissions of carbon dioxide, methane and other greenhouse gasses and their potential role in climate change. Existing or future legislation and regulations related to greenhouse gas emissions and climate change, as well as government initiatives to conserve energy or promote the use of alternative energy sources, may significantly curtail demand for and production of fossil fuels such as oil and gas in areas of the world where our customers operate and thus adversely affect future demand for our services. This may, in turn, adversely affect our financial condition, results of operations and cash flows.</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Some international, national, state and local governments and agencies have also adopted laws and regulations or are evaluating proposed legislation and regulations that are focused on the extraction of shale gas or oil using hydraulic fracturing. Hydraulic fracturing is a stimulation treatment routinely performed on oil and gas wells in low-permeability reservoirs. Specially engineered fluids are pumped at high pressure and rate into the reservoir interval to be treated, causing cracks in the target formation. Proppant, such as sand of a particular size, is mixed with the treatment fluid to keep the cracks open when the treatment is complete. Future hydraulic fracturing-related legislation or regulations could limit or ban hydraulic fracturing, or lead to operational delays and increased costs, and therefore reduce demand for our pressure pumping services. If such additional international, national, state or local legislation or regulations are enacted, it could adversely affect our financial condition, results of operations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maintain technology leadership, this could adversely affect any competitive advantage we hold.</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oilfield service industry is highly competitive. Our ability to continually provide competitive technology and services can impact our ability to defend, maintain or increase prices for our services, maintain market share, and negotiate acceptable contract terms with our customers. If we are unable to continue to develop and produce competitive technology or deliver it to our clients in a timely and cost-competitive manner in the various markets we serve, it could adversely affect our financial condition, results of operations and cash flows.</w:t>
      </w:r>
    </w:p>
    <w:p>
      <w:pPr>
        <w:spacing w:after="0" w:line="17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Limitations on our ability to protect our intellectual property rights, including our trade secrets, could cause a loss in revenue and any competitive advantage we hold.</w:t>
      </w:r>
    </w:p>
    <w:p>
      <w:pPr>
        <w:spacing w:after="0" w:line="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of our products or services, and the processes we use to produce or provide them, have been granted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 which could adversely affect our financial condition,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litigation if another party claims that we have infringed upon its intellectual property rights.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would increase our costs. Additionally, developing non-infringing technologies would increase our costs. If a license were not available, we might not be able to continue providing a particular service or product, which could adversely affect our financial condition, results of operations and cash flows.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Failure to obtain and retain skilled technical personnel could impede our operations.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require highly skilled personnel to operate and provide technical services and support for our business. Competition for the personnel required for our businesses intensifies as activity increases. In periods of high utilization it may become more difficult to find and retain qualified individuals. This could increase our costs or have other adverse effects on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Severe weather conditions may affect our operations.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business may be materially affected by severe weather conditions in areas where we operate. This may entail the evacuation of personnel and stoppage of services. In addition, if particularly severe weather affects platforms or structures, this may result in a suspension of activities. Any of these events could adversely affect our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risks and threats could affect our business.</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heavily on information systems to conduct our business. There can be no assurance that the systems we have designed to prevent or limit the effects of cyber incidents or attacks will be sufficient to prevent or detect such incidents or attacks, or to avoid a material impact on our systems when such incidents or attacks do occur. If our systems for protecting against cybersecurity risks are circumvented or breached, this could result in the loss of our intellectual property or other proprietary information, including customer data, and disruption of our business operations.</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Our ability to complete the proposed merger with Cameron is subject to various closing conditions and the receipt of consents and approvals from government entities which may impose conditions that could materially adversely affect Cameron or Schlumberger or cause the merger to be abandoned.</w:t>
      </w:r>
    </w:p>
    <w:p>
      <w:pPr>
        <w:spacing w:after="0" w:line="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merger agreement contains certain closing conditions, including approval of the proposed merger by Cameron stockholders, the absence of injunctions or other legal restrictions and that no material adverse effect shall have occurred with respect to either company. On December 17, 2015, Cameron stockholders voted to adopt our proposed merger. Also, in November 2015 the U.S. Department of Justice cleared our proposed merger without any conditions. However, we will be unable to complete the merger until consents and approvals are received from the European Commission and various other governmental entities. Regulatory entities have broad discretion in administering the governing regulations and may impose certain requirements or obligations as conditions for their approval. The merger agreement may require us to accept conditions from these regulators that could adversely affect the combined company. If the regulatory clearances are not received, or they are not received on terms that satisfy the conditions set forth in the merger agreement, then we will not be obligated to complete the merger. We can provide no assurance that the various closing conditions will be satisfied and that the necessary approvals will be obtained, or that any required conditions will not materially adversely affect the combined company following the merger. In addition, we can provide no assurance that these conditions will not result in the abandonment or delay of the merger.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complete the proposed merger with Cameron could negatively impact our stock price and our future business and financial results.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the proposed merger is not completed, our ongoing business may be adversely affected and we would be subject to several risks, including a decline in the market price of our common stock, negative customer perception and diversion of management’s focus on pursuing other opportunities that could be beneficial to us, in each case, without realizing any of the benefits that might have resulted had the merger been completed.</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Multiple lawsuits have been filed against us and Cameron challenging the proposed merger, and an adverse ruling in any such lawsuit may prevent the merger from being completed.</w:t>
      </w:r>
    </w:p>
    <w:p>
      <w:pPr>
        <w:spacing w:after="0" w:line="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After the announcement of the proposed merger, four putative class action lawsuits were commenced on behalf of stockholders of Cameron against Cameron and its directors, as well as against us and Schlumberger Holding Corporation and Rain Merger Sub (both of which are indirect wholly-owned subsidiaries).</w:t>
      </w:r>
    </w:p>
    <w:p>
      <w:pPr>
        <w:spacing w:after="0" w:line="1" w:lineRule="exact"/>
        <w:rPr>
          <w:sz w:val="20"/>
          <w:szCs w:val="20"/>
          <w:color w:val="auto"/>
        </w:rPr>
      </w:pPr>
    </w:p>
    <w:p>
      <w:pPr>
        <w:jc w:val="both"/>
        <w:ind w:firstLine="160"/>
        <w:spacing w:after="0" w:line="247" w:lineRule="auto"/>
        <w:rPr>
          <w:sz w:val="20"/>
          <w:szCs w:val="20"/>
          <w:color w:val="auto"/>
        </w:rPr>
      </w:pPr>
      <w:r>
        <w:rPr>
          <w:rFonts w:ascii="Times New Roman" w:cs="Times New Roman" w:eastAsia="Times New Roman" w:hAnsi="Times New Roman"/>
          <w:sz w:val="18"/>
          <w:szCs w:val="18"/>
          <w:color w:val="auto"/>
        </w:rPr>
        <w:t>These lawsuits were consolidated for all purposes and a consolidated amended class action complaint (the “Consolidated Complaint”) was filed. The Consolidated Complaint seeks various remedies, including enjoining the merger from being consummated, rescission of the merger to the extent already implemented and the plaintiffs’ costs and fees. Additional lawsuits with similar allegations may be filed. While we believe these lawsuits are without merit and we intend to vigorously defend against such claims, the outcome of any such litigation is inherently uncertain. One of the conditions to the closing of the merger is that no law, order, injunction, judgment, decree, ruling or other similar requirement shall be in effect that prohibits the completion of the merger. Accordingly, if any of the plaintiffs are successful in obtaining an injunction prohibiting the completion of the merger, then that injunction may prevent the merger from becoming effective, or delay its becoming effective.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fail to realize the anticipated benefits of the proposed merger.</w:t>
      </w:r>
    </w:p>
    <w:p>
      <w:pPr>
        <w:spacing w:after="0" w:line="114" w:lineRule="exact"/>
        <w:rPr>
          <w:sz w:val="20"/>
          <w:szCs w:val="20"/>
          <w:color w:val="auto"/>
        </w:rPr>
      </w:pPr>
    </w:p>
    <w:p>
      <w:pPr>
        <w:jc w:val="both"/>
        <w:ind w:right="220"/>
        <w:spacing w:after="0" w:line="260" w:lineRule="auto"/>
        <w:rPr>
          <w:sz w:val="20"/>
          <w:szCs w:val="20"/>
          <w:color w:val="auto"/>
        </w:rPr>
      </w:pPr>
      <w:r>
        <w:rPr>
          <w:rFonts w:ascii="Times New Roman" w:cs="Times New Roman" w:eastAsia="Times New Roman" w:hAnsi="Times New Roman"/>
          <w:sz w:val="18"/>
          <w:szCs w:val="18"/>
          <w:color w:val="auto"/>
        </w:rPr>
        <w:t>The success of the proposed merger will depend on, among other things, our ability to combine our business with that of Cameron in a manner that facilitates growth opportunities and realizes anticipated synergies. However, we must successfully combine both businesses in a manner that permits these benefits to be realized. In addition, we must achieve the anticipated synergies without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10" w:name="page11"/>
    <w:bookmarkEnd w:id="10"/>
    <w:p>
      <w:pPr>
        <w:ind w:right="100"/>
        <w:spacing w:after="0" w:line="275" w:lineRule="auto"/>
        <w:rPr>
          <w:sz w:val="20"/>
          <w:szCs w:val="20"/>
          <w:color w:val="auto"/>
        </w:rPr>
      </w:pPr>
      <w:r>
        <w:rPr>
          <w:rFonts w:ascii="Times New Roman" w:cs="Times New Roman" w:eastAsia="Times New Roman" w:hAnsi="Times New Roman"/>
          <w:sz w:val="18"/>
          <w:szCs w:val="18"/>
          <w:color w:val="auto"/>
        </w:rPr>
        <w:t>adversely affecting current revenues and investments in future growth. If we are not able to successfully achieve these objectives, the anticipated benefits of the merger may not be realized fully, may take longer to realize than expected, or may never be realized.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issues and difficulties we may encounter in the integration process include the following:</w:t>
      </w:r>
    </w:p>
    <w:p>
      <w:pPr>
        <w:spacing w:after="0" w:line="112" w:lineRule="exact"/>
        <w:rPr>
          <w:sz w:val="20"/>
          <w:szCs w:val="20"/>
          <w:color w:val="auto"/>
        </w:rPr>
      </w:pPr>
    </w:p>
    <w:p>
      <w:pPr>
        <w:ind w:left="760" w:hanging="382"/>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the expanded operations of a significantly larger and more complex combined company;</w:t>
      </w:r>
    </w:p>
    <w:p>
      <w:pPr>
        <w:spacing w:after="0" w:line="111" w:lineRule="exact"/>
        <w:rPr>
          <w:rFonts w:ascii="Times New Roman" w:cs="Times New Roman" w:eastAsia="Times New Roman" w:hAnsi="Times New Roman"/>
          <w:sz w:val="18"/>
          <w:szCs w:val="18"/>
          <w:color w:val="auto"/>
        </w:rPr>
      </w:pPr>
    </w:p>
    <w:p>
      <w:pPr>
        <w:ind w:left="760" w:hanging="382"/>
        <w:spacing w:after="0" w:line="275"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sales and customers as a result of certain customers of either or both of the two companies deciding not to do business with the combined company, or deciding to decrease their level of business in order to reduce their reliance on a single company;</w:t>
      </w:r>
    </w:p>
    <w:p>
      <w:pPr>
        <w:spacing w:after="0" w:line="57"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from the two companies while maintaining focus on providing consistent, high quality products and customer service;</w:t>
      </w:r>
    </w:p>
    <w:p>
      <w:pPr>
        <w:spacing w:after="0" w:line="111" w:lineRule="exact"/>
        <w:rPr>
          <w:rFonts w:ascii="Times New Roman" w:cs="Times New Roman" w:eastAsia="Times New Roman" w:hAnsi="Times New Roman"/>
          <w:sz w:val="18"/>
          <w:szCs w:val="18"/>
          <w:color w:val="auto"/>
        </w:rPr>
      </w:pPr>
    </w:p>
    <w:p>
      <w:pPr>
        <w:ind w:left="760" w:hanging="382"/>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and unforeseen increased expenses, delays or regulatory conditions associated with the merger; and</w:t>
      </w:r>
    </w:p>
    <w:p>
      <w:pPr>
        <w:spacing w:after="0" w:line="111" w:lineRule="exact"/>
        <w:rPr>
          <w:rFonts w:ascii="Times New Roman" w:cs="Times New Roman" w:eastAsia="Times New Roman" w:hAnsi="Times New Roman"/>
          <w:sz w:val="18"/>
          <w:szCs w:val="18"/>
          <w:color w:val="auto"/>
        </w:rPr>
      </w:pPr>
    </w:p>
    <w:p>
      <w:pPr>
        <w:ind w:left="760" w:hanging="382"/>
        <w:spacing w:after="0" w:line="275"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shortfalls at one or both of the two companies as a result of the diversion of management’s attention caused by completing the merger and integrating the companies’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issues currently faced by Cameron may impact our operations.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To the extent that Cameron currently has or is perceived by customers to have operational challenges, such as on-time performance, safety issues or workforce issues, those challenges may raise concerns by our existing customers following the merger, which may limit or impede our future ability to obtain additional work from those customers.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owns or leases numerous manufacturing facilities, administrative offices, service centers, research centers, data processing centers, mines, ore, drilling fluid and production chemical processing centers, sales offices and warehouses throughout the world. Schlumberger views its principal manufacturing, mining and processing facilities, research centers and data processing centers as its “principal owned or leased facilities.”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Schlumberger’s principal owned or leased facilities:</w:t>
      </w:r>
    </w:p>
    <w:p>
      <w:pPr>
        <w:spacing w:after="0" w:line="2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Beijing, China; Clamart, France; Fuchinobe, Japan; Oslo and Stavanger, Norway; Singapore; Abingdon, Cambridge, Gatwick and Stonehouse, United Kingdom; Moscow, Russia; and within the United States: Boston, Massachusetts; Houston, Katy, Rosharon and Sugar Land, Texas; Battle Mountain, Nevada; Greybull, Wyoming and Florence, Kentucky.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information with respect to this Item 3. Legal Proceedings is set forth in Note 16 of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barite and bentonite mining operations of M-I LLC, an indirect wholly-owned subsidiary,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Market for Schlumberger’s Common Stock, Related Stockholder Matters and Issuer Purchases of Equity Securities.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December 31, 2015, there were 23,831 stockholders of record. The principal United States market for Schlumberger’s common stock is the New York Stock Exchange (“NYSE”), where it is traded under the symbol “SLB,” although it is traded on other exchanges in and outside the United States, including the Euronext Paris, the London Stock Exchange and the SIX Swiss Exchange.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Market Prices and Dividends Declared per Share</w:t>
      </w:r>
    </w:p>
    <w:p>
      <w:pPr>
        <w:spacing w:after="0" w:line="11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Quarterly high and low prices for Schlumberger’s common stock as reported by the NYSE (composite transactions), together with dividends declared per share in each quarter of 2015 and 2014,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Price Range</w:t>
            </w:r>
          </w:p>
        </w:tc>
        <w:tc>
          <w:tcPr>
            <w:tcW w:w="9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Dividends</w:t>
            </w:r>
          </w:p>
        </w:tc>
      </w:tr>
      <w:tr>
        <w:trPr>
          <w:trHeight w:val="219"/>
        </w:trPr>
        <w:tc>
          <w:tcPr>
            <w:tcW w:w="6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High</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Low</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Declared</w:t>
            </w:r>
          </w:p>
        </w:tc>
      </w:tr>
      <w:tr>
        <w:trPr>
          <w:trHeight w:val="219"/>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8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QUARTERS</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840" w:type="dxa"/>
            <w:vAlign w:val="bottom"/>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89.00</w:t>
            </w:r>
          </w:p>
        </w:tc>
        <w:tc>
          <w:tcPr>
            <w:tcW w:w="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75.60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95.13</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83.60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86.69</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67.75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82.43</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66.57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2014</w:t>
            </w: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QUARTERS</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First</w:t>
            </w:r>
          </w:p>
        </w:tc>
        <w:tc>
          <w:tcPr>
            <w:tcW w:w="840" w:type="dxa"/>
            <w:vAlign w:val="bottom"/>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98.45</w:t>
            </w:r>
          </w:p>
        </w:tc>
        <w:tc>
          <w:tcPr>
            <w:tcW w:w="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Second</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118.13</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Third</w:t>
            </w: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118.76</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FF0FC"/>
          </w:tcPr>
          <w:p>
            <w:pPr>
              <w:spacing w:after="0"/>
              <w:rPr>
                <w:sz w:val="19"/>
                <w:szCs w:val="19"/>
                <w:color w:val="auto"/>
              </w:rPr>
            </w:pPr>
          </w:p>
        </w:tc>
      </w:tr>
      <w:tr>
        <w:trPr>
          <w:trHeight w:val="232"/>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Fourth</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102.40</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0"/>
                <w:szCs w:val="20"/>
                <w:color w:val="auto"/>
              </w:rPr>
            </w:pPr>
          </w:p>
        </w:tc>
      </w:tr>
    </w:tbl>
    <w:p>
      <w:pPr>
        <w:spacing w:after="0" w:line="21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There are no legal restrictions on the payment of dividends or ownership or voting of such shares, except as to shares held as treasury stock. Under current legislation, stockholders are not subject to any Curaçao withholding or other Curaçao taxes attributable to the ownership of such shares.</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graph compares the cumulative total stockholder return on Schlumberger common stock, assuming reinvestment of dividends on the last day of the month of payment into common stock of Schlumberger, with the cumulative total return on the Standard &amp; Poor’s 500 Index (S&amp;P 500 Index) and the cumulative total return on the Philadelphia Oil Service Index (OSX) over the five-year period ended December 31, 2015.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of 1933 or the Securities Exchange Act of 1934, except to the extent that Schlumberger specifically incorporates it by reference into such filing.</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five-year cumulative total return among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common stock, the S&amp;P 500 Index and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Oil Service Index (OSX)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137795</wp:posOffset>
            </wp:positionV>
            <wp:extent cx="5003800" cy="3155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03800"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Assumes $100 invested on December 31, 2010 in Schlumberger common stock, in the S&amp;P 500 Index and in the Philadelphia Oil Service Index (OSX) and reinvestment of dividends on the last day of the month of payment.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On July 18, 2013, the Schlumberger Board of Directors (the “Board”) approved a $10 billion share repurchase program for Schlumberger common stock, to be completed at the latest by June 30, 2018.</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Schlumberger’s common stock repurchase program activity for the three months ended December 31, 2015 was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9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thousands, except per share amounts)</w:t>
            </w:r>
          </w:p>
        </w:tc>
      </w:tr>
      <w:tr>
        <w:trPr>
          <w:trHeight w:val="409"/>
        </w:trPr>
        <w:tc>
          <w:tcPr>
            <w:tcW w:w="5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Total number of</w:t>
            </w:r>
          </w:p>
        </w:tc>
        <w:tc>
          <w:tcPr>
            <w:tcW w:w="240" w:type="dxa"/>
            <w:vAlign w:val="bottom"/>
          </w:tcPr>
          <w:p>
            <w:pPr>
              <w:spacing w:after="0"/>
              <w:rPr>
                <w:sz w:val="24"/>
                <w:szCs w:val="24"/>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8"/>
              </w:rPr>
              <w:t>Maximum value</w:t>
            </w:r>
          </w:p>
        </w:tc>
      </w:tr>
      <w:tr>
        <w:trPr>
          <w:trHeight w:val="199"/>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shares purchased</w:t>
            </w:r>
          </w:p>
        </w:tc>
        <w:tc>
          <w:tcPr>
            <w:tcW w:w="240" w:type="dxa"/>
            <w:vAlign w:val="bottom"/>
          </w:tcPr>
          <w:p>
            <w:pPr>
              <w:spacing w:after="0"/>
              <w:rPr>
                <w:sz w:val="17"/>
                <w:szCs w:val="17"/>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w w:val="97"/>
              </w:rPr>
              <w:t>of shares that may</w:t>
            </w:r>
          </w:p>
        </w:tc>
      </w:tr>
      <w:tr>
        <w:trPr>
          <w:trHeight w:val="199"/>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as part of publicly</w:t>
            </w:r>
          </w:p>
        </w:tc>
        <w:tc>
          <w:tcPr>
            <w:tcW w:w="24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yet be purchased</w:t>
            </w:r>
          </w:p>
        </w:tc>
      </w:tr>
      <w:tr>
        <w:trPr>
          <w:trHeight w:val="199"/>
        </w:trPr>
        <w:tc>
          <w:tcPr>
            <w:tcW w:w="588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Total number of</w:t>
            </w:r>
          </w:p>
        </w:tc>
        <w:tc>
          <w:tcPr>
            <w:tcW w:w="12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6"/>
                <w:szCs w:val="16"/>
                <w:color w:val="auto"/>
                <w:w w:val="99"/>
              </w:rPr>
              <w:t>Average price</w:t>
            </w: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announced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under the</w:t>
            </w:r>
          </w:p>
        </w:tc>
      </w:tr>
      <w:tr>
        <w:trPr>
          <w:trHeight w:val="211"/>
        </w:trPr>
        <w:tc>
          <w:tcPr>
            <w:tcW w:w="588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shares purchased</w:t>
            </w:r>
          </w:p>
        </w:tc>
        <w:tc>
          <w:tcPr>
            <w:tcW w:w="120" w:type="dxa"/>
            <w:vAlign w:val="bottom"/>
          </w:tcPr>
          <w:p>
            <w:pPr>
              <w:spacing w:after="0"/>
              <w:rPr>
                <w:sz w:val="18"/>
                <w:szCs w:val="18"/>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6"/>
                <w:szCs w:val="16"/>
                <w:color w:val="auto"/>
              </w:rPr>
              <w:t>paid per share</w:t>
            </w:r>
          </w:p>
        </w:tc>
        <w:tc>
          <w:tcPr>
            <w:tcW w:w="2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program</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program</w:t>
            </w:r>
          </w:p>
        </w:tc>
      </w:tr>
      <w:tr>
        <w:trPr>
          <w:trHeight w:val="222"/>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 through October 31, 2015</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1,644,290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November 1 through November 30, 2015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1,525.7</w:t>
            </w: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1,524,623</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 through December 31, 2015</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4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1,423,058</w:t>
            </w:r>
          </w:p>
        </w:tc>
        <w:tc>
          <w:tcPr>
            <w:tcW w:w="100" w:type="dxa"/>
            <w:vAlign w:val="bottom"/>
            <w:shd w:val="clear" w:color="auto" w:fill="CFF0FC"/>
          </w:tcPr>
          <w:p>
            <w:pPr>
              <w:spacing w:after="0"/>
              <w:rPr>
                <w:sz w:val="19"/>
                <w:szCs w:val="19"/>
                <w:color w:val="auto"/>
              </w:rPr>
            </w:pPr>
          </w:p>
        </w:tc>
      </w:tr>
      <w:tr>
        <w:trPr>
          <w:trHeight w:val="219"/>
        </w:trPr>
        <w:tc>
          <w:tcPr>
            <w:tcW w:w="58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2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exercise of stock options under Schlumberger’s stock incentive plans, Schlumberger routinely receives shares of its common stock from optionholders in consideration of the exercise price of the stock options. Schlumberger does not view these transactions as requiring disclosure under this Item 5 as the number of shares of Schlumberger common stock received from optionholders is not material.</w:t>
      </w:r>
    </w:p>
    <w:p>
      <w:pPr>
        <w:spacing w:after="0" w:line="1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On January 21, 2016, the Board approved a new $10 billion share repurchase program for Schlumberger common stock. This new program will take effect once the remaining $1.4 billion authorized to be repurchased under the July 18, 2013 program is exhausted.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Unregistered Sales of Equity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Selected Financial Data.</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selected consolidated financial data should be read in conjunction with both “Item 7. Management’s Discussion and Analysis of Financial Condition and Results of Operations” and “Item 8. Financial Statements and Supplementary Data” of this Form 10-K in order to understand factors, such as business combinations and charges and credits, which may affect the comparability of the Selected Financial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80" w:type="dxa"/>
            <w:vAlign w:val="bottom"/>
            <w:gridSpan w:val="8"/>
          </w:tcPr>
          <w:p>
            <w:pPr>
              <w:ind w:left="74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r>
      <w:tr>
        <w:trPr>
          <w:trHeight w:val="436"/>
        </w:trPr>
        <w:tc>
          <w:tcPr>
            <w:tcW w:w="4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9"/>
        </w:trPr>
        <w:tc>
          <w:tcPr>
            <w:tcW w:w="452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2012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tcBorders>
              <w:bottom w:val="single" w:sz="8" w:color="CFF0FC"/>
            </w:tcBorders>
          </w:tcPr>
          <w:p>
            <w:pPr>
              <w:spacing w:after="0"/>
              <w:rPr>
                <w:sz w:val="19"/>
                <w:szCs w:val="19"/>
                <w:color w:val="auto"/>
              </w:rPr>
            </w:pPr>
          </w:p>
        </w:tc>
      </w:tr>
      <w:tr>
        <w:trPr>
          <w:trHeight w:val="21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35,475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41,731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36,579</w:t>
            </w:r>
          </w:p>
        </w:tc>
        <w:tc>
          <w:tcPr>
            <w:tcW w:w="120" w:type="dxa"/>
            <w:vAlign w:val="bottom"/>
            <w:shd w:val="clear" w:color="auto" w:fill="CFF0FC"/>
          </w:tcPr>
          <w:p>
            <w:pPr>
              <w:spacing w:after="0"/>
              <w:rPr>
                <w:sz w:val="19"/>
                <w:szCs w:val="19"/>
                <w:color w:val="auto"/>
              </w:rPr>
            </w:pPr>
          </w:p>
        </w:tc>
      </w:tr>
      <w:tr>
        <w:trPr>
          <w:trHeight w:val="22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2,072</w:t>
            </w:r>
          </w:p>
        </w:tc>
        <w:tc>
          <w:tcPr>
            <w:tcW w:w="4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2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2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44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20" w:type="dxa"/>
            <w:vAlign w:val="bottom"/>
          </w:tcPr>
          <w:p>
            <w:pPr>
              <w:spacing w:after="0"/>
              <w:rPr>
                <w:sz w:val="19"/>
                <w:szCs w:val="19"/>
                <w:color w:val="auto"/>
              </w:rPr>
            </w:pPr>
          </w:p>
        </w:tc>
      </w:tr>
      <w:tr>
        <w:trPr>
          <w:trHeight w:val="22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9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4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4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FF0FC"/>
          </w:tcPr>
          <w:p>
            <w:pPr>
              <w:spacing w:after="0"/>
              <w:rPr>
                <w:sz w:val="19"/>
                <w:szCs w:val="19"/>
                <w:color w:val="auto"/>
              </w:rPr>
            </w:pPr>
          </w:p>
        </w:tc>
      </w:tr>
      <w:tr>
        <w:trPr>
          <w:trHeight w:val="22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9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12,791</w:t>
            </w:r>
          </w:p>
        </w:tc>
        <w:tc>
          <w:tcPr>
            <w:tcW w:w="4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10,518</w:t>
            </w:r>
          </w:p>
        </w:tc>
        <w:tc>
          <w:tcPr>
            <w:tcW w:w="2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2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44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120" w:type="dxa"/>
            <w:vAlign w:val="bottom"/>
          </w:tcPr>
          <w:p>
            <w:pPr>
              <w:spacing w:after="0"/>
              <w:rPr>
                <w:sz w:val="19"/>
                <w:szCs w:val="19"/>
                <w:color w:val="auto"/>
              </w:rPr>
            </w:pPr>
          </w:p>
        </w:tc>
      </w:tr>
      <w:tr>
        <w:trPr>
          <w:trHeight w:val="22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68,005</w:t>
            </w:r>
          </w:p>
        </w:tc>
        <w:tc>
          <w:tcPr>
            <w:tcW w:w="4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66,904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67,100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61,547</w:t>
            </w:r>
          </w:p>
        </w:tc>
        <w:tc>
          <w:tcPr>
            <w:tcW w:w="4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55,201</w:t>
            </w:r>
          </w:p>
        </w:tc>
        <w:tc>
          <w:tcPr>
            <w:tcW w:w="120" w:type="dxa"/>
            <w:vAlign w:val="bottom"/>
            <w:shd w:val="clear" w:color="auto" w:fill="CFF0FC"/>
          </w:tcPr>
          <w:p>
            <w:pPr>
              <w:spacing w:after="0"/>
              <w:rPr>
                <w:sz w:val="19"/>
                <w:szCs w:val="19"/>
                <w:color w:val="auto"/>
              </w:rPr>
            </w:pPr>
          </w:p>
        </w:tc>
      </w:tr>
      <w:tr>
        <w:trPr>
          <w:trHeight w:val="22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debt </w:t>
            </w:r>
            <w:r>
              <w:rPr>
                <w:rFonts w:ascii="Times New Roman" w:cs="Times New Roman" w:eastAsia="Times New Roman" w:hAnsi="Times New Roman"/>
                <w:sz w:val="15"/>
                <w:szCs w:val="15"/>
                <w:color w:val="auto"/>
              </w:rPr>
              <w:t>(1)</w:t>
            </w:r>
          </w:p>
        </w:tc>
        <w:tc>
          <w:tcPr>
            <w:tcW w:w="9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5,547</w:t>
            </w:r>
          </w:p>
        </w:tc>
        <w:tc>
          <w:tcPr>
            <w:tcW w:w="4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2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2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44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20" w:type="dxa"/>
            <w:vAlign w:val="bottom"/>
          </w:tcPr>
          <w:p>
            <w:pPr>
              <w:spacing w:after="0"/>
              <w:rPr>
                <w:sz w:val="19"/>
                <w:szCs w:val="19"/>
                <w:color w:val="auto"/>
              </w:rPr>
            </w:pPr>
          </w:p>
        </w:tc>
      </w:tr>
      <w:tr>
        <w:trPr>
          <w:trHeight w:val="22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9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14,442</w:t>
            </w:r>
          </w:p>
        </w:tc>
        <w:tc>
          <w:tcPr>
            <w:tcW w:w="4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9,509</w:t>
            </w:r>
          </w:p>
        </w:tc>
        <w:tc>
          <w:tcPr>
            <w:tcW w:w="4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120" w:type="dxa"/>
            <w:vAlign w:val="bottom"/>
            <w:shd w:val="clear" w:color="auto" w:fill="CFF0FC"/>
          </w:tcPr>
          <w:p>
            <w:pPr>
              <w:spacing w:after="0"/>
              <w:rPr>
                <w:sz w:val="19"/>
                <w:szCs w:val="19"/>
                <w:color w:val="auto"/>
              </w:rPr>
            </w:pPr>
          </w:p>
        </w:tc>
      </w:tr>
      <w:tr>
        <w:trPr>
          <w:trHeight w:val="22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Schlumberger stockholders' equity</w:t>
            </w:r>
          </w:p>
        </w:tc>
        <w:tc>
          <w:tcPr>
            <w:tcW w:w="9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35,633</w:t>
            </w:r>
          </w:p>
        </w:tc>
        <w:tc>
          <w:tcPr>
            <w:tcW w:w="4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37,850</w:t>
            </w:r>
          </w:p>
        </w:tc>
        <w:tc>
          <w:tcPr>
            <w:tcW w:w="2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39,469</w:t>
            </w:r>
          </w:p>
        </w:tc>
        <w:tc>
          <w:tcPr>
            <w:tcW w:w="2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34,751</w:t>
            </w:r>
          </w:p>
        </w:tc>
        <w:tc>
          <w:tcPr>
            <w:tcW w:w="44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31,263</w:t>
            </w:r>
          </w:p>
        </w:tc>
        <w:tc>
          <w:tcPr>
            <w:tcW w:w="120" w:type="dxa"/>
            <w:vAlign w:val="bottom"/>
          </w:tcPr>
          <w:p>
            <w:pPr>
              <w:spacing w:after="0"/>
              <w:rPr>
                <w:sz w:val="19"/>
                <w:szCs w:val="19"/>
                <w:color w:val="auto"/>
              </w:rPr>
            </w:pPr>
          </w:p>
        </w:tc>
      </w:tr>
      <w:tr>
        <w:trPr>
          <w:trHeight w:val="22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9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440" w:type="dxa"/>
            <w:vAlign w:val="bottom"/>
            <w:gridSpan w:val="2"/>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FF0FC"/>
          </w:tcPr>
          <w:p>
            <w:pPr>
              <w:spacing w:after="0"/>
              <w:rPr>
                <w:sz w:val="19"/>
                <w:szCs w:val="19"/>
                <w:color w:val="auto"/>
              </w:rPr>
            </w:pPr>
          </w:p>
        </w:tc>
      </w:tr>
    </w:tbl>
    <w:p>
      <w:pPr>
        <w:spacing w:after="0" w:line="234" w:lineRule="exact"/>
        <w:rPr>
          <w:sz w:val="20"/>
          <w:szCs w:val="20"/>
          <w:color w:val="auto"/>
        </w:rPr>
      </w:pPr>
    </w:p>
    <w:p>
      <w:pPr>
        <w:ind w:left="380" w:hanging="374"/>
        <w:spacing w:after="0" w:line="210" w:lineRule="auto"/>
        <w:tabs>
          <w:tab w:leader="none" w:pos="380" w:val="left"/>
        </w:tabs>
        <w:numPr>
          <w:ilvl w:val="0"/>
          <w:numId w:val="1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Management’s Discussion and Analysis of Financial Condition and Results of Operations.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of this Form 10-K.</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Overview</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Schlumberger revenue of $35.5 billion in 2015 represented a drop of 27% from 2014 due to customer spending falling as commodity prices weakened during the year. Revenue in North America decreased 39%, driven by a land rig count that ended the year 68% lower than the peak seen in 2014 as well as by pricing pressure that intensified during the year. North American offshore revenue fell more modestly as rigs in the US Gulf of Mexico shifted from exploration to development work, although the overall market in North America was the weakest for oilfield services since 1986. Internationally, revenue declined 21% as customers cut budgets and pressured service pricing, with these effects often exacerbated by activity disruptions, project delays and cancellations.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oil markets, the negative sentiments that had dominated the year accelerated during the fourth quarter after some early optimism earlier in the summer. The impact of OPEC lifting production targets to produce at maximum rates, combined with production in North America from unconventional resources declining slower than expected following the April peak, has led to supply continuing to exceed increasing demand. As a result, commodity prices fell dramatically, with oil dropping to a 12-year low by the end of the year. These weaker fundamentals drove industry exploration and production (E&amp;P) capital investment significantly lower, resulting in the first two-year sequential decline in spend in 30 years.</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the natural gas markets, US production grew to a record of 75 Bcf/d, as new fields in the US Gulf of Mexico were brought into production and supplies from unconventional shale gas and tight oil reservoirs continued to grow. This trend is expected to continue with newly completed pipeline capacity in the northeast United States bringing new supplies. A relatively mild start to the winter together with North American gas storage levels well above the five-year average will keep natural gas prices low. Internationally, European gas demand growth returned to positive territory. Despite this increased demand, storage levels are at record highs due to ample supply from the North Sea and Russia, as well as from liquefied natural gas (LNG). Demand rebounded in Asia but remained in a downward trend overall. As LNG exports from Australia grow, the region is likely to remain oversupplied with low natural gas prices persisting.</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Schlumberger’s financial performance in 2015 was significantly impacted by the large decrease in land activity, particularly in the US, where the year-end land rig count was less than 700 rigs. This created massive overcapacity in the land market that impacted pricing levels across a broad range of oilfield services. Internationally, revenue in the Europe, CIS &amp; Africa Area fell by 26% as a result of the weakening Russian ruble, and due to a drop in exploration activities in the United Kingdom and Norway GeoMarkets. In Latin America, revenue declined 22% due to decreased activity in Mexico, Brazil, and Colombia as a result of sustained budget cuts that led to rig count reductions. Middle East &amp; Asia Area revenue decreased 17% on lower activity in the Asia Pacific region, particularly in Australia, although this was partially offset by robust activity in the Gulf Cooperation Council countries, particularly Saudi Arabia, Kuwait, and Oman.</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Among the Groups, Reservoir Characterization performance was negatively impacted by sustained cuts in exploration spending, currency weaknesses, and operational disruptions from exhausted customer budgets that affected Wireline activities, particularly in the Europe, CIS &amp; Africa and Middle East &amp; Asia Areas. In the Drilling Group, the drop in drilling activity coupled with persistent pricing pressure, currency weaknesses and operational disruptions lowered Drilling &amp; Measurements and M-I SWACO revenues across all geographies but most significantly in the Europe, CIS &amp; Africa Area. Production Group performance was mainly affected by the fall in North American land activity as exhausted customer budgets led to a continued decline in rig count and increased pricing pressure.</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this uncertain environment, Schlumberger continues to focus on what it can control. Throughout the year, Schlumberger took a number of actions to streamline and resize its organization as it continues to navigate the current market downturn. In spite of current conditions, Schlumberger remains constructive in its view of the market outlook in the medium term, and continues to believe that the underlying balance of supply and demand will tighten, driven by growth in demand, weakening supply as the massive E&amp;P investment cuts take effect, and by the size of the annual supply replacement challenge.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2015 Results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Product Groups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3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Fourth Quarter 2015</w:t>
            </w:r>
          </w:p>
        </w:tc>
        <w:tc>
          <w:tcPr>
            <w:tcW w:w="180" w:type="dxa"/>
            <w:vAlign w:val="bottom"/>
          </w:tcPr>
          <w:p>
            <w:pPr>
              <w:spacing w:after="0"/>
              <w:rPr>
                <w:sz w:val="24"/>
                <w:szCs w:val="24"/>
                <w:color w:val="auto"/>
              </w:rPr>
            </w:pPr>
          </w:p>
        </w:tc>
        <w:tc>
          <w:tcPr>
            <w:tcW w:w="252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color w:val="auto"/>
              </w:rPr>
              <w:t>Third Quarter 2015</w:t>
            </w:r>
          </w:p>
        </w:tc>
      </w:tr>
      <w:tr>
        <w:trPr>
          <w:trHeight w:val="212"/>
        </w:trPr>
        <w:tc>
          <w:tcPr>
            <w:tcW w:w="3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6"/>
              </w:rPr>
              <w:t>Income</w:t>
            </w:r>
          </w:p>
        </w:tc>
        <w:tc>
          <w:tcPr>
            <w:tcW w:w="100" w:type="dxa"/>
            <w:vAlign w:val="bottom"/>
          </w:tcPr>
          <w:p>
            <w:pPr>
              <w:spacing w:after="0"/>
              <w:rPr>
                <w:sz w:val="18"/>
                <w:szCs w:val="18"/>
                <w:color w:val="auto"/>
              </w:rPr>
            </w:pPr>
          </w:p>
        </w:tc>
      </w:tr>
      <w:tr>
        <w:trPr>
          <w:trHeight w:val="226"/>
        </w:trPr>
        <w:tc>
          <w:tcPr>
            <w:tcW w:w="3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before</w:t>
            </w:r>
          </w:p>
        </w:tc>
      </w:tr>
      <w:tr>
        <w:trPr>
          <w:trHeight w:val="233"/>
        </w:trPr>
        <w:tc>
          <w:tcPr>
            <w:tcW w:w="3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Taxes</w:t>
            </w:r>
          </w:p>
        </w:tc>
      </w:tr>
      <w:tr>
        <w:trPr>
          <w:trHeight w:val="219"/>
        </w:trPr>
        <w:tc>
          <w:tcPr>
            <w:tcW w:w="3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5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9"/>
                <w:szCs w:val="19"/>
                <w:color w:val="auto"/>
              </w:rPr>
            </w:pPr>
          </w:p>
        </w:tc>
      </w:tr>
      <w:tr>
        <w:trPr>
          <w:trHeight w:val="22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2,671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FF0FC"/>
          </w:tcPr>
          <w:p>
            <w:pPr>
              <w:spacing w:after="0"/>
              <w:rPr>
                <w:sz w:val="19"/>
                <w:szCs w:val="19"/>
                <w:color w:val="auto"/>
              </w:rPr>
            </w:pP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(34)</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(29)</w:t>
            </w: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9"/>
        </w:trPr>
        <w:tc>
          <w:tcPr>
            <w:tcW w:w="350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Pretax operating income</w:t>
            </w:r>
          </w:p>
        </w:tc>
        <w:tc>
          <w:tcPr>
            <w:tcW w:w="15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1,288</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(179)</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r>
      <w:tr>
        <w:trPr>
          <w:trHeight w:val="22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9"/>
                <w:szCs w:val="19"/>
                <w:color w:val="auto"/>
              </w:rPr>
            </w:pP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(83)</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2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Charges &amp; credits </w:t>
            </w:r>
            <w:r>
              <w:rPr>
                <w:rFonts w:ascii="Times New Roman" w:cs="Times New Roman" w:eastAsia="Times New Roman" w:hAnsi="Times New Roman"/>
                <w:sz w:val="15"/>
                <w:szCs w:val="15"/>
                <w:color w:val="auto"/>
              </w:rPr>
              <w:t>(4)</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(2,136)</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19"/>
        </w:trPr>
        <w:tc>
          <w:tcPr>
            <w:tcW w:w="3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7,744</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(1,102)</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4"/>
        </w:trPr>
        <w:tc>
          <w:tcPr>
            <w:tcW w:w="3500" w:type="dxa"/>
            <w:vAlign w:val="bottom"/>
          </w:tcPr>
          <w:p>
            <w:pPr>
              <w:spacing w:after="0"/>
              <w:rPr>
                <w:sz w:val="24"/>
                <w:szCs w:val="24"/>
                <w:color w:val="auto"/>
              </w:rPr>
            </w:pPr>
          </w:p>
        </w:tc>
        <w:tc>
          <w:tcPr>
            <w:tcW w:w="378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Geographic Areas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4"/>
        </w:trPr>
        <w:tc>
          <w:tcPr>
            <w:tcW w:w="3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3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Fourth Quarter 2015</w:t>
            </w:r>
          </w:p>
        </w:tc>
        <w:tc>
          <w:tcPr>
            <w:tcW w:w="180" w:type="dxa"/>
            <w:vAlign w:val="bottom"/>
          </w:tcPr>
          <w:p>
            <w:pPr>
              <w:spacing w:after="0"/>
              <w:rPr>
                <w:sz w:val="24"/>
                <w:szCs w:val="24"/>
                <w:color w:val="auto"/>
              </w:rPr>
            </w:pPr>
          </w:p>
        </w:tc>
        <w:tc>
          <w:tcPr>
            <w:tcW w:w="252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color w:val="auto"/>
              </w:rPr>
              <w:t>Third Quarter 2015</w:t>
            </w:r>
          </w:p>
        </w:tc>
      </w:tr>
      <w:tr>
        <w:trPr>
          <w:trHeight w:val="212"/>
        </w:trPr>
        <w:tc>
          <w:tcPr>
            <w:tcW w:w="3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6"/>
              </w:rPr>
              <w:t>Income</w:t>
            </w:r>
          </w:p>
        </w:tc>
        <w:tc>
          <w:tcPr>
            <w:tcW w:w="100" w:type="dxa"/>
            <w:vAlign w:val="bottom"/>
          </w:tcPr>
          <w:p>
            <w:pPr>
              <w:spacing w:after="0"/>
              <w:rPr>
                <w:sz w:val="18"/>
                <w:szCs w:val="18"/>
                <w:color w:val="auto"/>
              </w:rPr>
            </w:pPr>
          </w:p>
        </w:tc>
      </w:tr>
      <w:tr>
        <w:trPr>
          <w:trHeight w:val="226"/>
        </w:trPr>
        <w:tc>
          <w:tcPr>
            <w:tcW w:w="3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before</w:t>
            </w:r>
          </w:p>
        </w:tc>
      </w:tr>
      <w:tr>
        <w:trPr>
          <w:trHeight w:val="233"/>
        </w:trPr>
        <w:tc>
          <w:tcPr>
            <w:tcW w:w="3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Taxes</w:t>
            </w:r>
          </w:p>
        </w:tc>
      </w:tr>
      <w:tr>
        <w:trPr>
          <w:trHeight w:val="219"/>
        </w:trPr>
        <w:tc>
          <w:tcPr>
            <w:tcW w:w="3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5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1,955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1,407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r>
      <w:tr>
        <w:trPr>
          <w:trHeight w:val="22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2,059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FF0FC"/>
          </w:tcPr>
          <w:p>
            <w:pPr>
              <w:spacing w:after="0"/>
              <w:rPr>
                <w:sz w:val="19"/>
                <w:szCs w:val="19"/>
                <w:color w:val="auto"/>
              </w:rPr>
            </w:pP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r>
      <w:tr>
        <w:trPr>
          <w:trHeight w:val="22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(110)</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r>
      <w:tr>
        <w:trPr>
          <w:trHeight w:val="21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Pretax operating income</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19"/>
                <w:szCs w:val="19"/>
                <w:color w:val="auto"/>
              </w:rPr>
            </w:pPr>
          </w:p>
        </w:tc>
      </w:tr>
      <w:tr>
        <w:trPr>
          <w:trHeight w:val="22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(179)</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r>
      <w:tr>
        <w:trPr>
          <w:trHeight w:val="22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(83)</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Charges &amp; credits </w:t>
            </w:r>
            <w:r>
              <w:rPr>
                <w:rFonts w:ascii="Times New Roman" w:cs="Times New Roman" w:eastAsia="Times New Roman" w:hAnsi="Times New Roman"/>
                <w:sz w:val="15"/>
                <w:szCs w:val="15"/>
                <w:color w:val="auto"/>
              </w:rPr>
              <w:t>(4)</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(2,136)</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9"/>
        </w:trPr>
        <w:tc>
          <w:tcPr>
            <w:tcW w:w="350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7,744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ind w:left="380" w:right="20" w:hanging="374"/>
        <w:spacing w:after="0" w:line="210" w:lineRule="auto"/>
        <w:tabs>
          <w:tab w:leader="none" w:pos="380" w:val="left"/>
        </w:tabs>
        <w:numPr>
          <w:ilvl w:val="0"/>
          <w:numId w:val="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21" w:lineRule="exact"/>
        <w:rPr>
          <w:rFonts w:ascii="Times New Roman" w:cs="Times New Roman" w:eastAsia="Times New Roman" w:hAnsi="Times New Roman"/>
          <w:sz w:val="26"/>
          <w:szCs w:val="26"/>
          <w:color w:val="auto"/>
          <w:vertAlign w:val="superscript"/>
        </w:rPr>
      </w:pPr>
    </w:p>
    <w:p>
      <w:pPr>
        <w:ind w:left="380" w:hanging="374"/>
        <w:spacing w:after="0"/>
        <w:tabs>
          <w:tab w:leader="none" w:pos="380" w:val="left"/>
        </w:tabs>
        <w:numPr>
          <w:ilvl w:val="0"/>
          <w:numId w:val="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Excludes interest income included in the segments’ income (fourth quarter 2015: $6 million; third quarter 2015: $6 million).</w:t>
      </w:r>
    </w:p>
    <w:p>
      <w:pPr>
        <w:spacing w:after="0" w:line="107" w:lineRule="exact"/>
        <w:rPr>
          <w:rFonts w:ascii="Times New Roman" w:cs="Times New Roman" w:eastAsia="Times New Roman" w:hAnsi="Times New Roman"/>
          <w:sz w:val="26"/>
          <w:szCs w:val="26"/>
          <w:color w:val="auto"/>
          <w:vertAlign w:val="superscript"/>
        </w:rPr>
      </w:pPr>
    </w:p>
    <w:p>
      <w:pPr>
        <w:ind w:left="380" w:hanging="374"/>
        <w:spacing w:after="0" w:line="192" w:lineRule="auto"/>
        <w:tabs>
          <w:tab w:leader="none" w:pos="38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Excludes interest expense included in the segments’ income (fourth quarter 2015: $8 million; third quarter 2015: $8 million).</w:t>
      </w:r>
    </w:p>
    <w:p>
      <w:pPr>
        <w:spacing w:after="0" w:line="107" w:lineRule="exact"/>
        <w:rPr>
          <w:rFonts w:ascii="Times New Roman" w:cs="Times New Roman" w:eastAsia="Times New Roman" w:hAnsi="Times New Roman"/>
          <w:sz w:val="23"/>
          <w:szCs w:val="23"/>
          <w:color w:val="auto"/>
          <w:vertAlign w:val="superscript"/>
        </w:rPr>
      </w:pPr>
    </w:p>
    <w:p>
      <w:pPr>
        <w:ind w:left="380" w:hanging="374"/>
        <w:spacing w:after="0" w:line="192" w:lineRule="auto"/>
        <w:tabs>
          <w:tab w:leader="none" w:pos="38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Charges and credits are described in detail in Note 3 to the </w:t>
      </w:r>
      <w:r>
        <w:rPr>
          <w:rFonts w:ascii="Times New Roman" w:cs="Times New Roman" w:eastAsia="Times New Roman" w:hAnsi="Times New Roman"/>
          <w:sz w:val="16"/>
          <w:szCs w:val="16"/>
          <w:i w:val="1"/>
          <w:iCs w:val="1"/>
          <w:color w:val="auto"/>
        </w:rPr>
        <w:t>Consolidated Financial Statements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Fourth-quarter revenue of $7.7 billion decreased $728 million, or 9%, sequentially with International revenue of $5.7 billion decreasing $354 million, or 6%, and North America revenue decreasing $318 million, or 14%. Pricing pressure accounted for more than one-third of the overall sequential revenue decline, with the remainder attributable to a combination of lower activity levels and currency impacts.</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Internationally, fourth-quarter revenue decreased 6% sequentially due to the combination of customer budget cuts, the start of the seasonal winter slow-down, persistent pricing pressure, currency weakness and the near absence of the usual year-end product, software, and multiclient seismic license sales. Europe/CIS/Africa Area revenue decreased 9% sequentially mainly in Russia and</w:t>
      </w:r>
    </w:p>
    <w:p>
      <w:pPr>
        <w:sectPr>
          <w:pgSz w:w="11900" w:h="16838" w:orient="portrait"/>
          <w:cols w:equalWidth="0" w:num="1">
            <w:col w:w="11420"/>
          </w:cols>
          <w:pgMar w:left="240" w:top="332" w:right="2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type w:val="continuous"/>
        </w:sectPr>
      </w:pPr>
    </w:p>
    <w:bookmarkStart w:id="16" w:name="page17"/>
    <w:bookmarkEnd w:id="16"/>
    <w:p>
      <w:pPr>
        <w:jc w:val="both"/>
        <w:spacing w:after="0" w:line="250" w:lineRule="auto"/>
        <w:rPr>
          <w:sz w:val="20"/>
          <w:szCs w:val="20"/>
          <w:color w:val="auto"/>
        </w:rPr>
      </w:pPr>
      <w:r>
        <w:rPr>
          <w:rFonts w:ascii="Times New Roman" w:cs="Times New Roman" w:eastAsia="Times New Roman" w:hAnsi="Times New Roman"/>
          <w:sz w:val="18"/>
          <w:szCs w:val="18"/>
          <w:color w:val="auto"/>
        </w:rPr>
        <w:t>Central Asia due to weakness in the Russian ruble, the start of the seasonal winter slow-down in Russia as summer projects wound down, and activity reductions in the Caspian region. Solid activity in the Nigeria &amp; Gulf of Guinea and North Africa GeoMarkets was offset largely by lower activity in the UK, Central &amp; West Africa and Angola GeoMarkets as rig count declined and projects ended. Middle East &amp; Asia Area revenue declined 5% sequentially mainly due to lower activity in Australia and the Asia-Pacific region as a result of customer budget cuts and project completions. Revenue from the Middle East GeoMarkets was also lower as solid activity in Kuwait and Iraq was more than offset by reductions in the rest of the region due to the effects of service pricing concessions, project cancellations, delayed start-ups of new projects, and abrupt activity disruptions as budgets were exhausted. Latin America Area revenue decreased 1% sequentially, mainly on significantly lower activity in the Colombia &amp; Peru, Brazil, and Argentina, Bolivia &amp; Chile GeoMarkets due to customer budget cuts and currency weakness. These effects were largely offset by multiclient seismic license sales in Mexico.</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North America fourth-quarter revenue declined 14% sequentially, largely mirroring the US land rig count decline of 15% as customer cash flows diminished and E&amp;P budgets were exhausted. Land revenue fell 18% from lower activity and persistent pricing pressure, while offshore revenue decreased 4%. The usual year-end surge in multiclient seismic license sales was largely muted.</w:t>
      </w:r>
    </w:p>
    <w:p>
      <w:pPr>
        <w:spacing w:after="0" w:line="1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Fourth-quarter pretax operating income of $1.3 billion decreased $233 million, or 15%, sequentially with International pretax operating income of $1.26 billion decreasing 13%, and North America pretax operating income decreasing 31%.</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Fourth-quarter 2015 pretax operating margin of 16.6% decreased 132 basis points (bps) sequentially. Internationally, pretax operating margin of 22.0% decreased 170 bps sequentially as pricing pressure across the Areas was partially offset by streamlining the cost and resource base. In addition, project cancellations, delayed start-ups of new projects, and abrupt activity disruptions all contributed to the sequential reduction in pretax operating margin, particularly in the Middle East &amp; Asia Area. Middle East &amp; Asia pretax operating margin decreased 448 bps to 22.5%, Europe/CIS/Africa fell 138 bps to 20.8%, while Latin America increased 229 bps to 23.0% mainly due to strong margins from multiclient seismic license sales in Mexico and Central America. North America pretax operating margin declined 175 bps 7.1% as a result of pricing pressure that impacted all services and products.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Reservoir Characterization Group</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Fourth-quarter revenue of $2.2 billion declined 7% sequentially, primarily due to sustained cuts in exploration spending, the start of the seasonal winter slow-down, currency weakness, and operational disruptions from exhausted customer budgets that impacted Wireline activities, particularly in the Europe/CIS/Africa and Middle East &amp; Asia Areas. This decline was partially offset by marine seismic surveys and multiclient seismic license sales in Mexico. Year-end product and software sales were largely muted.</w:t>
      </w:r>
    </w:p>
    <w:p>
      <w:pPr>
        <w:spacing w:after="0" w:line="2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Pretax operating margin of 24.2% declined 230 bps sequentially as the contribution of high-margin multiclient seismic sales was more than offset by a decline in high-margin Wireline services.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 Group</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Fourth-quarter revenue of $3.0 billion decreased 8% sequentially, primarily from a drop in drilling activity, persistent pricing pressure, the start of the seasonal winter slow-down, currency weakness, and operational disruptions from exhausted customer budgets that impacted Drilling &amp; Measurements and M-I SWACO revenues, mainly in the Europe/CIS/Africa and Middle East &amp; Asia Areas.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Pretax operating margin of 16.7% contracted 173 bps sequentially as revenue declined on pricing weakness and abrupt operational disruptions.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Group</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Fourth-quarter revenue of $2.7 billion decreased 10% sequentially with 80% of the decrease attributable to a further decline in North American land activity as exhausted customer budgets led to a further decline in rig count and increased pricing pressure. Market pricing for pressure pumping services dropped to even more unsustainable levels.</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Pretax operating margin of 11.3% increased 24 bps sequentially despite lower activity and increasing pricing weakness in pressure pumping services. The decline in pressure pumping margin was largely offset by the combination of accretive margin contributions from Schlumberger Production Management projects in Latin America and higher net earnings from the OneSubsea joint venture.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Full-Year 2015 Results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Product Groups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3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2014</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3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6"/>
              </w:rPr>
              <w:t>Income</w:t>
            </w:r>
          </w:p>
        </w:tc>
        <w:tc>
          <w:tcPr>
            <w:tcW w:w="100" w:type="dxa"/>
            <w:vAlign w:val="bottom"/>
          </w:tcPr>
          <w:p>
            <w:pPr>
              <w:spacing w:after="0"/>
              <w:rPr>
                <w:sz w:val="18"/>
                <w:szCs w:val="18"/>
                <w:color w:val="auto"/>
              </w:rPr>
            </w:pPr>
          </w:p>
        </w:tc>
      </w:tr>
      <w:tr>
        <w:trPr>
          <w:trHeight w:val="226"/>
        </w:trPr>
        <w:tc>
          <w:tcPr>
            <w:tcW w:w="3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before</w:t>
            </w:r>
          </w:p>
        </w:tc>
      </w:tr>
      <w:tr>
        <w:trPr>
          <w:trHeight w:val="233"/>
        </w:trPr>
        <w:tc>
          <w:tcPr>
            <w:tcW w:w="3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Taxes</w:t>
            </w:r>
          </w:p>
        </w:tc>
      </w:tr>
      <w:tr>
        <w:trPr>
          <w:trHeight w:val="219"/>
        </w:trPr>
        <w:tc>
          <w:tcPr>
            <w:tcW w:w="3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5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9,501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2,450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13,563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00" w:type="dxa"/>
            <w:vAlign w:val="bottom"/>
          </w:tcPr>
          <w:p>
            <w:pPr>
              <w:spacing w:after="0"/>
              <w:rPr>
                <w:sz w:val="19"/>
                <w:szCs w:val="19"/>
                <w:color w:val="auto"/>
              </w:rPr>
            </w:pPr>
          </w:p>
        </w:tc>
      </w:tr>
      <w:tr>
        <w:trPr>
          <w:trHeight w:val="22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12,548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shd w:val="clear" w:color="auto" w:fill="CFF0FC"/>
          </w:tcPr>
          <w:p>
            <w:pPr>
              <w:spacing w:after="0"/>
              <w:rPr>
                <w:sz w:val="19"/>
                <w:szCs w:val="19"/>
                <w:color w:val="auto"/>
              </w:rPr>
            </w:pP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(137)</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(63)</w:t>
            </w: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r>
      <w:tr>
        <w:trPr>
          <w:trHeight w:val="219"/>
        </w:trPr>
        <w:tc>
          <w:tcPr>
            <w:tcW w:w="350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Pretax operating income</w:t>
            </w:r>
          </w:p>
        </w:tc>
        <w:tc>
          <w:tcPr>
            <w:tcW w:w="15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6,510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(768)</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w:t>
            </w:r>
          </w:p>
        </w:tc>
      </w:tr>
      <w:tr>
        <w:trPr>
          <w:trHeight w:val="22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19"/>
                <w:szCs w:val="19"/>
                <w:color w:val="auto"/>
              </w:rPr>
            </w:pP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(316)</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w:t>
            </w:r>
          </w:p>
        </w:tc>
      </w:tr>
      <w:tr>
        <w:trPr>
          <w:trHeight w:val="22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Charges &amp; credits </w:t>
            </w:r>
            <w:r>
              <w:rPr>
                <w:rFonts w:ascii="Times New Roman" w:cs="Times New Roman" w:eastAsia="Times New Roman" w:hAnsi="Times New Roman"/>
                <w:sz w:val="15"/>
                <w:szCs w:val="15"/>
                <w:color w:val="auto"/>
              </w:rPr>
              <w:t>(4)</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(2,575)</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(1,773)</w:t>
            </w:r>
          </w:p>
        </w:tc>
      </w:tr>
      <w:tr>
        <w:trPr>
          <w:trHeight w:val="219"/>
        </w:trPr>
        <w:tc>
          <w:tcPr>
            <w:tcW w:w="3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35,475</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2,881</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4"/>
        </w:trPr>
        <w:tc>
          <w:tcPr>
            <w:tcW w:w="3500" w:type="dxa"/>
            <w:vAlign w:val="bottom"/>
          </w:tcPr>
          <w:p>
            <w:pPr>
              <w:spacing w:after="0"/>
              <w:rPr>
                <w:sz w:val="24"/>
                <w:szCs w:val="24"/>
                <w:color w:val="auto"/>
              </w:rPr>
            </w:pPr>
          </w:p>
        </w:tc>
        <w:tc>
          <w:tcPr>
            <w:tcW w:w="378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Geographic Areas</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4"/>
        </w:trPr>
        <w:tc>
          <w:tcPr>
            <w:tcW w:w="3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3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81"/>
              <w:spacing w:after="0"/>
              <w:rPr>
                <w:sz w:val="20"/>
                <w:szCs w:val="20"/>
                <w:color w:val="auto"/>
              </w:rPr>
            </w:pPr>
            <w:r>
              <w:rPr>
                <w:rFonts w:ascii="Times New Roman" w:cs="Times New Roman" w:eastAsia="Times New Roman" w:hAnsi="Times New Roman"/>
                <w:sz w:val="18"/>
                <w:szCs w:val="18"/>
                <w:color w:val="auto"/>
              </w:rPr>
              <w:t>2014</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3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6"/>
              </w:rPr>
              <w:t>Income</w:t>
            </w:r>
          </w:p>
        </w:tc>
        <w:tc>
          <w:tcPr>
            <w:tcW w:w="100" w:type="dxa"/>
            <w:vAlign w:val="bottom"/>
          </w:tcPr>
          <w:p>
            <w:pPr>
              <w:spacing w:after="0"/>
              <w:rPr>
                <w:sz w:val="18"/>
                <w:szCs w:val="18"/>
                <w:color w:val="auto"/>
              </w:rPr>
            </w:pPr>
          </w:p>
        </w:tc>
      </w:tr>
      <w:tr>
        <w:trPr>
          <w:trHeight w:val="226"/>
        </w:trPr>
        <w:tc>
          <w:tcPr>
            <w:tcW w:w="3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before</w:t>
            </w:r>
          </w:p>
        </w:tc>
      </w:tr>
      <w:tr>
        <w:trPr>
          <w:trHeight w:val="233"/>
        </w:trPr>
        <w:tc>
          <w:tcPr>
            <w:tcW w:w="3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Taxes</w:t>
            </w:r>
          </w:p>
        </w:tc>
      </w:tr>
      <w:tr>
        <w:trPr>
          <w:trHeight w:val="219"/>
        </w:trPr>
        <w:tc>
          <w:tcPr>
            <w:tcW w:w="3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5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9,811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19"/>
                <w:szCs w:val="19"/>
                <w:color w:val="auto"/>
              </w:rPr>
            </w:pPr>
          </w:p>
        </w:tc>
      </w:tr>
      <w:tr>
        <w:trPr>
          <w:trHeight w:val="22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9,284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00" w:type="dxa"/>
            <w:vAlign w:val="bottom"/>
            <w:shd w:val="clear" w:color="auto" w:fill="CFF0FC"/>
          </w:tcPr>
          <w:p>
            <w:pPr>
              <w:spacing w:after="0"/>
              <w:rPr>
                <w:sz w:val="19"/>
                <w:szCs w:val="19"/>
                <w:color w:val="auto"/>
              </w:rPr>
            </w:pP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9,898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Pr>
          <w:p>
            <w:pPr>
              <w:spacing w:after="0"/>
              <w:rPr>
                <w:sz w:val="19"/>
                <w:szCs w:val="19"/>
                <w:color w:val="auto"/>
              </w:rPr>
            </w:pPr>
          </w:p>
        </w:tc>
      </w:tr>
      <w:tr>
        <w:trPr>
          <w:trHeight w:val="22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(444)</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r>
      <w:tr>
        <w:trPr>
          <w:trHeight w:val="21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Pretax operating income</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100" w:type="dxa"/>
            <w:vAlign w:val="bottom"/>
          </w:tcPr>
          <w:p>
            <w:pPr>
              <w:spacing w:after="0"/>
              <w:rPr>
                <w:sz w:val="19"/>
                <w:szCs w:val="19"/>
                <w:color w:val="auto"/>
              </w:rPr>
            </w:pPr>
          </w:p>
        </w:tc>
      </w:tr>
      <w:tr>
        <w:trPr>
          <w:trHeight w:val="22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(768)</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(848)</w:t>
            </w: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r>
      <w:tr>
        <w:trPr>
          <w:trHeight w:val="22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(316)</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w:t>
            </w: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Charges &amp; credits </w:t>
            </w:r>
            <w:r>
              <w:rPr>
                <w:rFonts w:ascii="Times New Roman" w:cs="Times New Roman" w:eastAsia="Times New Roman" w:hAnsi="Times New Roman"/>
                <w:sz w:val="15"/>
                <w:szCs w:val="15"/>
                <w:color w:val="auto"/>
              </w:rPr>
              <w:t>(4)</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(2,575)</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(1,773)</w:t>
            </w:r>
          </w:p>
        </w:tc>
      </w:tr>
      <w:tr>
        <w:trPr>
          <w:trHeight w:val="219"/>
        </w:trPr>
        <w:tc>
          <w:tcPr>
            <w:tcW w:w="350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35,475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2,881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ind w:left="380" w:hanging="374"/>
        <w:spacing w:after="0" w:line="210" w:lineRule="auto"/>
        <w:tabs>
          <w:tab w:leader="none" w:pos="380"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21" w:lineRule="exact"/>
        <w:rPr>
          <w:rFonts w:ascii="Times New Roman" w:cs="Times New Roman" w:eastAsia="Times New Roman" w:hAnsi="Times New Roman"/>
          <w:sz w:val="26"/>
          <w:szCs w:val="26"/>
          <w:color w:val="auto"/>
          <w:vertAlign w:val="superscript"/>
        </w:rPr>
      </w:pPr>
    </w:p>
    <w:p>
      <w:pPr>
        <w:ind w:left="380" w:hanging="374"/>
        <w:spacing w:after="0"/>
        <w:tabs>
          <w:tab w:leader="none" w:pos="380"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Excludes interest income included in the segments’ income (2015: $22 million; 2014: $20 million).</w:t>
      </w:r>
    </w:p>
    <w:p>
      <w:pPr>
        <w:spacing w:after="0" w:line="107" w:lineRule="exact"/>
        <w:rPr>
          <w:rFonts w:ascii="Times New Roman" w:cs="Times New Roman" w:eastAsia="Times New Roman" w:hAnsi="Times New Roman"/>
          <w:sz w:val="26"/>
          <w:szCs w:val="26"/>
          <w:color w:val="auto"/>
          <w:vertAlign w:val="superscript"/>
        </w:rPr>
      </w:pPr>
    </w:p>
    <w:p>
      <w:pPr>
        <w:ind w:left="380" w:hanging="374"/>
        <w:spacing w:after="0" w:line="192" w:lineRule="auto"/>
        <w:tabs>
          <w:tab w:leader="none" w:pos="38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Excludes interest expense included in the segments’ income (2015: $30 million; 2014: $22 million).</w:t>
      </w:r>
    </w:p>
    <w:p>
      <w:pPr>
        <w:spacing w:after="0" w:line="107" w:lineRule="exact"/>
        <w:rPr>
          <w:rFonts w:ascii="Times New Roman" w:cs="Times New Roman" w:eastAsia="Times New Roman" w:hAnsi="Times New Roman"/>
          <w:sz w:val="23"/>
          <w:szCs w:val="23"/>
          <w:color w:val="auto"/>
          <w:vertAlign w:val="superscript"/>
        </w:rPr>
      </w:pPr>
    </w:p>
    <w:p>
      <w:pPr>
        <w:ind w:left="380" w:hanging="374"/>
        <w:spacing w:after="0" w:line="192" w:lineRule="auto"/>
        <w:tabs>
          <w:tab w:leader="none" w:pos="38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Charges and credits are described in detail in Note 3 to the </w:t>
      </w:r>
      <w:r>
        <w:rPr>
          <w:rFonts w:ascii="Times New Roman" w:cs="Times New Roman" w:eastAsia="Times New Roman" w:hAnsi="Times New Roman"/>
          <w:sz w:val="16"/>
          <w:szCs w:val="16"/>
          <w:i w:val="1"/>
          <w:iCs w:val="1"/>
          <w:color w:val="auto"/>
        </w:rPr>
        <w:t>Consolidated Financial Statements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Full-year 2015 revenue of $35.5 billion decreased $13.1 billion, or 27%, versus the same period last year with International revenue of $25.2 billion decreasing $6.9 billion, or 21%, and North America revenue of $9.8 billion decreasing $6.3 billion, or 39%.</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Internationally, revenue decreased 21% year-on-year due to customer budget cuts and service pricing concessions as customers responded to lower commodity prices. Revenue was also impacted by the fall of certain currencies against the US dollar, which accounted for more than one-third of the revenue decline. Europe/CIS/Africa Area revenue decreased 26%, mainly due to the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18" w:name="page19"/>
    <w:bookmarkEnd w:id="18"/>
    <w:p>
      <w:pPr>
        <w:jc w:val="both"/>
        <w:spacing w:after="0" w:line="251" w:lineRule="auto"/>
        <w:rPr>
          <w:sz w:val="20"/>
          <w:szCs w:val="20"/>
          <w:color w:val="auto"/>
        </w:rPr>
      </w:pPr>
      <w:r>
        <w:rPr>
          <w:rFonts w:ascii="Times New Roman" w:cs="Times New Roman" w:eastAsia="Times New Roman" w:hAnsi="Times New Roman"/>
          <w:sz w:val="18"/>
          <w:szCs w:val="18"/>
          <w:color w:val="auto"/>
        </w:rPr>
        <w:t>weakness in the Russian ruble. Exploration activities in the UK and Norway fell as customer spending decelerated. In Sub-Saharan Africa, offshore rigs demobilized as exploration decreased. In North Africa, work progressed slowly while Libya activity remained muted, as onshore operations were limited due to security concerns. Revenue in the Latin America Area declined 22% due to significantly lower activity levels in Mexico, Brazil and Colombia because of sustained budget cuts that led to rig count reductions. The impact of the devaluation of the Venezuela bolivar also affected the revenue decline in the Venezuela, Trinidad and Tobago GeoMarket. Middle East &amp; Asia Area revenue decreased 17% due to a double-digit drop in revenue in the Asia-Pacific region, particularly in Australia. This decrease arose from reduced activity and pricing concessions, but was partially offset by robust activity in the Gulf Cooperation Council countries in the Middle East, particularly in Saudi Arabia, Kuwait and Oman. Activity in Iraq continued to decline.</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North America full-year 2015 revenue decreased 39% year-on-year mainly from land which was down 45%, while offshore decreased 17% compared to the same period of 2014. The decrease in land was driven by severe activity and pricing declines as customer spending was cut. With the year-end US land rig count 68% lower than the 2014 peak, the massive over-capacity in the land services market offers no signs of pricing recovery in the short- to medium-term. Offshore activity in the US Gulf of Mexico remained resilient, although revenue did decline as work shifted from exploration to development activities driven by customer budget cuts.</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Full-year 2015 pretax operating income of $6.5 billion decreased $4.1 billion, or 38%, versus the same period last year with International pretax operating income of $6.0 billion decreasing 22% and North America pretax operating income of $1.0 billion decreasing 67%.</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Full-year 2015 pretax operating margin of 18.4% decreased 342 bps compared to 2014. Internationally, pretax operating margin of 23.6% decreased 29 bps year-on-year. Middle East &amp; Asia pretax operating margin decreased 67 bps to 26.9%, Latin America expanded 58 bps to 21.9%, and Europe/CIS/Africa declined 79 bps to 21.3%. Despite the revenue decline from pricing concessions and an increasingly unfavorable shift in revenue mix from offshore exploration to development, pretax operating margins were essentially flat internationally as a result of proactive cost and resource management. North America pretax operating margin declined 874 bps year-on-year to 10.2% on decreased pressure pumping activity and pricing weakness on land.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Reservoir Characterization Group</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Full-year 2015 revenue of $9.5 billion was 26% lower than the same period last year primarily due to sustained customer cuts in exploration and discretionary spending that impacted Wireline and Testing Technologies and software sales. Revenue also decreased due to lower WesternGeco marine vessel utilization and reduced multiclient sales.</w:t>
      </w:r>
    </w:p>
    <w:p>
      <w:pPr>
        <w:spacing w:after="0" w:line="1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Year-on-year, pretax operating margin decreased 294 bps to 25.8% as a result of an unfavorable overall revenue mix reflecting the decline in high-margin exploration activity as well as lower high-margin multiclient and software sales.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 Group</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Full-year 2015 revenue of $13.6 billion was 25% lower than the previous year primarily due to the severe drop in rig count in North America, reduced activity levels and service pricing concessions internationally that mainly affected Drilling &amp; Measurements and M-I SWACO technologies. Unfavorable currency effects in Russia and Venezuela also contributed to the decline.</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Year-on-year, pretax operating margin decreased 228 bps to 18.7%, primarily due to a decrease in higher-margin activities of Drilling &amp; Measurements as well as pricing concessions. Despite the revenue decline, prompt action on cost management and the benefit of a local cost structure that minimized the impact of unfavorable currency effects on pretax operating income helped limit the operating margin decline.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Group</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Full-year 2015 revenue of $12.5 billion decreased 29% year-on-year, with approximately two-thirds of the decline attributable to Well Services pressure pumping technologies as a result of activity reductions and pricing pressure as the land rig count declined dramatically in North America.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Year-on-year, pretax operating margin declined 535 bps to 12.6% as lower activity and increasing pricing pressure continued in North America land.</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Full-Year 2014 Results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Product Groups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w w:val="98"/>
              </w:rPr>
              <w:t>(Stated in millions)</w:t>
            </w:r>
          </w:p>
        </w:tc>
      </w:tr>
      <w:tr>
        <w:trPr>
          <w:trHeight w:val="436"/>
        </w:trPr>
        <w:tc>
          <w:tcPr>
            <w:tcW w:w="3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2014</w:t>
            </w:r>
          </w:p>
        </w:tc>
        <w:tc>
          <w:tcPr>
            <w:tcW w:w="9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4"/>
        </w:trPr>
        <w:tc>
          <w:tcPr>
            <w:tcW w:w="3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w w:val="99"/>
              </w:rPr>
              <w:t>Income</w:t>
            </w:r>
          </w:p>
        </w:tc>
        <w:tc>
          <w:tcPr>
            <w:tcW w:w="120" w:type="dxa"/>
            <w:vAlign w:val="bottom"/>
          </w:tcPr>
          <w:p>
            <w:pPr>
              <w:spacing w:after="0"/>
              <w:rPr>
                <w:sz w:val="18"/>
                <w:szCs w:val="18"/>
                <w:color w:val="auto"/>
              </w:rPr>
            </w:pPr>
          </w:p>
        </w:tc>
      </w:tr>
      <w:tr>
        <w:trPr>
          <w:trHeight w:val="226"/>
        </w:trPr>
        <w:tc>
          <w:tcPr>
            <w:tcW w:w="3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before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before</w:t>
            </w:r>
          </w:p>
        </w:tc>
      </w:tr>
      <w:tr>
        <w:trPr>
          <w:trHeight w:val="231"/>
        </w:trPr>
        <w:tc>
          <w:tcPr>
            <w:tcW w:w="3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Taxes</w:t>
            </w:r>
          </w:p>
        </w:tc>
      </w:tr>
      <w:tr>
        <w:trPr>
          <w:trHeight w:val="219"/>
        </w:trPr>
        <w:tc>
          <w:tcPr>
            <w:tcW w:w="3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5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12,905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20" w:type="dxa"/>
            <w:vAlign w:val="bottom"/>
          </w:tcPr>
          <w:p>
            <w:pPr>
              <w:spacing w:after="0"/>
              <w:rPr>
                <w:sz w:val="19"/>
                <w:szCs w:val="19"/>
                <w:color w:val="auto"/>
              </w:rPr>
            </w:pPr>
          </w:p>
        </w:tc>
      </w:tr>
      <w:tr>
        <w:trPr>
          <w:trHeight w:val="22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17,763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20" w:type="dxa"/>
            <w:vAlign w:val="bottom"/>
            <w:shd w:val="clear" w:color="auto" w:fill="CFF0FC"/>
          </w:tcPr>
          <w:p>
            <w:pPr>
              <w:spacing w:after="0"/>
              <w:rPr>
                <w:sz w:val="19"/>
                <w:szCs w:val="19"/>
                <w:color w:val="auto"/>
              </w:rPr>
            </w:pP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w:t>
            </w:r>
          </w:p>
        </w:tc>
      </w:tr>
      <w:tr>
        <w:trPr>
          <w:trHeight w:val="219"/>
        </w:trPr>
        <w:tc>
          <w:tcPr>
            <w:tcW w:w="350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Pretax operating income</w:t>
            </w:r>
          </w:p>
        </w:tc>
        <w:tc>
          <w:tcPr>
            <w:tcW w:w="15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(726)</w:t>
            </w:r>
          </w:p>
        </w:tc>
      </w:tr>
      <w:tr>
        <w:trPr>
          <w:trHeight w:val="22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9"/>
                <w:szCs w:val="19"/>
                <w:color w:val="auto"/>
              </w:rPr>
            </w:pP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r>
      <w:tr>
        <w:trPr>
          <w:trHeight w:val="22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1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shd w:val="clear" w:color="auto" w:fill="CFF0FC"/>
          </w:tcPr>
          <w:p>
            <w:pPr>
              <w:spacing w:after="0"/>
              <w:rPr>
                <w:sz w:val="19"/>
                <w:szCs w:val="19"/>
                <w:color w:val="auto"/>
              </w:rPr>
            </w:pPr>
          </w:p>
        </w:tc>
      </w:tr>
      <w:tr>
        <w:trPr>
          <w:trHeight w:val="219"/>
        </w:trPr>
        <w:tc>
          <w:tcPr>
            <w:tcW w:w="3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48,580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12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84"/>
        </w:trPr>
        <w:tc>
          <w:tcPr>
            <w:tcW w:w="3500" w:type="dxa"/>
            <w:vAlign w:val="bottom"/>
          </w:tcPr>
          <w:p>
            <w:pPr>
              <w:spacing w:after="0"/>
              <w:rPr>
                <w:sz w:val="24"/>
                <w:szCs w:val="24"/>
                <w:color w:val="auto"/>
              </w:rPr>
            </w:pPr>
          </w:p>
        </w:tc>
        <w:tc>
          <w:tcPr>
            <w:tcW w:w="382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Geographic Areas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7"/>
        </w:trPr>
        <w:tc>
          <w:tcPr>
            <w:tcW w:w="3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w w:val="98"/>
              </w:rPr>
              <w:t>(Stated in millions)</w:t>
            </w:r>
          </w:p>
        </w:tc>
      </w:tr>
      <w:tr>
        <w:trPr>
          <w:trHeight w:val="436"/>
        </w:trPr>
        <w:tc>
          <w:tcPr>
            <w:tcW w:w="3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57"/>
              <w:spacing w:after="0"/>
              <w:rPr>
                <w:sz w:val="20"/>
                <w:szCs w:val="20"/>
                <w:color w:val="auto"/>
              </w:rPr>
            </w:pPr>
            <w:r>
              <w:rPr>
                <w:rFonts w:ascii="Times New Roman" w:cs="Times New Roman" w:eastAsia="Times New Roman" w:hAnsi="Times New Roman"/>
                <w:sz w:val="18"/>
                <w:szCs w:val="18"/>
                <w:color w:val="auto"/>
              </w:rPr>
              <w:t>2014</w:t>
            </w:r>
          </w:p>
        </w:tc>
        <w:tc>
          <w:tcPr>
            <w:tcW w:w="9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4"/>
        </w:trPr>
        <w:tc>
          <w:tcPr>
            <w:tcW w:w="3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w w:val="99"/>
              </w:rPr>
              <w:t>Income</w:t>
            </w:r>
          </w:p>
        </w:tc>
        <w:tc>
          <w:tcPr>
            <w:tcW w:w="120" w:type="dxa"/>
            <w:vAlign w:val="bottom"/>
          </w:tcPr>
          <w:p>
            <w:pPr>
              <w:spacing w:after="0"/>
              <w:rPr>
                <w:sz w:val="18"/>
                <w:szCs w:val="18"/>
                <w:color w:val="auto"/>
              </w:rPr>
            </w:pPr>
          </w:p>
        </w:tc>
      </w:tr>
      <w:tr>
        <w:trPr>
          <w:trHeight w:val="226"/>
        </w:trPr>
        <w:tc>
          <w:tcPr>
            <w:tcW w:w="3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before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before</w:t>
            </w:r>
          </w:p>
        </w:tc>
      </w:tr>
      <w:tr>
        <w:trPr>
          <w:trHeight w:val="231"/>
        </w:trPr>
        <w:tc>
          <w:tcPr>
            <w:tcW w:w="3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Taxes</w:t>
            </w:r>
          </w:p>
        </w:tc>
      </w:tr>
      <w:tr>
        <w:trPr>
          <w:trHeight w:val="219"/>
        </w:trPr>
        <w:tc>
          <w:tcPr>
            <w:tcW w:w="3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5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16,151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7,699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tcPr>
          <w:p>
            <w:pPr>
              <w:spacing w:after="0"/>
              <w:rPr>
                <w:sz w:val="19"/>
                <w:szCs w:val="19"/>
                <w:color w:val="auto"/>
              </w:rPr>
            </w:pPr>
          </w:p>
        </w:tc>
      </w:tr>
      <w:tr>
        <w:trPr>
          <w:trHeight w:val="22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1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12,515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20" w:type="dxa"/>
            <w:vAlign w:val="bottom"/>
            <w:shd w:val="clear" w:color="auto" w:fill="CFF0FC"/>
          </w:tcPr>
          <w:p>
            <w:pPr>
              <w:spacing w:after="0"/>
              <w:rPr>
                <w:sz w:val="19"/>
                <w:szCs w:val="19"/>
                <w:color w:val="auto"/>
              </w:rPr>
            </w:pP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11,875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20" w:type="dxa"/>
            <w:vAlign w:val="bottom"/>
          </w:tcPr>
          <w:p>
            <w:pPr>
              <w:spacing w:after="0"/>
              <w:rPr>
                <w:sz w:val="19"/>
                <w:szCs w:val="19"/>
                <w:color w:val="auto"/>
              </w:rPr>
            </w:pPr>
          </w:p>
        </w:tc>
      </w:tr>
      <w:tr>
        <w:trPr>
          <w:trHeight w:val="22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r>
      <w:tr>
        <w:trPr>
          <w:trHeight w:val="21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Pretax operating income</w:t>
            </w: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120" w:type="dxa"/>
            <w:vAlign w:val="bottom"/>
          </w:tcPr>
          <w:p>
            <w:pPr>
              <w:spacing w:after="0"/>
              <w:rPr>
                <w:sz w:val="19"/>
                <w:szCs w:val="19"/>
                <w:color w:val="auto"/>
              </w:rPr>
            </w:pPr>
          </w:p>
        </w:tc>
      </w:tr>
      <w:tr>
        <w:trPr>
          <w:trHeight w:val="22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(726)</w:t>
            </w: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r>
      <w:tr>
        <w:trPr>
          <w:trHeight w:val="22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9"/>
                <w:szCs w:val="19"/>
                <w:color w:val="auto"/>
              </w:rPr>
            </w:pPr>
          </w:p>
        </w:tc>
      </w:tr>
      <w:tr>
        <w:trPr>
          <w:trHeight w:val="219"/>
        </w:trPr>
        <w:tc>
          <w:tcPr>
            <w:tcW w:w="350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48,580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left="380" w:right="20" w:hanging="374"/>
        <w:spacing w:after="0" w:line="210" w:lineRule="auto"/>
        <w:tabs>
          <w:tab w:leader="none" w:pos="380" w:val="left"/>
        </w:tabs>
        <w:numPr>
          <w:ilvl w:val="0"/>
          <w:numId w:val="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21" w:lineRule="exact"/>
        <w:rPr>
          <w:rFonts w:ascii="Times New Roman" w:cs="Times New Roman" w:eastAsia="Times New Roman" w:hAnsi="Times New Roman"/>
          <w:sz w:val="26"/>
          <w:szCs w:val="26"/>
          <w:color w:val="auto"/>
          <w:vertAlign w:val="superscript"/>
        </w:rPr>
      </w:pPr>
    </w:p>
    <w:p>
      <w:pPr>
        <w:ind w:left="380" w:hanging="374"/>
        <w:spacing w:after="0"/>
        <w:tabs>
          <w:tab w:leader="none" w:pos="380" w:val="left"/>
        </w:tabs>
        <w:numPr>
          <w:ilvl w:val="0"/>
          <w:numId w:val="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Excludes interest income included in the segments’ income (2014: $20 million; 2013: $11 million).</w:t>
      </w:r>
    </w:p>
    <w:p>
      <w:pPr>
        <w:spacing w:after="0" w:line="107" w:lineRule="exact"/>
        <w:rPr>
          <w:rFonts w:ascii="Times New Roman" w:cs="Times New Roman" w:eastAsia="Times New Roman" w:hAnsi="Times New Roman"/>
          <w:sz w:val="26"/>
          <w:szCs w:val="26"/>
          <w:color w:val="auto"/>
          <w:vertAlign w:val="superscript"/>
        </w:rPr>
      </w:pPr>
    </w:p>
    <w:p>
      <w:pPr>
        <w:ind w:left="380" w:hanging="374"/>
        <w:spacing w:after="0" w:line="192" w:lineRule="auto"/>
        <w:tabs>
          <w:tab w:leader="none" w:pos="38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Excludes interest expense included in the segments’ income (2014: $22 million; 2013: $22 million).</w:t>
      </w:r>
    </w:p>
    <w:p>
      <w:pPr>
        <w:spacing w:after="0" w:line="107" w:lineRule="exact"/>
        <w:rPr>
          <w:rFonts w:ascii="Times New Roman" w:cs="Times New Roman" w:eastAsia="Times New Roman" w:hAnsi="Times New Roman"/>
          <w:sz w:val="23"/>
          <w:szCs w:val="23"/>
          <w:color w:val="auto"/>
          <w:vertAlign w:val="superscript"/>
        </w:rPr>
      </w:pPr>
    </w:p>
    <w:p>
      <w:pPr>
        <w:ind w:left="380" w:hanging="374"/>
        <w:spacing w:after="0" w:line="192" w:lineRule="auto"/>
        <w:tabs>
          <w:tab w:leader="none" w:pos="38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Charges and credits are described in detail in Note 3 to the </w:t>
      </w:r>
      <w:r>
        <w:rPr>
          <w:rFonts w:ascii="Times New Roman" w:cs="Times New Roman" w:eastAsia="Times New Roman" w:hAnsi="Times New Roman"/>
          <w:sz w:val="16"/>
          <w:szCs w:val="16"/>
          <w:i w:val="1"/>
          <w:iCs w:val="1"/>
          <w:color w:val="auto"/>
        </w:rPr>
        <w:t>Consolidated Financial Statements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Full-year 2014 revenue of $48.6 billion grew $3.3 billion, or 7%, versus the same period last year with International revenue of $32.1 billion increasing $1.2 billion, or 4%, and North America revenue of $16.2 billion growing $2.3 billion, or 16%.</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Internationally, higher activities in a number of GeoMarkets, both offshore and in key land markets, contributed to the increase. The increase was led by the Middle East &amp; Asia, which increased 10%, mainly from robust drilling and exploration results in Saudi Arabia, Australia, the United Arab Emirates and Oman. Europe/CIS/Africa increased 1%, led by the Sub-Saharan Africa region on strong</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863" w:right="239" w:bottom="1440" w:gutter="0" w:footer="0" w:header="0"/>
        </w:sectPr>
      </w:pPr>
    </w:p>
    <w:bookmarkStart w:id="20" w:name="page21"/>
    <w:bookmarkEnd w:id="20"/>
    <w:p>
      <w:pPr>
        <w:jc w:val="both"/>
        <w:spacing w:after="0" w:line="260" w:lineRule="auto"/>
        <w:rPr>
          <w:sz w:val="20"/>
          <w:szCs w:val="20"/>
          <w:color w:val="auto"/>
        </w:rPr>
      </w:pPr>
      <w:r>
        <w:rPr>
          <w:rFonts w:ascii="Times New Roman" w:cs="Times New Roman" w:eastAsia="Times New Roman" w:hAnsi="Times New Roman"/>
          <w:sz w:val="18"/>
          <w:szCs w:val="18"/>
          <w:color w:val="auto"/>
        </w:rPr>
        <w:t>development and exploration activities, particularly in Central West Africa, Angola and Continental Europe GeoMarkets. Norway also experienced strong growth driven by market share gains and higher rig-related services for a number of customers. Latin America, however, decreased 1% primarily because of lower activity and pricing in Brazil and Mexico which was partially offset by strong activity in Argentina and Ecuador.</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North America revenue increased 16% mainly due to land, which was up 22%, while offshore was down 3%. The increase in land was driven by market share gains in pressure pumping, artificial lift and drilling services. The pressure pumping growth was augmented by improvements in operational efficiency and the introduction of new technologies. The decrease in offshore revenue was attributable to lower drilling and exploration activities, and due to a series of operational delays that impacted several product lines earlier in the year combined with lower multiclient sales.</w:t>
      </w:r>
    </w:p>
    <w:p>
      <w:pPr>
        <w:spacing w:after="0" w:line="1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Full-year 2014 pretax operating income of $10.6 billion grew $1.2 billion, or 13%, versus the same period last year with International pretax operating income of $7.7 billion increasing 12% and North America pretax operating income of $3.1 billion increasing 12%.</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Full-year 2014 pretax operating margin of 21.8% increased 113 bps compared to 2013, as pretax operating margins internationally were up 168 bps, to 23.9%, while North America pretax operating margin was down 75 bps, to 18.9%. The increase in International Area margins reflected increased high-margin exploration activities, market share gains, growth in accretive integration-related activities and premium pricing on new technology introductions. The North America margin contraction reflected pressure pumping commodity inflation.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Reservoir Characterization Group</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Full-year 2014 revenue of $12.9 billion was down 1% compared to 2013. Revenue increased in Testing Services, from higher offshore exploration, and Software Integrated Solutions, driven by software sales across all international areas. However, these increases were offset by lower WesternGeco marine vessel utilization and reduced multiclient seismic sales.</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Year-on-year, pretax operating margin increased 30 bps, to 28.7%, largely due to the higher-margin exploration activities that benefited Wireline Technologies and Testing Services. Higher margin software sales also contributed to the improvement. These increases were partially offset by lower profitability in WesternGeco due to lower vessel utilization and multiclient seismic sales.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 Group</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Full-year 2014 revenue of $18.1 billion was 8% higher than 2013, primarily due to the robust demand for Drilling &amp; Measurements services and M-I SWACO Technologies as activity strengthened in the North America and Middle East &amp; Asia Areas. Land Rig revenue from the May 2014 acquisition of Saxon also contributed to the growth.</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Year-on-year, pretax operating margin increased 171 bps, to 21.0%, primarily due to the increase in higher-margin exploration activities of Drilling &amp; Measurements in North America offshore and in the international markets. Improved profitability on Integrated Drilling Services activities also contributed to the margin increase.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Group</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Full-year 2014 revenue of $17.8 billion increased 14% compared to 2013, primarily from Well Services pressure pumping technologies driven by market share gains, improvements in operational efficiency and the introduction of new technologies. Schlumberger Production Management (SPM) revenue grew as projects in Latin America continued to progress ahead of work plans. Revenue from the expanding artificial lift business also contributed to the year-on-year growth.</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Year-on-year, pretax operating margin increased 121 bps, to 18.0%, mainly on improved profitability for Well Services and Well Intervention, particularly internationally. SPM activities also contributed to the margin expansion. However, these improvements were partially offset by the decrease in margins in North America due to pressure pumping commodity cost inflation.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and Other Income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other income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672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2015</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FF0FC"/>
            </w:tcBorders>
          </w:tcPr>
          <w:p>
            <w:pPr>
              <w:spacing w:after="0"/>
              <w:rPr>
                <w:sz w:val="24"/>
                <w:szCs w:val="24"/>
                <w:color w:val="auto"/>
              </w:rPr>
            </w:pPr>
          </w:p>
        </w:tc>
      </w:tr>
      <w:tr>
        <w:trPr>
          <w:trHeight w:val="21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Earnings of equity method investments</w:t>
            </w: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FF0FC"/>
            </w:tcBorders>
          </w:tcPr>
          <w:p>
            <w:pPr>
              <w:spacing w:after="0"/>
              <w:rPr>
                <w:sz w:val="19"/>
                <w:szCs w:val="19"/>
                <w:color w:val="auto"/>
              </w:rPr>
            </w:pPr>
          </w:p>
        </w:tc>
      </w:tr>
      <w:tr>
        <w:trPr>
          <w:trHeight w:val="219"/>
        </w:trPr>
        <w:tc>
          <w:tcPr>
            <w:tcW w:w="67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decrease in earnings of equity method investments in 2015 as compared to 2014 primarily reflects the effects of the downturn in the oil and gas industry, which has negatively impacted the majority of Schlumberger’s investments in affiliates, particularly those in North America.</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increase in earnings of equity method investments in 2014 as compared to 2013 primarily reflects the strong performance of a drilling service company in which Schlumberger has an investment, as well as the impact of the first full year of results from the OneSubsea joint venture.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Interest expense of $346 million in 2015 decreased by $23 million compared to 2014 primarily as the effect of an increase in the weighted average debt balance of approximately $0.5 billion was more than offset by a 30 bps decrease in the weighted average borrowing rates from 2.8% in 2014 to 2.5% in 2015.</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Interest expense of $369 million in 2014 decreased by $22 million compared to 2013 primarily as the effect of an increase in the weighted average debt balance of approximately $1.1 billion was more than offset by a 40 bps decrease in the weighted average borrowing rates from 3.2% in 2013 to 2.8% in 2014.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Research &amp; engineering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General &amp; administrative </w:t>
      </w:r>
      <w:r>
        <w:rPr>
          <w:rFonts w:ascii="Times New Roman" w:cs="Times New Roman" w:eastAsia="Times New Roman" w:hAnsi="Times New Roman"/>
          <w:sz w:val="18"/>
          <w:szCs w:val="18"/>
          <w:color w:val="auto"/>
        </w:rPr>
        <w:t>expenses, as a percentage of</w:t>
      </w:r>
      <w:r>
        <w:rPr>
          <w:rFonts w:ascii="Times New Roman" w:cs="Times New Roman" w:eastAsia="Times New Roman" w:hAnsi="Times New Roman"/>
          <w:sz w:val="18"/>
          <w:szCs w:val="18"/>
          <w:i w:val="1"/>
          <w:iCs w:val="1"/>
          <w:color w:val="auto"/>
        </w:rPr>
        <w:t xml:space="preserve"> Revenue</w:t>
      </w:r>
      <w:r>
        <w:rPr>
          <w:rFonts w:ascii="Times New Roman" w:cs="Times New Roman" w:eastAsia="Times New Roman" w:hAnsi="Times New Roman"/>
          <w:sz w:val="18"/>
          <w:szCs w:val="18"/>
          <w:color w:val="auto"/>
        </w:rPr>
        <w:t>,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540" w:type="dxa"/>
            <w:vAlign w:val="bottom"/>
            <w:tcBorders>
              <w:bottom w:val="single" w:sz="8" w:color="CFF0FC"/>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2015</w:t>
            </w:r>
          </w:p>
        </w:tc>
        <w:tc>
          <w:tcPr>
            <w:tcW w:w="380" w:type="dxa"/>
            <w:vAlign w:val="bottom"/>
            <w:tcBorders>
              <w:bottom w:val="single" w:sz="8" w:color="auto"/>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9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2014</w:t>
            </w: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4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2013</w:t>
            </w:r>
          </w:p>
        </w:tc>
        <w:tc>
          <w:tcPr>
            <w:tcW w:w="180" w:type="dxa"/>
            <w:vAlign w:val="bottom"/>
            <w:tcBorders>
              <w:bottom w:val="single" w:sz="8" w:color="CFF0FC"/>
            </w:tcBorders>
          </w:tcPr>
          <w:p>
            <w:pPr>
              <w:spacing w:after="0"/>
              <w:rPr>
                <w:sz w:val="20"/>
                <w:szCs w:val="20"/>
                <w:color w:val="auto"/>
              </w:rPr>
            </w:pPr>
          </w:p>
        </w:tc>
      </w:tr>
      <w:tr>
        <w:trPr>
          <w:trHeight w:val="21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Research &amp; engineering</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w:t>
            </w: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General &amp; administrative</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w:t>
            </w:r>
          </w:p>
        </w:tc>
        <w:tc>
          <w:tcPr>
            <w:tcW w:w="96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Schlumberger effective tax rate was 25.9% in 2015, 25.2% in 2014, and 21.3% in 2013.</w:t>
      </w:r>
    </w:p>
    <w:p>
      <w:pPr>
        <w:spacing w:after="0" w:line="2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Schlumberger effective tax rate is sensitive to the geographic mix of earnings. When the percentage of pretax earnings generated outside of North America increases, the Schlumberger effective tax rate will generally decrease. Conversely, when the percentage of pretax earnings generated outside of North America decreases, the Schlumberger effective tax rate will generally increase.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effective tax rate for each of 2015, 2014 and 2013 was significantly impacted by the charges and credits described in Note 3 to the </w:t>
      </w:r>
      <w:r>
        <w:rPr>
          <w:rFonts w:ascii="Times New Roman" w:cs="Times New Roman" w:eastAsia="Times New Roman" w:hAnsi="Times New Roman"/>
          <w:sz w:val="18"/>
          <w:szCs w:val="18"/>
          <w:i w:val="1"/>
          <w:iCs w:val="1"/>
          <w:color w:val="auto"/>
        </w:rPr>
        <w:t>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because they were only partially tax effective. Excluding the impact of these charges and credits, the effective tax rate was 20.2% in 2015, 21.9%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and 22.9% in 2013. The decrease in the effective tax rate, excluding the impact of charges and credits, was primarily attributable to the change in the geographic mix of earnings and the favorable resolution of tax examinations in certain jurisdictions.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Charges and Credits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Schlumberger recorded significant charges and credits in continuing operations during 2015, 2014 and 2013. These charges and credits, which are summarized below, are more fully described in Note 3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 xml:space="preserve">The following is a summary of the 2015 charges and credits, all of which were classified as </w:t>
      </w:r>
      <w:r>
        <w:rPr>
          <w:rFonts w:ascii="Times New Roman" w:cs="Times New Roman" w:eastAsia="Times New Roman" w:hAnsi="Times New Roman"/>
          <w:sz w:val="18"/>
          <w:szCs w:val="18"/>
          <w:i w:val="1"/>
          <w:iCs w:val="1"/>
          <w:color w:val="auto"/>
        </w:rPr>
        <w:t>Impairments &amp; other</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6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Pretax</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Tax</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w:t>
            </w:r>
          </w:p>
        </w:tc>
      </w:tr>
      <w:tr>
        <w:trPr>
          <w:trHeight w:val="219"/>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Workforce reductions</w:t>
            </w:r>
          </w:p>
        </w:tc>
        <w:tc>
          <w:tcPr>
            <w:tcW w:w="920" w:type="dxa"/>
            <w:vAlign w:val="bottom"/>
            <w:tcBorders>
              <w:top w:val="single" w:sz="8" w:color="auto"/>
            </w:tcBorders>
            <w:shd w:val="clear" w:color="auto" w:fill="CFF0FC"/>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Fixed asset impairments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write-downs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SPM project</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closures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Geopolitical events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devaluation loss in Venezuela</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19"/>
                <w:szCs w:val="19"/>
                <w:color w:val="auto"/>
              </w:rPr>
            </w:pPr>
          </w:p>
        </w:tc>
      </w:tr>
      <w:tr>
        <w:trPr>
          <w:trHeight w:val="219"/>
        </w:trPr>
        <w:tc>
          <w:tcPr>
            <w:tcW w:w="6720" w:type="dxa"/>
            <w:vAlign w:val="bottom"/>
          </w:tcPr>
          <w:p>
            <w:pPr>
              <w:spacing w:after="0"/>
              <w:rPr>
                <w:sz w:val="19"/>
                <w:szCs w:val="19"/>
                <w:color w:val="auto"/>
              </w:rPr>
            </w:pPr>
          </w:p>
        </w:tc>
        <w:tc>
          <w:tcPr>
            <w:tcW w:w="92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2,575</w:t>
            </w:r>
          </w:p>
        </w:tc>
        <w:tc>
          <w:tcPr>
            <w:tcW w:w="260" w:type="dxa"/>
            <w:vAlign w:val="bottom"/>
          </w:tcPr>
          <w:p>
            <w:pPr>
              <w:spacing w:after="0"/>
              <w:rPr>
                <w:sz w:val="19"/>
                <w:szCs w:val="19"/>
                <w:color w:val="auto"/>
              </w:rPr>
            </w:pPr>
          </w:p>
        </w:tc>
        <w:tc>
          <w:tcPr>
            <w:tcW w:w="94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is a summary of the 2014 charges and credits, all of which were classified as </w:t>
      </w:r>
      <w:r>
        <w:rPr>
          <w:rFonts w:ascii="Times New Roman" w:cs="Times New Roman" w:eastAsia="Times New Roman" w:hAnsi="Times New Roman"/>
          <w:sz w:val="18"/>
          <w:szCs w:val="18"/>
          <w:i w:val="1"/>
          <w:iCs w:val="1"/>
          <w:color w:val="auto"/>
        </w:rPr>
        <w:t>Impairments &amp; other</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6"/>
        </w:trPr>
        <w:tc>
          <w:tcPr>
            <w:tcW w:w="5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Pretax</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Tax</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19"/>
        </w:trPr>
        <w:tc>
          <w:tcPr>
            <w:tcW w:w="5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WesternGeco restructuring</w:t>
            </w:r>
          </w:p>
        </w:tc>
        <w:tc>
          <w:tcPr>
            <w:tcW w:w="1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Currency devaluation loss in Venezuela</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Workforce reduction</w:t>
            </w: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Impairment of SPM project</w:t>
            </w:r>
          </w:p>
        </w:tc>
        <w:tc>
          <w:tcPr>
            <w:tcW w:w="1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0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1,773</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is a summary of the 2013 charges and credits:</w:t>
            </w: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5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6"/>
        </w:trPr>
        <w:tc>
          <w:tcPr>
            <w:tcW w:w="5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Pretax</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Tax</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19"/>
        </w:trPr>
        <w:tc>
          <w:tcPr>
            <w:tcW w:w="5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Gain on formation of OneSubsea joint venture </w:t>
            </w:r>
            <w:r>
              <w:rPr>
                <w:rFonts w:ascii="Times New Roman" w:cs="Times New Roman" w:eastAsia="Times New Roman" w:hAnsi="Times New Roman"/>
                <w:sz w:val="15"/>
                <w:szCs w:val="15"/>
                <w:color w:val="auto"/>
              </w:rPr>
              <w:t>(1)</w:t>
            </w:r>
          </w:p>
        </w:tc>
        <w:tc>
          <w:tcPr>
            <w:tcW w:w="1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6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Impairment of equity method investments </w:t>
            </w:r>
            <w:r>
              <w:rPr>
                <w:rFonts w:ascii="Times New Roman" w:cs="Times New Roman" w:eastAsia="Times New Roman" w:hAnsi="Times New Roman"/>
                <w:sz w:val="15"/>
                <w:szCs w:val="15"/>
                <w:color w:val="auto"/>
              </w:rPr>
              <w:t>(2)</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Provision for accounts receivable </w:t>
            </w:r>
            <w:r>
              <w:rPr>
                <w:rFonts w:ascii="Times New Roman" w:cs="Times New Roman" w:eastAsia="Times New Roman" w:hAnsi="Times New Roman"/>
                <w:sz w:val="15"/>
                <w:szCs w:val="15"/>
                <w:color w:val="auto"/>
              </w:rPr>
              <w:t>(3)</w:t>
            </w: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Currency devaluation loss in Venezuela </w:t>
            </w:r>
            <w:r>
              <w:rPr>
                <w:rFonts w:ascii="Times New Roman" w:cs="Times New Roman" w:eastAsia="Times New Roman" w:hAnsi="Times New Roman"/>
                <w:sz w:val="15"/>
                <w:szCs w:val="15"/>
                <w:color w:val="auto"/>
              </w:rPr>
              <w:t>(2)</w:t>
            </w:r>
          </w:p>
        </w:tc>
        <w:tc>
          <w:tcPr>
            <w:tcW w:w="1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0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380" w:hanging="374"/>
        <w:spacing w:after="0"/>
        <w:tabs>
          <w:tab w:leader="none" w:pos="380" w:val="left"/>
        </w:tabs>
        <w:numPr>
          <w:ilvl w:val="0"/>
          <w:numId w:val="1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 xml:space="preserve">Classified as </w:t>
      </w:r>
      <w:r>
        <w:rPr>
          <w:rFonts w:ascii="Times New Roman" w:cs="Times New Roman" w:eastAsia="Times New Roman" w:hAnsi="Times New Roman"/>
          <w:sz w:val="18"/>
          <w:szCs w:val="18"/>
          <w:i w:val="1"/>
          <w:iCs w:val="1"/>
          <w:color w:val="auto"/>
        </w:rPr>
        <w:t>Gain on formation of OneSubsea</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26"/>
          <w:szCs w:val="26"/>
          <w:color w:val="auto"/>
          <w:vertAlign w:val="superscript"/>
        </w:rPr>
      </w:pPr>
    </w:p>
    <w:p>
      <w:pPr>
        <w:ind w:left="380" w:hanging="374"/>
        <w:spacing w:after="0" w:line="192" w:lineRule="auto"/>
        <w:tabs>
          <w:tab w:leader="none" w:pos="38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Classified in </w:t>
      </w:r>
      <w:r>
        <w:rPr>
          <w:rFonts w:ascii="Times New Roman" w:cs="Times New Roman" w:eastAsia="Times New Roman" w:hAnsi="Times New Roman"/>
          <w:sz w:val="16"/>
          <w:szCs w:val="16"/>
          <w:i w:val="1"/>
          <w:iCs w:val="1"/>
          <w:color w:val="auto"/>
        </w:rPr>
        <w:t>Impairments &amp; other</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i w:val="1"/>
          <w:iCs w:val="1"/>
          <w:color w:val="auto"/>
        </w:rPr>
        <w:t>Consolidated Statement of Income</w:t>
      </w:r>
      <w:r>
        <w:rPr>
          <w:rFonts w:ascii="Times New Roman" w:cs="Times New Roman" w:eastAsia="Times New Roman" w:hAnsi="Times New Roman"/>
          <w:sz w:val="16"/>
          <w:szCs w:val="16"/>
          <w:color w:val="auto"/>
        </w:rPr>
        <w:t>.</w:t>
      </w:r>
    </w:p>
    <w:p>
      <w:pPr>
        <w:spacing w:after="0" w:line="107" w:lineRule="exact"/>
        <w:rPr>
          <w:rFonts w:ascii="Times New Roman" w:cs="Times New Roman" w:eastAsia="Times New Roman" w:hAnsi="Times New Roman"/>
          <w:sz w:val="23"/>
          <w:szCs w:val="23"/>
          <w:color w:val="auto"/>
          <w:vertAlign w:val="superscript"/>
        </w:rPr>
      </w:pPr>
    </w:p>
    <w:p>
      <w:pPr>
        <w:ind w:left="380" w:hanging="374"/>
        <w:spacing w:after="0" w:line="192" w:lineRule="auto"/>
        <w:tabs>
          <w:tab w:leader="none" w:pos="38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Classified in </w:t>
      </w:r>
      <w:r>
        <w:rPr>
          <w:rFonts w:ascii="Times New Roman" w:cs="Times New Roman" w:eastAsia="Times New Roman" w:hAnsi="Times New Roman"/>
          <w:sz w:val="16"/>
          <w:szCs w:val="16"/>
          <w:i w:val="1"/>
          <w:iCs w:val="1"/>
          <w:color w:val="auto"/>
        </w:rPr>
        <w:t>Cost of revenue</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i w:val="1"/>
          <w:iCs w:val="1"/>
          <w:color w:val="auto"/>
        </w:rPr>
        <w:t>Consolidated Statement of Income.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Debt</w:t>
      </w:r>
    </w:p>
    <w:p>
      <w:pPr>
        <w:spacing w:after="0" w:line="11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Details of changes in Net Debt follow:</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67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FF0FC"/>
            </w:tcBorders>
          </w:tcPr>
          <w:p>
            <w:pPr>
              <w:spacing w:after="0"/>
              <w:rPr>
                <w:sz w:val="24"/>
                <w:szCs w:val="24"/>
                <w:color w:val="auto"/>
              </w:rPr>
            </w:pPr>
          </w:p>
        </w:tc>
      </w:tr>
      <w:tr>
        <w:trPr>
          <w:trHeight w:val="21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continuing operations before concontrolling interests</w:t>
            </w: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Gain on formation of OneSubsea joint venture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(1,028)</w:t>
            </w: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Impairments and other charges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2,575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5"/>
                <w:szCs w:val="15"/>
                <w:color w:val="auto"/>
              </w:rPr>
              <w:t>(1)</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of equity method investments, less dividends received</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Pension and other postretirement benefits expense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Pension and other postretirement benefits funding</w:t>
            </w:r>
          </w:p>
        </w:tc>
        <w:tc>
          <w:tcPr>
            <w:tcW w:w="2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w:t>
            </w: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(Increase) decrease in working capital </w:t>
            </w:r>
            <w:r>
              <w:rPr>
                <w:rFonts w:ascii="Times New Roman" w:cs="Times New Roman" w:eastAsia="Times New Roman" w:hAnsi="Times New Roman"/>
                <w:sz w:val="15"/>
                <w:szCs w:val="15"/>
                <w:color w:val="auto"/>
              </w:rPr>
              <w:t>(2)</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r>
      <w:tr>
        <w:trPr>
          <w:trHeight w:val="219"/>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operations</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8,805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100" w:type="dxa"/>
            <w:vAlign w:val="bottom"/>
            <w:tcBorders>
              <w:top w:val="single" w:sz="8" w:color="CFF0FC"/>
            </w:tcBorders>
            <w:shd w:val="clear" w:color="auto" w:fill="CFF0FC"/>
          </w:tcPr>
          <w:p>
            <w:pPr>
              <w:spacing w:after="0"/>
              <w:rPr>
                <w:sz w:val="19"/>
                <w:szCs w:val="19"/>
                <w:color w:val="auto"/>
              </w:rPr>
            </w:pPr>
          </w:p>
        </w:tc>
      </w:tr>
      <w:tr>
        <w:trPr>
          <w:trHeight w:val="21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SPM investments</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(953)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(740)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(902)</w:t>
            </w: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Multiclient seismic data capitalized</w:t>
            </w:r>
          </w:p>
        </w:tc>
        <w:tc>
          <w:tcPr>
            <w:tcW w:w="2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r>
      <w:tr>
        <w:trPr>
          <w:trHeight w:val="219"/>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5"/>
                <w:szCs w:val="15"/>
                <w:b w:val="1"/>
                <w:bCs w:val="1"/>
                <w:color w:val="auto"/>
              </w:rPr>
              <w:t>(3)</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4,956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tcBorders>
              <w:top w:val="single" w:sz="8" w:color="CFF0FC"/>
            </w:tcBorders>
            <w:shd w:val="clear" w:color="auto" w:fill="CFF0FC"/>
          </w:tcPr>
          <w:p>
            <w:pPr>
              <w:spacing w:after="0"/>
              <w:rPr>
                <w:sz w:val="19"/>
                <w:szCs w:val="19"/>
                <w:color w:val="auto"/>
              </w:rPr>
            </w:pPr>
          </w:p>
        </w:tc>
      </w:tr>
      <w:tr>
        <w:trPr>
          <w:trHeight w:val="21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Stock repurchase program</w:t>
            </w:r>
          </w:p>
        </w:tc>
        <w:tc>
          <w:tcPr>
            <w:tcW w:w="2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(4,678)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(2,596)</w:t>
            </w:r>
          </w:p>
        </w:tc>
      </w:tr>
      <w:tr>
        <w:trPr>
          <w:trHeight w:val="219"/>
        </w:trPr>
        <w:tc>
          <w:tcPr>
            <w:tcW w:w="67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Borders>
              <w:top w:val="single" w:sz="8" w:color="CFF0FC"/>
            </w:tcBorders>
            <w:shd w:val="clear" w:color="auto" w:fill="CFF0FC"/>
          </w:tcPr>
          <w:p>
            <w:pPr>
              <w:spacing w:after="0"/>
              <w:rPr>
                <w:sz w:val="19"/>
                <w:szCs w:val="19"/>
                <w:color w:val="auto"/>
              </w:rPr>
            </w:pPr>
          </w:p>
        </w:tc>
      </w:tr>
      <w:tr>
        <w:trPr>
          <w:trHeight w:val="21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Business acquisitions and investments, net of cash acquired plus debt assumed</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for OneSubsea transaction</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Discontinued operations - settlement with U.S. Department of Justice </w:t>
            </w:r>
            <w:r>
              <w:rPr>
                <w:rFonts w:ascii="Times New Roman" w:cs="Times New Roman" w:eastAsia="Times New Roman" w:hAnsi="Times New Roman"/>
                <w:sz w:val="15"/>
                <w:szCs w:val="15"/>
                <w:color w:val="auto"/>
              </w:rPr>
              <w:t>(4)</w:t>
            </w:r>
          </w:p>
        </w:tc>
        <w:tc>
          <w:tcPr>
            <w:tcW w:w="2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19"/>
                <w:szCs w:val="19"/>
                <w:color w:val="auto"/>
              </w:rPr>
            </w:pPr>
          </w:p>
        </w:tc>
      </w:tr>
      <w:tr>
        <w:trPr>
          <w:trHeight w:val="21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Net Debt</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Debt, Beginning of period</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(5,387)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(4,443)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(5,111)</w:t>
            </w:r>
          </w:p>
        </w:tc>
      </w:tr>
      <w:tr>
        <w:trPr>
          <w:trHeight w:val="21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Net Debt, End of period</w:t>
            </w: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(5,547)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520" w:hanging="514"/>
        <w:spacing w:after="0"/>
        <w:tabs>
          <w:tab w:leader="none" w:pos="520" w:val="left"/>
        </w:tabs>
        <w:numPr>
          <w:ilvl w:val="0"/>
          <w:numId w:val="1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Includes depreciation of property, plant and equipment and amortization of intangible assets, multiclient seismic data costs and SPM investments.</w:t>
      </w:r>
    </w:p>
    <w:p>
      <w:pPr>
        <w:spacing w:after="0" w:line="40" w:lineRule="exact"/>
        <w:rPr>
          <w:rFonts w:ascii="Times New Roman" w:cs="Times New Roman" w:eastAsia="Times New Roman" w:hAnsi="Times New Roman"/>
          <w:sz w:val="26"/>
          <w:szCs w:val="26"/>
          <w:color w:val="auto"/>
          <w:vertAlign w:val="superscript"/>
        </w:rPr>
      </w:pPr>
    </w:p>
    <w:p>
      <w:pPr>
        <w:ind w:left="520" w:hanging="514"/>
        <w:spacing w:after="0" w:line="192" w:lineRule="auto"/>
        <w:tabs>
          <w:tab w:leader="none" w:pos="52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Includes severance payments of approximately $810 million during 2015.</w:t>
      </w:r>
    </w:p>
    <w:p>
      <w:pPr>
        <w:spacing w:after="0" w:line="107" w:lineRule="exact"/>
        <w:rPr>
          <w:rFonts w:ascii="Times New Roman" w:cs="Times New Roman" w:eastAsia="Times New Roman" w:hAnsi="Times New Roman"/>
          <w:sz w:val="23"/>
          <w:szCs w:val="23"/>
          <w:color w:val="auto"/>
          <w:vertAlign w:val="superscript"/>
        </w:rPr>
      </w:pPr>
    </w:p>
    <w:p>
      <w:pPr>
        <w:jc w:val="both"/>
        <w:ind w:left="520" w:hanging="514"/>
        <w:spacing w:after="0" w:line="214" w:lineRule="auto"/>
        <w:tabs>
          <w:tab w:leader="none" w:pos="520" w:val="left"/>
        </w:tabs>
        <w:numPr>
          <w:ilvl w:val="0"/>
          <w:numId w:val="1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“Free cash flow” represents cash flow from operations less capital expenditures, SPM investments and multiclient seismic data capitalized. Management believes that this is an important measure because it represents funds available to reduce debt and pursue opportunities that enhance shareholder value such as acquisitions and returning cash to shareholders through stock repurchases and dividends.</w:t>
      </w:r>
    </w:p>
    <w:p>
      <w:pPr>
        <w:spacing w:after="0" w:line="21" w:lineRule="exact"/>
        <w:rPr>
          <w:rFonts w:ascii="Times New Roman" w:cs="Times New Roman" w:eastAsia="Times New Roman" w:hAnsi="Times New Roman"/>
          <w:sz w:val="26"/>
          <w:szCs w:val="26"/>
          <w:color w:val="auto"/>
          <w:vertAlign w:val="superscript"/>
        </w:rPr>
      </w:pPr>
    </w:p>
    <w:p>
      <w:pPr>
        <w:ind w:left="480" w:hanging="474"/>
        <w:spacing w:after="0"/>
        <w:tabs>
          <w:tab w:leader="none" w:pos="480" w:val="left"/>
        </w:tabs>
        <w:numPr>
          <w:ilvl w:val="0"/>
          <w:numId w:val="1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 xml:space="preserve">Refer to Note 20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for details.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11"/>
        </w:trPr>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Dec.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Dec. 31,</w:t>
            </w:r>
          </w:p>
        </w:tc>
      </w:tr>
      <w:tr>
        <w:trPr>
          <w:trHeight w:val="233"/>
        </w:trPr>
        <w:tc>
          <w:tcPr>
            <w:tcW w:w="6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Components of Net Debt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FF0FC"/>
            </w:tcBorders>
          </w:tcPr>
          <w:p>
            <w:pPr>
              <w:spacing w:after="0"/>
              <w:rPr>
                <w:sz w:val="20"/>
                <w:szCs w:val="20"/>
                <w:color w:val="auto"/>
              </w:rPr>
            </w:pPr>
          </w:p>
        </w:tc>
      </w:tr>
      <w:tr>
        <w:trPr>
          <w:trHeight w:val="21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2,793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income investments, held to maturity</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 current portion</w:t>
            </w: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(1,819)</w:t>
            </w: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(964)</w:t>
            </w: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(14,442)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(10,393)</w:t>
            </w:r>
          </w:p>
        </w:tc>
      </w:tr>
      <w:tr>
        <w:trPr>
          <w:trHeight w:val="219"/>
        </w:trPr>
        <w:tc>
          <w:tcPr>
            <w:tcW w:w="67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(5,547)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liquidity events during 2015, 2014 and 2013 included:</w:t>
      </w:r>
    </w:p>
    <w:p>
      <w:pPr>
        <w:spacing w:after="0" w:line="112" w:lineRule="exact"/>
        <w:rPr>
          <w:sz w:val="20"/>
          <w:szCs w:val="20"/>
          <w:color w:val="auto"/>
        </w:rPr>
      </w:pPr>
    </w:p>
    <w:p>
      <w:pPr>
        <w:jc w:val="both"/>
        <w:ind w:left="760" w:hanging="382"/>
        <w:spacing w:after="0" w:line="26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26, 2015, Schlumberger and Cameron jointly announced that they had entered into a definitive merger agreement in which Cameron will merge with Schlumberger Holdings Corporation, an indirect wholly-owned United States subsidiary of Schlumberger. Under the terms of the agreement, Cameron shareholders will receive 0.716 shares of Schlumberger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4" w:name="page25"/>
    <w:bookmarkEnd w:id="24"/>
    <w:p>
      <w:pPr>
        <w:jc w:val="both"/>
        <w:ind w:left="382"/>
        <w:spacing w:after="0" w:line="253" w:lineRule="auto"/>
        <w:rPr>
          <w:sz w:val="20"/>
          <w:szCs w:val="20"/>
          <w:color w:val="auto"/>
        </w:rPr>
      </w:pPr>
      <w:r>
        <w:rPr>
          <w:rFonts w:ascii="Times New Roman" w:cs="Times New Roman" w:eastAsia="Times New Roman" w:hAnsi="Times New Roman"/>
          <w:sz w:val="18"/>
          <w:szCs w:val="18"/>
          <w:color w:val="auto"/>
        </w:rPr>
        <w:t>Limited common stock and a cash payment of $14.44 in exchange for each Cameron share of common stock outstanding. In connection with this transaction, Schlumberger Holdings Corporation will acquire approximately 137 million shares of common stock from Schlumberger Limited and transfer these shares to Cameron’s shareholders. Additionally, Schlumberger Holdings Corporation will pay cash of approximately $2.8 billion in connection with this transaction. The transaction remains subject to certain regulatory approvals and other customary closing conditions. It is anticipated that the closing of this transaction will occur in the first quarter of 2016.</w:t>
      </w:r>
    </w:p>
    <w:p>
      <w:pPr>
        <w:spacing w:after="0" w:line="185" w:lineRule="exact"/>
        <w:rPr>
          <w:sz w:val="20"/>
          <w:szCs w:val="20"/>
          <w:color w:val="auto"/>
        </w:rPr>
      </w:pPr>
    </w:p>
    <w:p>
      <w:pPr>
        <w:jc w:val="both"/>
        <w:ind w:left="382"/>
        <w:spacing w:after="0" w:line="275" w:lineRule="auto"/>
        <w:rPr>
          <w:sz w:val="20"/>
          <w:szCs w:val="20"/>
          <w:color w:val="auto"/>
        </w:rPr>
      </w:pPr>
      <w:r>
        <w:rPr>
          <w:rFonts w:ascii="Times New Roman" w:cs="Times New Roman" w:eastAsia="Times New Roman" w:hAnsi="Times New Roman"/>
          <w:sz w:val="18"/>
          <w:szCs w:val="18"/>
          <w:color w:val="auto"/>
        </w:rPr>
        <w:t>In order to partially fund the purchase of the 137 million shares of common stock from Schlumberger Limited that will be transferred to Cameron stockholders, Schlumberger Holdings Corporation issued the following notes during the fourth quarter of 2015:</w:t>
      </w:r>
    </w:p>
    <w:p>
      <w:pPr>
        <w:spacing w:after="0" w:line="57" w:lineRule="exact"/>
        <w:rPr>
          <w:sz w:val="20"/>
          <w:szCs w:val="20"/>
          <w:color w:val="auto"/>
        </w:rPr>
      </w:pPr>
    </w:p>
    <w:p>
      <w:pPr>
        <w:ind w:left="1122" w:hanging="364"/>
        <w:spacing w:after="0"/>
        <w:tabs>
          <w:tab w:leader="none" w:pos="11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1.90% Senior Notes due 2017;</w:t>
      </w:r>
    </w:p>
    <w:p>
      <w:pPr>
        <w:spacing w:after="0" w:line="24" w:lineRule="exact"/>
        <w:rPr>
          <w:rFonts w:ascii="Times New Roman" w:cs="Times New Roman" w:eastAsia="Times New Roman" w:hAnsi="Times New Roman"/>
          <w:sz w:val="18"/>
          <w:szCs w:val="18"/>
          <w:color w:val="auto"/>
        </w:rPr>
      </w:pPr>
    </w:p>
    <w:p>
      <w:pPr>
        <w:ind w:left="1122" w:hanging="364"/>
        <w:spacing w:after="0"/>
        <w:tabs>
          <w:tab w:leader="none" w:pos="11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billion of 2.35% Senior Notes due 2018;</w:t>
      </w:r>
    </w:p>
    <w:p>
      <w:pPr>
        <w:spacing w:after="0" w:line="5" w:lineRule="exact"/>
        <w:rPr>
          <w:rFonts w:ascii="Times New Roman" w:cs="Times New Roman" w:eastAsia="Times New Roman" w:hAnsi="Times New Roman"/>
          <w:sz w:val="18"/>
          <w:szCs w:val="18"/>
          <w:color w:val="auto"/>
        </w:rPr>
      </w:pPr>
    </w:p>
    <w:p>
      <w:pPr>
        <w:ind w:left="1122" w:hanging="364"/>
        <w:spacing w:after="0"/>
        <w:tabs>
          <w:tab w:leader="none" w:pos="11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billion of 3.00% Senior Notes due 2020;</w:t>
      </w:r>
    </w:p>
    <w:p>
      <w:pPr>
        <w:spacing w:after="0" w:line="5" w:lineRule="exact"/>
        <w:rPr>
          <w:rFonts w:ascii="Times New Roman" w:cs="Times New Roman" w:eastAsia="Times New Roman" w:hAnsi="Times New Roman"/>
          <w:sz w:val="18"/>
          <w:szCs w:val="18"/>
          <w:color w:val="auto"/>
        </w:rPr>
      </w:pPr>
    </w:p>
    <w:p>
      <w:pPr>
        <w:ind w:left="1122" w:hanging="364"/>
        <w:spacing w:after="0"/>
        <w:tabs>
          <w:tab w:leader="none" w:pos="11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 million of 3.63% Senior Notes due 2022; and</w:t>
      </w:r>
    </w:p>
    <w:p>
      <w:pPr>
        <w:spacing w:after="0" w:line="5" w:lineRule="exact"/>
        <w:rPr>
          <w:rFonts w:ascii="Times New Roman" w:cs="Times New Roman" w:eastAsia="Times New Roman" w:hAnsi="Times New Roman"/>
          <w:sz w:val="18"/>
          <w:szCs w:val="18"/>
          <w:color w:val="auto"/>
        </w:rPr>
      </w:pPr>
    </w:p>
    <w:p>
      <w:pPr>
        <w:ind w:left="1122" w:hanging="364"/>
        <w:spacing w:after="0"/>
        <w:tabs>
          <w:tab w:leader="none" w:pos="11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billion of 4.00% Senior Notes due 2025.</w:t>
      </w:r>
    </w:p>
    <w:p>
      <w:pPr>
        <w:spacing w:after="0" w:line="345" w:lineRule="exact"/>
        <w:rPr>
          <w:sz w:val="20"/>
          <w:szCs w:val="20"/>
          <w:color w:val="auto"/>
        </w:rPr>
      </w:pPr>
    </w:p>
    <w:p>
      <w:pPr>
        <w:ind w:left="382"/>
        <w:spacing w:after="0" w:line="275" w:lineRule="auto"/>
        <w:rPr>
          <w:sz w:val="20"/>
          <w:szCs w:val="20"/>
          <w:color w:val="auto"/>
        </w:rPr>
      </w:pPr>
      <w:r>
        <w:rPr>
          <w:rFonts w:ascii="Times New Roman" w:cs="Times New Roman" w:eastAsia="Times New Roman" w:hAnsi="Times New Roman"/>
          <w:sz w:val="18"/>
          <w:szCs w:val="18"/>
          <w:color w:val="auto"/>
        </w:rPr>
        <w:t>Schlumberger Holdings Corporation expects to use a combination of cash on hand and commercial paper borrowings to finance the difference between the proceeds received from the issuance of these notes and the cash required to complete the Cameron merger.</w:t>
      </w:r>
    </w:p>
    <w:p>
      <w:pPr>
        <w:spacing w:after="0" w:line="57" w:lineRule="exact"/>
        <w:rPr>
          <w:sz w:val="20"/>
          <w:szCs w:val="20"/>
          <w:color w:val="auto"/>
        </w:rPr>
      </w:pPr>
    </w:p>
    <w:p>
      <w:pPr>
        <w:ind w:left="382" w:hanging="382"/>
        <w:spacing w:after="0"/>
        <w:tabs>
          <w:tab w:leader="none" w:pos="3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2013, Schlumberger issued $1.5 billion of 3.65% Senior Notes due 2023.</w:t>
      </w:r>
    </w:p>
    <w:p>
      <w:pPr>
        <w:spacing w:after="0" w:line="111" w:lineRule="exact"/>
        <w:rPr>
          <w:rFonts w:ascii="Times New Roman" w:cs="Times New Roman" w:eastAsia="Times New Roman" w:hAnsi="Times New Roman"/>
          <w:sz w:val="18"/>
          <w:szCs w:val="18"/>
          <w:color w:val="auto"/>
        </w:rPr>
      </w:pPr>
    </w:p>
    <w:p>
      <w:pPr>
        <w:ind w:left="382" w:hanging="382"/>
        <w:spacing w:after="0"/>
        <w:tabs>
          <w:tab w:leader="none" w:pos="3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2013, Schlumberger issued €0.5 billion of 1.50% Guaranteed Notes due 2019.</w:t>
      </w:r>
    </w:p>
    <w:p>
      <w:pPr>
        <w:spacing w:after="0" w:line="111" w:lineRule="exact"/>
        <w:rPr>
          <w:rFonts w:ascii="Times New Roman" w:cs="Times New Roman" w:eastAsia="Times New Roman" w:hAnsi="Times New Roman"/>
          <w:sz w:val="18"/>
          <w:szCs w:val="18"/>
          <w:color w:val="auto"/>
        </w:rPr>
      </w:pPr>
    </w:p>
    <w:p>
      <w:pPr>
        <w:ind w:left="382" w:hanging="382"/>
        <w:spacing w:after="0"/>
        <w:tabs>
          <w:tab w:leader="none" w:pos="3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2013, Schlumberger paid Cameron $600 million in connection with the formation of the OneSubsea joint venture.</w:t>
      </w:r>
    </w:p>
    <w:p>
      <w:pPr>
        <w:spacing w:after="0" w:line="111" w:lineRule="exact"/>
        <w:rPr>
          <w:rFonts w:ascii="Times New Roman" w:cs="Times New Roman" w:eastAsia="Times New Roman" w:hAnsi="Times New Roman"/>
          <w:sz w:val="18"/>
          <w:szCs w:val="18"/>
          <w:color w:val="auto"/>
        </w:rPr>
      </w:pPr>
    </w:p>
    <w:p>
      <w:pPr>
        <w:jc w:val="both"/>
        <w:ind w:left="382" w:hanging="382"/>
        <w:spacing w:after="0" w:line="260" w:lineRule="auto"/>
        <w:tabs>
          <w:tab w:leader="none" w:pos="3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17, 2008, the Schlumberger Board of Directors (the “Board”) approved an $8 billion share repurchase program for shares of Schlumberger common stock, to be acquired before December 31, 2011. On July 21, 2011, the Board approved an extension of this repurchase program to December 31, 2013. This program was completed during the third quarter of 2013.</w:t>
      </w:r>
    </w:p>
    <w:p>
      <w:pPr>
        <w:spacing w:after="0" w:line="71" w:lineRule="exact"/>
        <w:rPr>
          <w:rFonts w:ascii="Times New Roman" w:cs="Times New Roman" w:eastAsia="Times New Roman" w:hAnsi="Times New Roman"/>
          <w:sz w:val="18"/>
          <w:szCs w:val="18"/>
          <w:color w:val="auto"/>
        </w:rPr>
      </w:pPr>
    </w:p>
    <w:p>
      <w:pPr>
        <w:ind w:left="382"/>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18, 2013, the Board approved a new $10 billion share repurchase program to be completed at the latest by June 30, 2018. Schlumberger had repurchased $8.6 billion of shares under this new share repurchase program as of December 31, 2015.</w:t>
      </w:r>
    </w:p>
    <w:p>
      <w:pPr>
        <w:spacing w:after="0" w:line="57" w:lineRule="exact"/>
        <w:rPr>
          <w:rFonts w:ascii="Times New Roman" w:cs="Times New Roman" w:eastAsia="Times New Roman" w:hAnsi="Times New Roman"/>
          <w:sz w:val="18"/>
          <w:szCs w:val="18"/>
          <w:color w:val="auto"/>
        </w:rPr>
      </w:pPr>
    </w:p>
    <w:p>
      <w:pPr>
        <w:ind w:left="3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activity under these share repurchase programs during 2015, 2014 and 2013:</w:t>
      </w:r>
    </w:p>
    <w:p>
      <w:pPr>
        <w:spacing w:after="0" w:line="305" w:lineRule="exact"/>
        <w:rPr>
          <w:sz w:val="20"/>
          <w:szCs w:val="20"/>
          <w:color w:val="auto"/>
        </w:rPr>
      </w:pPr>
    </w:p>
    <w:tbl>
      <w:tblPr>
        <w:tblLayout w:type="fixed"/>
        <w:tblInd w:w="382"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0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(Stated in thousands, except per share amounts)</w:t>
            </w:r>
          </w:p>
        </w:tc>
      </w:tr>
      <w:tr>
        <w:trPr>
          <w:trHeight w:val="431"/>
        </w:trPr>
        <w:tc>
          <w:tcPr>
            <w:tcW w:w="5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center"/>
              <w:ind w:right="116"/>
              <w:spacing w:after="0"/>
              <w:rPr>
                <w:sz w:val="20"/>
                <w:szCs w:val="20"/>
                <w:color w:val="auto"/>
              </w:rPr>
            </w:pPr>
            <w:r>
              <w:rPr>
                <w:rFonts w:ascii="Times New Roman" w:cs="Times New Roman" w:eastAsia="Times New Roman" w:hAnsi="Times New Roman"/>
                <w:sz w:val="16"/>
                <w:szCs w:val="16"/>
                <w:color w:val="auto"/>
                <w:w w:val="97"/>
              </w:rPr>
              <w:t>Total cost</w:t>
            </w:r>
          </w:p>
        </w:tc>
        <w:tc>
          <w:tcPr>
            <w:tcW w:w="22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6"/>
              </w:rPr>
              <w:t>Total number</w:t>
            </w:r>
          </w:p>
        </w:tc>
        <w:tc>
          <w:tcPr>
            <w:tcW w:w="12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Average price</w:t>
            </w:r>
          </w:p>
        </w:tc>
      </w:tr>
      <w:tr>
        <w:trPr>
          <w:trHeight w:val="213"/>
        </w:trPr>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96"/>
              <w:spacing w:after="0"/>
              <w:rPr>
                <w:sz w:val="20"/>
                <w:szCs w:val="20"/>
                <w:color w:val="auto"/>
              </w:rPr>
            </w:pPr>
            <w:r>
              <w:rPr>
                <w:rFonts w:ascii="Times New Roman" w:cs="Times New Roman" w:eastAsia="Times New Roman" w:hAnsi="Times New Roman"/>
                <w:sz w:val="16"/>
                <w:szCs w:val="16"/>
                <w:color w:val="auto"/>
                <w:w w:val="97"/>
              </w:rPr>
              <w:t>of shares</w:t>
            </w:r>
          </w:p>
        </w:tc>
        <w:tc>
          <w:tcPr>
            <w:tcW w:w="2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7"/>
              </w:rPr>
              <w:t>of shares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paid per</w:t>
            </w:r>
          </w:p>
        </w:tc>
      </w:tr>
      <w:tr>
        <w:trPr>
          <w:trHeight w:val="215"/>
        </w:trPr>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96"/>
              <w:spacing w:after="0"/>
              <w:rPr>
                <w:sz w:val="20"/>
                <w:szCs w:val="20"/>
                <w:color w:val="auto"/>
              </w:rPr>
            </w:pPr>
            <w:r>
              <w:rPr>
                <w:rFonts w:ascii="Times New Roman" w:cs="Times New Roman" w:eastAsia="Times New Roman" w:hAnsi="Times New Roman"/>
                <w:sz w:val="16"/>
                <w:szCs w:val="16"/>
                <w:color w:val="auto"/>
                <w:w w:val="98"/>
              </w:rPr>
              <w:t>purchased</w:t>
            </w:r>
          </w:p>
        </w:tc>
        <w:tc>
          <w:tcPr>
            <w:tcW w:w="2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purchased</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share</w:t>
            </w:r>
          </w:p>
        </w:tc>
      </w:tr>
      <w:tr>
        <w:trPr>
          <w:trHeight w:val="222"/>
        </w:trPr>
        <w:tc>
          <w:tcPr>
            <w:tcW w:w="5780" w:type="dxa"/>
            <w:vAlign w:val="bottom"/>
            <w:tcBorders>
              <w:top w:val="single" w:sz="8" w:color="CFF0FC"/>
            </w:tcBorders>
            <w:shd w:val="clear" w:color="auto" w:fill="CFF0FC"/>
          </w:tcPr>
          <w:p>
            <w:pPr>
              <w:jc w:val="right"/>
              <w:ind w:right="5331"/>
              <w:spacing w:after="0"/>
              <w:rPr>
                <w:sz w:val="20"/>
                <w:szCs w:val="20"/>
                <w:color w:val="auto"/>
              </w:rPr>
            </w:pPr>
            <w:r>
              <w:rPr>
                <w:rFonts w:ascii="Times New Roman" w:cs="Times New Roman" w:eastAsia="Times New Roman" w:hAnsi="Times New Roman"/>
                <w:sz w:val="18"/>
                <w:szCs w:val="18"/>
                <w:b w:val="1"/>
                <w:bCs w:val="1"/>
                <w:color w:val="auto"/>
                <w:w w:val="94"/>
              </w:rPr>
              <w:t>2015</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2,182,180</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26,751.0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81.57</w:t>
            </w:r>
          </w:p>
        </w:tc>
        <w:tc>
          <w:tcPr>
            <w:tcW w:w="80" w:type="dxa"/>
            <w:vAlign w:val="bottom"/>
            <w:tcBorders>
              <w:top w:val="single" w:sz="8" w:color="CFF0FC"/>
            </w:tcBorders>
            <w:shd w:val="clear" w:color="auto" w:fill="CFF0FC"/>
          </w:tcPr>
          <w:p>
            <w:pPr>
              <w:spacing w:after="0"/>
              <w:rPr>
                <w:sz w:val="19"/>
                <w:szCs w:val="19"/>
                <w:color w:val="auto"/>
              </w:rPr>
            </w:pPr>
          </w:p>
        </w:tc>
      </w:tr>
      <w:tr>
        <w:trPr>
          <w:trHeight w:val="239"/>
        </w:trPr>
        <w:tc>
          <w:tcPr>
            <w:tcW w:w="5780" w:type="dxa"/>
            <w:vAlign w:val="bottom"/>
          </w:tcPr>
          <w:p>
            <w:pPr>
              <w:jc w:val="right"/>
              <w:ind w:right="5331"/>
              <w:spacing w:after="0"/>
              <w:rPr>
                <w:sz w:val="20"/>
                <w:szCs w:val="20"/>
                <w:color w:val="auto"/>
              </w:rPr>
            </w:pPr>
            <w:r>
              <w:rPr>
                <w:rFonts w:ascii="Times New Roman" w:cs="Times New Roman" w:eastAsia="Times New Roman" w:hAnsi="Times New Roman"/>
                <w:sz w:val="18"/>
                <w:szCs w:val="18"/>
                <w:color w:val="auto"/>
                <w:w w:val="94"/>
              </w:rPr>
              <w:t>2014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4,677,687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47,545.9</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80" w:type="dxa"/>
            <w:vAlign w:val="bottom"/>
          </w:tcPr>
          <w:p>
            <w:pPr>
              <w:spacing w:after="0"/>
              <w:rPr>
                <w:sz w:val="20"/>
                <w:szCs w:val="20"/>
                <w:color w:val="auto"/>
              </w:rPr>
            </w:pPr>
          </w:p>
        </w:tc>
      </w:tr>
      <w:tr>
        <w:trPr>
          <w:trHeight w:val="266"/>
        </w:trPr>
        <w:tc>
          <w:tcPr>
            <w:tcW w:w="5780" w:type="dxa"/>
            <w:vAlign w:val="bottom"/>
            <w:shd w:val="clear" w:color="auto" w:fill="CFF0FC"/>
          </w:tcPr>
          <w:p>
            <w:pPr>
              <w:jc w:val="right"/>
              <w:ind w:right="5331"/>
              <w:spacing w:after="0"/>
              <w:rPr>
                <w:sz w:val="20"/>
                <w:szCs w:val="20"/>
                <w:color w:val="auto"/>
              </w:rPr>
            </w:pPr>
            <w:r>
              <w:rPr>
                <w:rFonts w:ascii="Times New Roman" w:cs="Times New Roman" w:eastAsia="Times New Roman" w:hAnsi="Times New Roman"/>
                <w:sz w:val="18"/>
                <w:szCs w:val="18"/>
                <w:color w:val="auto"/>
                <w:w w:val="94"/>
              </w:rPr>
              <w:t>2013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2,596,447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31,349.5</w:t>
            </w:r>
          </w:p>
        </w:tc>
        <w:tc>
          <w:tcPr>
            <w:tcW w:w="24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80" w:type="dxa"/>
            <w:vAlign w:val="bottom"/>
            <w:shd w:val="clear" w:color="auto" w:fill="CFF0FC"/>
          </w:tcPr>
          <w:p>
            <w:pPr>
              <w:spacing w:after="0"/>
              <w:rPr>
                <w:sz w:val="23"/>
                <w:szCs w:val="23"/>
                <w:color w:val="auto"/>
              </w:rPr>
            </w:pPr>
          </w:p>
        </w:tc>
      </w:tr>
    </w:tbl>
    <w:p>
      <w:pPr>
        <w:spacing w:after="0" w:line="208" w:lineRule="exact"/>
        <w:rPr>
          <w:sz w:val="20"/>
          <w:szCs w:val="20"/>
          <w:color w:val="auto"/>
        </w:rPr>
      </w:pPr>
    </w:p>
    <w:p>
      <w:pPr>
        <w:ind w:left="382"/>
        <w:spacing w:after="0" w:line="275" w:lineRule="auto"/>
        <w:rPr>
          <w:sz w:val="20"/>
          <w:szCs w:val="20"/>
          <w:color w:val="auto"/>
        </w:rPr>
      </w:pPr>
      <w:r>
        <w:rPr>
          <w:rFonts w:ascii="Times New Roman" w:cs="Times New Roman" w:eastAsia="Times New Roman" w:hAnsi="Times New Roman"/>
          <w:sz w:val="18"/>
          <w:szCs w:val="18"/>
          <w:color w:val="auto"/>
        </w:rPr>
        <w:t>On January 21, 2016, the Board approved a new $10 billion share repurchase program for Schlumberger common stock. This new program will take effect once the remaining $1.4 billion authorized to be repurchased under the July 18, 2013 program is exhausted.</w:t>
      </w:r>
    </w:p>
    <w:p>
      <w:pPr>
        <w:spacing w:after="0" w:line="57" w:lineRule="exact"/>
        <w:rPr>
          <w:sz w:val="20"/>
          <w:szCs w:val="20"/>
          <w:color w:val="auto"/>
        </w:rPr>
      </w:pPr>
    </w:p>
    <w:p>
      <w:pPr>
        <w:jc w:val="both"/>
        <w:ind w:left="382" w:hanging="382"/>
        <w:spacing w:after="0" w:line="256" w:lineRule="auto"/>
        <w:tabs>
          <w:tab w:leader="none" w:pos="38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$8.8 billion in 2015, $11.2 billion in 2014 and $10.7 billion in 2013. The decrease in operating cash flows in 2015 as compared to 2014 was largely attributable to lower earnings before non-cash charges and credits and depreciation and amortization expense while the increase in operating cash flows in 2014 as compared to 2013 was largely attributable to higher earnings before non-cash charges and credits and depreciation and amortization expense.</w:t>
      </w:r>
    </w:p>
    <w:p>
      <w:pPr>
        <w:spacing w:after="0" w:line="73" w:lineRule="exact"/>
        <w:rPr>
          <w:rFonts w:ascii="Times New Roman" w:cs="Times New Roman" w:eastAsia="Times New Roman" w:hAnsi="Times New Roman"/>
          <w:sz w:val="18"/>
          <w:szCs w:val="18"/>
          <w:color w:val="auto"/>
        </w:rPr>
      </w:pPr>
    </w:p>
    <w:p>
      <w:pPr>
        <w:ind w:left="382" w:hanging="382"/>
        <w:spacing w:after="0"/>
        <w:tabs>
          <w:tab w:leader="none" w:pos="38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during 2015, 2014 and 2013 were $2.4 billion, $2.0 billion and $1.6 billion, respectively.</w:t>
      </w:r>
    </w:p>
    <w:p>
      <w:pPr>
        <w:spacing w:after="0" w:line="111" w:lineRule="exact"/>
        <w:rPr>
          <w:rFonts w:ascii="Times New Roman" w:cs="Times New Roman" w:eastAsia="Times New Roman" w:hAnsi="Times New Roman"/>
          <w:sz w:val="18"/>
          <w:szCs w:val="18"/>
          <w:color w:val="auto"/>
        </w:rPr>
      </w:pPr>
    </w:p>
    <w:p>
      <w:pPr>
        <w:jc w:val="both"/>
        <w:ind w:left="382" w:right="1960"/>
        <w:spacing w:after="0" w:line="4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On January 15, 2015, Schlumberger announced that its Board approved a 25% increase in the quarterly dividend, to $0.50. On January 16, 2014, Schlumberger announced that its Board approved a 28% increase in the quarterly dividend, to $0.40.</w:t>
      </w:r>
    </w:p>
    <w:p>
      <w:pPr>
        <w:spacing w:after="0" w:line="34" w:lineRule="exact"/>
        <w:rPr>
          <w:sz w:val="20"/>
          <w:szCs w:val="20"/>
          <w:color w:val="auto"/>
        </w:rPr>
      </w:pPr>
    </w:p>
    <w:p>
      <w:pPr>
        <w:jc w:val="center"/>
        <w:ind w:right="378"/>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78740</wp:posOffset>
            </wp:positionV>
            <wp:extent cx="729107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042"/>
          </w:cols>
          <w:pgMar w:left="618" w:top="121" w:right="239" w:bottom="1440" w:gutter="0" w:footer="0" w:header="0"/>
        </w:sectPr>
      </w:pPr>
    </w:p>
    <w:bookmarkStart w:id="25" w:name="page26"/>
    <w:bookmarkEnd w:id="25"/>
    <w:p>
      <w:pPr>
        <w:ind w:left="760" w:hanging="382"/>
        <w:spacing w:after="0" w:line="275"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$2.4 billion in 2015, $4.0 billion in 2014 and $3.9 billion in 2013. Capital expenditures are expected to be approximately $2.4 billion in 2016.</w:t>
      </w:r>
    </w:p>
    <w:p>
      <w:pPr>
        <w:spacing w:after="0" w:line="57" w:lineRule="exact"/>
        <w:rPr>
          <w:rFonts w:ascii="Times New Roman" w:cs="Times New Roman" w:eastAsia="Times New Roman" w:hAnsi="Times New Roman"/>
          <w:sz w:val="18"/>
          <w:szCs w:val="18"/>
          <w:color w:val="auto"/>
        </w:rPr>
      </w:pPr>
    </w:p>
    <w:p>
      <w:pPr>
        <w:ind w:left="760" w:right="20" w:hanging="382"/>
        <w:spacing w:after="0" w:line="275"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2015, Schlumberger made a $500 million cash investment into a new SPM project. Schlumberger is obligated to make a further $500 million cash investment into this project during the first quarter of 2016.</w:t>
      </w:r>
    </w:p>
    <w:p>
      <w:pPr>
        <w:spacing w:after="0" w:line="57" w:lineRule="exact"/>
        <w:rPr>
          <w:sz w:val="20"/>
          <w:szCs w:val="20"/>
          <w:color w:val="auto"/>
        </w:rPr>
      </w:pPr>
    </w:p>
    <w:p>
      <w:pPr>
        <w:ind w:left="760" w:hanging="382"/>
        <w:spacing w:after="0" w:line="275"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2015, 2014 and 2013 Schlumberger made contributions of $346 million, $390 million and $538 million, respectively, to its postretirement benefit plans. The US pension plans were 86% funded at both December 31, 2015 and 2014 based on the projected benefit obligation.</w:t>
      </w:r>
    </w:p>
    <w:p>
      <w:pPr>
        <w:spacing w:after="0" w:line="57" w:lineRule="exact"/>
        <w:rPr>
          <w:rFonts w:ascii="Times New Roman" w:cs="Times New Roman" w:eastAsia="Times New Roman" w:hAnsi="Times New Roman"/>
          <w:sz w:val="18"/>
          <w:szCs w:val="18"/>
          <w:color w:val="auto"/>
        </w:rPr>
      </w:pPr>
    </w:p>
    <w:p>
      <w:pPr>
        <w:ind w:left="7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Schlumberger’s international defined benefit pension plans were a combined 93% funded at December 31, 2015 based on the projected benefit obligation. This compares to 94% funded at December 31, 2014.</w:t>
      </w:r>
    </w:p>
    <w:p>
      <w:pPr>
        <w:spacing w:after="0" w:line="57" w:lineRule="exact"/>
        <w:rPr>
          <w:rFonts w:ascii="Times New Roman" w:cs="Times New Roman" w:eastAsia="Times New Roman" w:hAnsi="Times New Roman"/>
          <w:sz w:val="18"/>
          <w:szCs w:val="18"/>
          <w:color w:val="auto"/>
        </w:rPr>
      </w:pPr>
    </w:p>
    <w:p>
      <w:pPr>
        <w:ind w:left="7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currently anticipates contributing approximately $350 million to its postretirement benefit plans in 2016, subject to market and business conditions.</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maintains a €5.0 billion Guaranteed Euro Medium Term Note program. This program provides for the issuance of various types of debt instruments such as fixed or floating rate notes in Euro, US dollar or other currencies. Schlumberger has issued €0.5 billion 1.50% Guaranteed Notes due 2019 under this program.</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2015, Schlumberger had $13.0 billion of cash and short-term investments on hand. Schlumberger had separate committed debt facility agreements aggregating $3.8 billion with commercial banks, of which $1.4 billion was available and unused as of December 31, 2015. The $3.8 billion of committed debt facility agreements included $3.5 billion of committed facilities, which support commercial paper programs. Schlumberger believes that these amounts are sufficient to meet future business requirements for at least the next 12 months.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outstanding commercial paper borrowings were $2.383 billion as of December 31, 2015 and $1.538 billion as of December 31, 2014.</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Contractual Obligations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5"/>
          </w:tcPr>
          <w:p>
            <w:pPr>
              <w:ind w:left="840"/>
              <w:spacing w:after="0"/>
              <w:rPr>
                <w:sz w:val="20"/>
                <w:szCs w:val="20"/>
                <w:color w:val="auto"/>
              </w:rPr>
            </w:pPr>
            <w:r>
              <w:rPr>
                <w:rFonts w:ascii="Times New Roman" w:cs="Times New Roman" w:eastAsia="Times New Roman" w:hAnsi="Times New Roman"/>
                <w:sz w:val="18"/>
                <w:szCs w:val="18"/>
                <w:i w:val="1"/>
                <w:iCs w:val="1"/>
                <w:color w:val="auto"/>
              </w:rPr>
              <w:t>(Stated in millions)</w:t>
            </w:r>
          </w:p>
        </w:tc>
      </w:tr>
      <w:tr>
        <w:trPr>
          <w:trHeight w:val="443"/>
        </w:trPr>
        <w:tc>
          <w:tcPr>
            <w:tcW w:w="4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8"/>
                <w:szCs w:val="18"/>
                <w:color w:val="auto"/>
              </w:rPr>
              <w:t>Accumulated</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9"/>
        </w:trPr>
        <w:tc>
          <w:tcPr>
            <w:tcW w:w="404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97"/>
              </w:rPr>
              <w:t>2017-2018</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97"/>
              </w:rPr>
              <w:t>2019-2020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99"/>
              </w:rPr>
              <w:t>After 2020</w:t>
            </w:r>
          </w:p>
        </w:tc>
        <w:tc>
          <w:tcPr>
            <w:tcW w:w="120" w:type="dxa"/>
            <w:vAlign w:val="bottom"/>
            <w:tcBorders>
              <w:bottom w:val="single" w:sz="8" w:color="CFF0FC"/>
            </w:tcBorders>
          </w:tcPr>
          <w:p>
            <w:pPr>
              <w:spacing w:after="0"/>
              <w:rPr>
                <w:sz w:val="19"/>
                <w:szCs w:val="19"/>
                <w:color w:val="auto"/>
              </w:rPr>
            </w:pPr>
          </w:p>
        </w:tc>
      </w:tr>
      <w:tr>
        <w:trPr>
          <w:trHeight w:val="21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Debt </w:t>
            </w:r>
            <w:r>
              <w:rPr>
                <w:rFonts w:ascii="Times New Roman" w:cs="Times New Roman" w:eastAsia="Times New Roman" w:hAnsi="Times New Roman"/>
                <w:sz w:val="15"/>
                <w:szCs w:val="15"/>
                <w:color w:val="auto"/>
              </w:rPr>
              <w:t>(1)</w:t>
            </w: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7,778</w:t>
            </w:r>
          </w:p>
        </w:tc>
        <w:tc>
          <w:tcPr>
            <w:tcW w:w="120" w:type="dxa"/>
            <w:vAlign w:val="bottom"/>
            <w:shd w:val="clear" w:color="auto" w:fill="CFF0FC"/>
          </w:tcPr>
          <w:p>
            <w:pPr>
              <w:spacing w:after="0"/>
              <w:rPr>
                <w:sz w:val="19"/>
                <w:szCs w:val="19"/>
                <w:color w:val="auto"/>
              </w:rPr>
            </w:pPr>
          </w:p>
        </w:tc>
      </w:tr>
      <w:tr>
        <w:trPr>
          <w:trHeight w:val="22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on fixed rate debt obligations </w:t>
            </w:r>
            <w:r>
              <w:rPr>
                <w:rFonts w:ascii="Times New Roman" w:cs="Times New Roman" w:eastAsia="Times New Roman" w:hAnsi="Times New Roman"/>
                <w:sz w:val="15"/>
                <w:szCs w:val="15"/>
                <w:color w:val="auto"/>
              </w:rPr>
              <w:t>(2)</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9"/>
                <w:szCs w:val="19"/>
                <w:color w:val="auto"/>
              </w:rPr>
            </w:pPr>
          </w:p>
        </w:tc>
      </w:tr>
      <w:tr>
        <w:trPr>
          <w:trHeight w:val="22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FF0FC"/>
          </w:tcPr>
          <w:p>
            <w:pPr>
              <w:spacing w:after="0"/>
              <w:rPr>
                <w:sz w:val="19"/>
                <w:szCs w:val="19"/>
                <w:color w:val="auto"/>
              </w:rPr>
            </w:pPr>
          </w:p>
        </w:tc>
      </w:tr>
      <w:tr>
        <w:trPr>
          <w:trHeight w:val="226"/>
        </w:trPr>
        <w:tc>
          <w:tcPr>
            <w:tcW w:w="4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Purchase obligations and other </w:t>
            </w:r>
            <w:r>
              <w:rPr>
                <w:rFonts w:ascii="Times New Roman" w:cs="Times New Roman" w:eastAsia="Times New Roman" w:hAnsi="Times New Roman"/>
                <w:sz w:val="15"/>
                <w:szCs w:val="15"/>
                <w:color w:val="auto"/>
              </w:rPr>
              <w:t>(3)</w:t>
            </w:r>
          </w:p>
        </w:tc>
        <w:tc>
          <w:tcPr>
            <w:tcW w:w="1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FF0FC"/>
            </w:tcBorders>
          </w:tcPr>
          <w:p>
            <w:pPr>
              <w:spacing w:after="0"/>
              <w:rPr>
                <w:sz w:val="19"/>
                <w:szCs w:val="19"/>
                <w:color w:val="auto"/>
              </w:rPr>
            </w:pPr>
          </w:p>
        </w:tc>
      </w:tr>
      <w:tr>
        <w:trPr>
          <w:trHeight w:val="219"/>
        </w:trPr>
        <w:tc>
          <w:tcPr>
            <w:tcW w:w="404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6,954</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7" w:lineRule="exact"/>
        <w:rPr>
          <w:sz w:val="20"/>
          <w:szCs w:val="20"/>
          <w:color w:val="auto"/>
        </w:rPr>
      </w:pPr>
    </w:p>
    <w:p>
      <w:pPr>
        <w:ind w:left="380" w:hanging="374"/>
        <w:spacing w:after="0"/>
        <w:tabs>
          <w:tab w:leader="none" w:pos="380" w:val="left"/>
        </w:tabs>
        <w:numPr>
          <w:ilvl w:val="0"/>
          <w:numId w:val="2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Excludes future payments for interest.</w:t>
      </w:r>
    </w:p>
    <w:p>
      <w:pPr>
        <w:spacing w:after="0" w:line="107" w:lineRule="exact"/>
        <w:rPr>
          <w:rFonts w:ascii="Times New Roman" w:cs="Times New Roman" w:eastAsia="Times New Roman" w:hAnsi="Times New Roman"/>
          <w:sz w:val="26"/>
          <w:szCs w:val="26"/>
          <w:color w:val="auto"/>
          <w:vertAlign w:val="superscript"/>
        </w:rPr>
      </w:pPr>
    </w:p>
    <w:p>
      <w:pPr>
        <w:ind w:left="380" w:hanging="374"/>
        <w:spacing w:after="0" w:line="192" w:lineRule="auto"/>
        <w:tabs>
          <w:tab w:leader="none" w:pos="38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Excludes interest on $4.7 billion of variable rate debt, which had a weighted average interest rate of 1.0% as of December 31, 2015.</w:t>
      </w:r>
    </w:p>
    <w:p>
      <w:pPr>
        <w:spacing w:after="0" w:line="107" w:lineRule="exact"/>
        <w:rPr>
          <w:rFonts w:ascii="Times New Roman" w:cs="Times New Roman" w:eastAsia="Times New Roman" w:hAnsi="Times New Roman"/>
          <w:sz w:val="23"/>
          <w:szCs w:val="23"/>
          <w:color w:val="auto"/>
          <w:vertAlign w:val="superscript"/>
        </w:rPr>
      </w:pPr>
    </w:p>
    <w:p>
      <w:pPr>
        <w:jc w:val="both"/>
        <w:ind w:left="380" w:hanging="374"/>
        <w:spacing w:after="0" w:line="221" w:lineRule="auto"/>
        <w:tabs>
          <w:tab w:leader="none" w:pos="380" w:val="left"/>
        </w:tabs>
        <w:numPr>
          <w:ilvl w:val="0"/>
          <w:numId w:val="2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Represents an estimate of contractual obligations in the ordinary course of business. Although these contractual obligations are considered enforceable and legally binding, the terms generally allow Schlumberger the option to reschedule and adjust its requirements based on business needs prior to the delivery of goods. This amount also reflects a $500 million cash investment into an SPM project that Schlumberger is obligated to make during the first quarter of 2016.</w:t>
      </w:r>
    </w:p>
    <w:p>
      <w:pPr>
        <w:spacing w:after="0" w:line="19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 xml:space="preserve">Refer to Note 18, </w:t>
      </w:r>
      <w:r>
        <w:rPr>
          <w:rFonts w:ascii="Times New Roman" w:cs="Times New Roman" w:eastAsia="Times New Roman" w:hAnsi="Times New Roman"/>
          <w:sz w:val="18"/>
          <w:szCs w:val="18"/>
          <w:i w:val="1"/>
          <w:iCs w:val="1"/>
          <w:color w:val="auto"/>
        </w:rPr>
        <w:t>Pension and Other Benefit Plans,</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for details regarding Schlumberger’s pension and other postretirement benefit obligations.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discussed in Note 14,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included in the Schlumberger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at December 31, 2015 is approximately $1.3 billion of liabilities associated with uncertain tax positions in the over 100 jurisdictions in which Schlumberger conducts business. Due to the uncertain and complex application of tax regulations, combined with the difficulty in predicting when tax audits throughout the world may be concluded, Schlumberger cannot make reliable estimates of the timing of cash outflows relating to these liabilities.</w:t>
      </w:r>
    </w:p>
    <w:p>
      <w:pPr>
        <w:spacing w:after="0" w:line="18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Schlumberger has outstanding letters of credit/guarantees that relate to business performance bonds, custom/excise tax commitments, facility lease/rental obligations, etc. These were entered into in the ordinary course of business and are customary practices in the various countries where Schlumberger operates.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accounting principles generally accepted in the United States requires Schlumberger to make estimates and assumptions that affect the reported amounts of assets and liabilities, the disclosure of contingent assets and liabilities and the reported amounts of revenue and expenses. The following accounting policies involve “critical accounting estimates” because they are particularly dependent on estimates and assumptions made by Schlumberger about matters that are inherently uncertain.</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Multiclient Seismic Data</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Schlumberger capitalizes the costs associated with obtaining multiclient seismic data. The carrying value of the multiclient seismic data library at December 31, 2015 and 2014 was $1.03 billion and $793 million, respectively. Such costs are charged to </w:t>
      </w: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xml:space="preserve"> based on the percentage of the total costs to the estimated total revenue that Schlumberger expects to receive from the sales of such data. However, under no circumstances will an individual survey carry a net book value greater than a 4-year, straight-line amortized value.</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carrying value of surveys is reviewed for impairment annually as well as when an event or change in circumstance indicates an impairment may have occurred. Adjustments to the carrying value are recorded when it is determined that estimated future revenues, which involve significant judgment on the part of Schlumberger, would not be sufficient to recover the carrying value of the surveys. Significant adverse changes in Schlumberger’s estimated future cash flows could result in impairment charges in a future period. For purposes of performing the annual impairment test of the multiclient library, larger surveys (which are typically prefunded by customers) are analyzed for impairment on a survey-by-survey basis and smaller surveys are analyzed based on two pools of surveys: United States and non-United States. The United States and non-United States pools were determined to be the most appropriate level at which to perform the impairment review based upon a number of factors, including (i) various macroeconomic factors that influence the ability to successfully market surveys, and (ii) the focus of the sales force and related costs.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Schlumberger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Depending on how such potential issues are resolved, or if the financial condition of Schlumberger customers were to deteriorate resulting in an impairment of their ability to make payments, adjustments to the allowance may be required.</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Schlumberger operates in more than 85 countries. At December 31, 2015, only four of those countries individually accounted for greater than 5% of Schlumberger’s accounts receivable balance, of which only two (Venezuela and Mexico) accounted for greater than 10%. Schlumberger has experienced delays in payment from its national oil company customer in Venezuela. During the fourth quarter of 2015, Schlumberger entered into an agreement with its national oil company customer in Venezuela to receive certain fixed assets in lieu of payment of approximately $200 million of accounts receivable.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Intangible Assets and Long-Lived Assets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records the excess of purchase price over the fair value of the tangible and identifiable intangible assets acquired and liabilities assumed as goodwill. The goodwill relating to each of Schlumberger’s reporting units is tested for impairment annually as well as when an event, or change in circumstances, indicates an impairment may have occurred.</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generally accepted accounting principles, Schlumberger has the option to first assess qualitative factors to determine whether the existence of events or circumstances leads to a determination that it is more likely than not that the fair value of one of its reporting units is greater than its carrying amount. If, after assessing the totality of events or circumstances, Schlumberger determines it is more likely than not that the fair value of a reporting unit is greater than its carrying amount, there is no need to perform any further testing. However, if Schlumberger concludes otherwise, then it is required to perform the first step of a two-step impairment test by calculating the fair value of the reporting unit and comparing the fair value with the carrying amount of the reporting unit. If the fair value of the reporting unit is less than its carrying value, an impairment loss is recorded to the extent that the implied fair value of the goodwill of the reporting unit is less than its carrying value.</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Schlumberger has the option to bypass the qualitative assessment for any reporting unit in any period and proceed directly to performing the first step of the two-step goodwill impairment test.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color w:val="auto"/>
        </w:rPr>
        <w:t>For purposes of performing the impairment test for goodwill, Schlumberger’s reporting units are its three Groups: Reservoir Characterization, Drilling and Production. Schlumberger elected to perform the qualitative assessment described above for purposes of its annual goodwill impairment test in 2015. Based on this assessment, Schlumberger concluded that it was more likely than not that the fair value of each of its reporting units was greater than its carrying amount. Accordingly, no further testing was required.</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Long-lived assets, including fixed assets, intangible assets and investments in SPM projects,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as was the case for certain assets in 2015 and 2014. The determination of future cash flows as well as the estimated fair value of long-lived assets involves significant estimates on the part of management. If there is a material change in economic conditions or other circumstances influencing the estimate of future cash flows or fair value, Schlumberger could be required to recognize impairment charges in the future.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Schlumberger conducts business in more than 100 tax jurisdictions, a number of which have tax laws that are not fully defined and are evolving. Schlumberger’s tax filings are subject to regular audits by the tax authorities. These audits may result in assessments for additional taxes that are resolved with the authorities or, potentially, through the courts. Schlumberger recognizes the impact of a tax position in its financial statements if that position is more likely than not of being sustained on audit, based on the technical merits of the position.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the ultimate resolution of audits may result in liabilities that could be materially different from these estimates. In such an event, Schlumberger will record additional tax expense or tax benefit in the period in which such resolution occurs.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and Postretirement Benefits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Schlumberger’s pension and postretirement benefit obligations are described in detail in Note 18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The obligations and related costs are calculated using actuarial concepts, which include critical assumptions related to the discount rate, expected rate of return on plan assets and medical cost trend rates. These assumptions are important elements of expense and/or liability measurement and are updated on an annual basis, or upon the occurrence of significant events.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discount rate that Schlumberger uses reflects the prevailing market rate of a portfolio of high-quality debt instruments with maturities matching the expected timing of the payment of the benefit obligations. The following summarizes the discount rates utilized by Schlumberger for its various pension and postretirement benefit plans:</w:t>
      </w:r>
    </w:p>
    <w:p>
      <w:pPr>
        <w:spacing w:after="0" w:line="71" w:lineRule="exact"/>
        <w:rPr>
          <w:sz w:val="20"/>
          <w:szCs w:val="20"/>
          <w:color w:val="auto"/>
        </w:rPr>
      </w:pPr>
    </w:p>
    <w:p>
      <w:pPr>
        <w:ind w:left="1020" w:hanging="376"/>
        <w:spacing w:after="0" w:line="27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 rate utilized to determine the liability for Schlumberger’s United States pension plans and postretirement medical plans was 4.50% at December 31, 2015 and 4.15% at December 31, 2014.</w:t>
      </w:r>
    </w:p>
    <w:p>
      <w:pPr>
        <w:spacing w:after="0" w:line="57" w:lineRule="exact"/>
        <w:rPr>
          <w:rFonts w:ascii="Times New Roman" w:cs="Times New Roman" w:eastAsia="Times New Roman" w:hAnsi="Times New Roman"/>
          <w:sz w:val="18"/>
          <w:szCs w:val="18"/>
          <w:color w:val="auto"/>
        </w:rPr>
      </w:pPr>
    </w:p>
    <w:p>
      <w:pPr>
        <w:ind w:left="1020" w:hanging="376"/>
        <w:spacing w:after="0" w:line="27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discount rate utilized to determine the liability for Schlumberger’s international pension plans was 4.36% at December 31, 2015 and 4.07% at December 31, 2014.</w:t>
      </w:r>
    </w:p>
    <w:p>
      <w:pPr>
        <w:spacing w:after="0" w:line="57" w:lineRule="exact"/>
        <w:rPr>
          <w:rFonts w:ascii="Times New Roman" w:cs="Times New Roman" w:eastAsia="Times New Roman" w:hAnsi="Times New Roman"/>
          <w:sz w:val="18"/>
          <w:szCs w:val="18"/>
          <w:color w:val="auto"/>
        </w:rPr>
      </w:pPr>
    </w:p>
    <w:p>
      <w:pPr>
        <w:ind w:left="1020" w:hanging="376"/>
        <w:spacing w:after="0" w:line="27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discount rate utilized to determine expense for Schlumberger’s United States pension plans and postretirement medical plans decreased from 4.85% in 2014 to 4.15% in 2015.</w:t>
      </w:r>
    </w:p>
    <w:p>
      <w:pPr>
        <w:spacing w:after="0" w:line="57" w:lineRule="exact"/>
        <w:rPr>
          <w:rFonts w:ascii="Times New Roman" w:cs="Times New Roman" w:eastAsia="Times New Roman" w:hAnsi="Times New Roman"/>
          <w:sz w:val="18"/>
          <w:szCs w:val="18"/>
          <w:color w:val="auto"/>
        </w:rPr>
      </w:pPr>
    </w:p>
    <w:p>
      <w:pPr>
        <w:ind w:left="1020" w:right="20" w:hanging="376"/>
        <w:spacing w:after="0" w:line="27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discount rate utilized to determine expense for Schlumberger’s international pension plans decreased from 4.76% in 2014 to 4.07% in 2015.</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expected rate of return for Schlumberger’s retirement benefit plans represents the average rate of return expected to be earned on plan assets over the period that benefits included in the benefit obligation are expected to be paid. The expected rate of return for Schlumberger’s United States pension plans has been determined based upon expected rates of return for the investment portfolio, with consideration given to the distribution of investments by asset class and historical rates of return for each individual asset class. The weighted average expected rate of return on plan assets for the United States pension plans was 7.25% in both 2015 and 2014. The weighted average expected rate of return on plan assets for the international pension plans was 7.50% in both 2015 and 2014. A lower expected rate of return would increase pension expense.</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Schlumberger’s medical cost trend rate assumptions are developed based on historical cost data, the near-term outlook and an assessment of likely long-term trends. The overall medical cost trend rate assumption utilized to determine the 2015 postretirement medical expense was 7.0% graded to 5.0% over the next ten years. The overall medical trend rate assumption utilized to determine the postretirement medical liability at December 31, 2015 was 7.0% graded to 5.0% over the next ten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8" w:name="page29"/>
    <w:bookmarkEnd w:id="28"/>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illustrates the sensitivity to changes in certain assumptions, holding all other assumptions constant, for the United States and international pension plans: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ind w:left="5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17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Effect on 2015</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Effect on</w:t>
            </w:r>
          </w:p>
        </w:tc>
        <w:tc>
          <w:tcPr>
            <w:tcW w:w="0" w:type="dxa"/>
            <w:vAlign w:val="bottom"/>
          </w:tcPr>
          <w:p>
            <w:pPr>
              <w:spacing w:after="0"/>
              <w:rPr>
                <w:sz w:val="1"/>
                <w:szCs w:val="1"/>
                <w:color w:val="auto"/>
              </w:rPr>
            </w:pPr>
          </w:p>
        </w:tc>
      </w:tr>
      <w:tr>
        <w:trPr>
          <w:trHeight w:val="226"/>
        </w:trPr>
        <w:tc>
          <w:tcPr>
            <w:tcW w:w="7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Change in Assumption</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Pretax Pension</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Dec. 31, 2015</w:t>
            </w:r>
          </w:p>
        </w:tc>
        <w:tc>
          <w:tcPr>
            <w:tcW w:w="0" w:type="dxa"/>
            <w:vAlign w:val="bottom"/>
          </w:tcPr>
          <w:p>
            <w:pPr>
              <w:spacing w:after="0"/>
              <w:rPr>
                <w:sz w:val="1"/>
                <w:szCs w:val="1"/>
                <w:color w:val="auto"/>
              </w:rPr>
            </w:pPr>
          </w:p>
        </w:tc>
      </w:tr>
      <w:tr>
        <w:trPr>
          <w:trHeight w:val="191"/>
        </w:trPr>
        <w:tc>
          <w:tcPr>
            <w:tcW w:w="7800" w:type="dxa"/>
            <w:vAlign w:val="bottom"/>
            <w:gridSpan w:val="2"/>
            <w:vMerge w:val="continue"/>
          </w:tcPr>
          <w:p>
            <w:pPr>
              <w:spacing w:after="0"/>
              <w:rPr>
                <w:sz w:val="16"/>
                <w:szCs w:val="16"/>
                <w:color w:val="auto"/>
              </w:rPr>
            </w:pPr>
          </w:p>
        </w:tc>
        <w:tc>
          <w:tcPr>
            <w:tcW w:w="1900" w:type="dxa"/>
            <w:vAlign w:val="bottom"/>
            <w:gridSpan w:val="2"/>
          </w:tcPr>
          <w:p>
            <w:pPr>
              <w:jc w:val="center"/>
              <w:ind w:right="180"/>
              <w:spacing w:after="0" w:line="191" w:lineRule="exact"/>
              <w:rPr>
                <w:sz w:val="20"/>
                <w:szCs w:val="20"/>
                <w:color w:val="auto"/>
              </w:rPr>
            </w:pPr>
            <w:r>
              <w:rPr>
                <w:rFonts w:ascii="Times New Roman" w:cs="Times New Roman" w:eastAsia="Times New Roman" w:hAnsi="Times New Roman"/>
                <w:sz w:val="18"/>
                <w:szCs w:val="18"/>
                <w:color w:val="auto"/>
                <w:w w:val="98"/>
              </w:rPr>
              <w:t>Expense</w:t>
            </w:r>
          </w:p>
        </w:tc>
        <w:tc>
          <w:tcPr>
            <w:tcW w:w="1720" w:type="dxa"/>
            <w:vAlign w:val="bottom"/>
            <w:gridSpan w:val="2"/>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w w:val="96"/>
              </w:rPr>
              <w:t>Liability</w:t>
            </w:r>
          </w:p>
        </w:tc>
        <w:tc>
          <w:tcPr>
            <w:tcW w:w="0" w:type="dxa"/>
            <w:vAlign w:val="bottom"/>
          </w:tcPr>
          <w:p>
            <w:pPr>
              <w:spacing w:after="0"/>
              <w:rPr>
                <w:sz w:val="1"/>
                <w:szCs w:val="1"/>
                <w:color w:val="auto"/>
              </w:rPr>
            </w:pPr>
          </w:p>
        </w:tc>
      </w:tr>
      <w:tr>
        <w:trPr>
          <w:trHeight w:val="20"/>
        </w:trPr>
        <w:tc>
          <w:tcPr>
            <w:tcW w:w="1720" w:type="dxa"/>
            <w:vAlign w:val="bottom"/>
            <w:tcBorders>
              <w:top w:val="single" w:sz="8" w:color="auto"/>
              <w:bottom w:val="single" w:sz="8" w:color="CFF0FC"/>
            </w:tcBorders>
          </w:tcPr>
          <w:p>
            <w:pPr>
              <w:spacing w:after="0" w:line="20" w:lineRule="exact"/>
              <w:rPr>
                <w:sz w:val="1"/>
                <w:szCs w:val="1"/>
                <w:color w:val="auto"/>
              </w:rPr>
            </w:pPr>
          </w:p>
        </w:tc>
        <w:tc>
          <w:tcPr>
            <w:tcW w:w="6080" w:type="dxa"/>
            <w:vAlign w:val="bottom"/>
            <w:tcBorders>
              <w:bottom w:val="single" w:sz="8" w:color="CFF0FC"/>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25 basis point decrease in discount rate</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 basis point increase in discount rate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25 basis point decrease in expected return on plan assets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 basis point increase in expected return on plan assets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illustrates the sensitivity to changes in certain assumptions, holding all other assumptions constant, for Schlumberger’s United States postretirement medical plans: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17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40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7"/>
              </w:rPr>
              <w:t>Effect on 2015</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Effect on</w:t>
            </w:r>
          </w:p>
        </w:tc>
        <w:tc>
          <w:tcPr>
            <w:tcW w:w="0" w:type="dxa"/>
            <w:vAlign w:val="bottom"/>
          </w:tcPr>
          <w:p>
            <w:pPr>
              <w:spacing w:after="0"/>
              <w:rPr>
                <w:sz w:val="1"/>
                <w:szCs w:val="1"/>
                <w:color w:val="auto"/>
              </w:rPr>
            </w:pPr>
          </w:p>
        </w:tc>
      </w:tr>
      <w:tr>
        <w:trPr>
          <w:trHeight w:val="226"/>
        </w:trPr>
        <w:tc>
          <w:tcPr>
            <w:tcW w:w="7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Change in Assumption</w:t>
            </w:r>
          </w:p>
        </w:tc>
        <w:tc>
          <w:tcPr>
            <w:tcW w:w="1400" w:type="dxa"/>
            <w:vAlign w:val="bottom"/>
          </w:tcPr>
          <w:p>
            <w:pPr>
              <w:jc w:val="center"/>
              <w:ind w:left="211"/>
              <w:spacing w:after="0"/>
              <w:rPr>
                <w:sz w:val="20"/>
                <w:szCs w:val="20"/>
                <w:color w:val="auto"/>
              </w:rPr>
            </w:pPr>
            <w:r>
              <w:rPr>
                <w:rFonts w:ascii="Times New Roman" w:cs="Times New Roman" w:eastAsia="Times New Roman" w:hAnsi="Times New Roman"/>
                <w:sz w:val="18"/>
                <w:szCs w:val="18"/>
                <w:color w:val="auto"/>
                <w:w w:val="98"/>
              </w:rPr>
              <w:t>Pretax Pension</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 31, 2015</w:t>
            </w:r>
          </w:p>
        </w:tc>
        <w:tc>
          <w:tcPr>
            <w:tcW w:w="0" w:type="dxa"/>
            <w:vAlign w:val="bottom"/>
          </w:tcPr>
          <w:p>
            <w:pPr>
              <w:spacing w:after="0"/>
              <w:rPr>
                <w:sz w:val="1"/>
                <w:szCs w:val="1"/>
                <w:color w:val="auto"/>
              </w:rPr>
            </w:pPr>
          </w:p>
        </w:tc>
      </w:tr>
      <w:tr>
        <w:trPr>
          <w:trHeight w:val="191"/>
        </w:trPr>
        <w:tc>
          <w:tcPr>
            <w:tcW w:w="7800" w:type="dxa"/>
            <w:vAlign w:val="bottom"/>
            <w:gridSpan w:val="2"/>
            <w:vMerge w:val="continue"/>
          </w:tcPr>
          <w:p>
            <w:pPr>
              <w:spacing w:after="0"/>
              <w:rPr>
                <w:sz w:val="16"/>
                <w:szCs w:val="16"/>
                <w:color w:val="auto"/>
              </w:rPr>
            </w:pPr>
          </w:p>
        </w:tc>
        <w:tc>
          <w:tcPr>
            <w:tcW w:w="1400" w:type="dxa"/>
            <w:vAlign w:val="bottom"/>
          </w:tcPr>
          <w:p>
            <w:pPr>
              <w:jc w:val="center"/>
              <w:ind w:left="231"/>
              <w:spacing w:after="0" w:line="191" w:lineRule="exact"/>
              <w:rPr>
                <w:sz w:val="20"/>
                <w:szCs w:val="20"/>
                <w:color w:val="auto"/>
              </w:rPr>
            </w:pPr>
            <w:r>
              <w:rPr>
                <w:rFonts w:ascii="Times New Roman" w:cs="Times New Roman" w:eastAsia="Times New Roman" w:hAnsi="Times New Roman"/>
                <w:sz w:val="18"/>
                <w:szCs w:val="18"/>
                <w:color w:val="auto"/>
                <w:w w:val="98"/>
              </w:rPr>
              <w:t>Expense</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Liability</w:t>
            </w:r>
          </w:p>
        </w:tc>
        <w:tc>
          <w:tcPr>
            <w:tcW w:w="0" w:type="dxa"/>
            <w:vAlign w:val="bottom"/>
          </w:tcPr>
          <w:p>
            <w:pPr>
              <w:spacing w:after="0"/>
              <w:rPr>
                <w:sz w:val="1"/>
                <w:szCs w:val="1"/>
                <w:color w:val="auto"/>
              </w:rPr>
            </w:pPr>
          </w:p>
        </w:tc>
      </w:tr>
      <w:tr>
        <w:trPr>
          <w:trHeight w:val="20"/>
        </w:trPr>
        <w:tc>
          <w:tcPr>
            <w:tcW w:w="1720" w:type="dxa"/>
            <w:vAlign w:val="bottom"/>
            <w:tcBorders>
              <w:top w:val="single" w:sz="8" w:color="auto"/>
              <w:bottom w:val="single" w:sz="8" w:color="CFF0FC"/>
            </w:tcBorders>
          </w:tcPr>
          <w:p>
            <w:pPr>
              <w:spacing w:after="0" w:line="20" w:lineRule="exact"/>
              <w:rPr>
                <w:sz w:val="1"/>
                <w:szCs w:val="1"/>
                <w:color w:val="auto"/>
              </w:rPr>
            </w:pPr>
          </w:p>
        </w:tc>
        <w:tc>
          <w:tcPr>
            <w:tcW w:w="6080" w:type="dxa"/>
            <w:vAlign w:val="bottom"/>
            <w:tcBorders>
              <w:bottom w:val="single" w:sz="8" w:color="CFF0FC"/>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25 basis point decrease in discount rate</w:t>
            </w: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+$6</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 basis point increase in discount rate</w:t>
            </w:r>
          </w:p>
        </w:tc>
        <w:tc>
          <w:tcPr>
            <w:tcW w:w="14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6"/>
        </w:trPr>
        <w:tc>
          <w:tcPr>
            <w:tcW w:w="7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100 basis point decrease per annum in medical cost trend rate</w:t>
            </w: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2"/>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basis point increase per annum in medical cost trend rate</w:t>
            </w:r>
          </w:p>
        </w:tc>
        <w:tc>
          <w:tcPr>
            <w:tcW w:w="14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Affiliated Companies</w:t>
      </w:r>
    </w:p>
    <w:p>
      <w:pPr>
        <w:spacing w:after="0" w:line="11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Investments in Affiliated Companies </w:t>
      </w:r>
      <w:r>
        <w:rPr>
          <w:rFonts w:ascii="Times New Roman" w:cs="Times New Roman" w:eastAsia="Times New Roman" w:hAnsi="Times New Roman"/>
          <w:sz w:val="17"/>
          <w:szCs w:val="17"/>
          <w:color w:val="auto"/>
        </w:rPr>
        <w:t>on the consolidated balance sheet primarily reflects Schlumberger’s investments in privately held companies, some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are in the startup or development stages and are often still defining their strategic direction. Such investments are inherently risky and their success is dependent on factors such as technology development, market acceptance and their ability to raise additional funds. The technology being developed by these companies may never materialize and they could fail. Schlumberger monitors its portfolio to determine if any investment is other-than-temporarily impaired. If an investment is considered to be other-than-temporarily impaired, it is written down to its fair value, as was the case for certain investments in 2015 and 2013.</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is subject to market risks primarily associated with changes in foreign currency exchange rates and interest rates.</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multinational company, Schlumberger conducts business in approximately 85 countries. Schlumberger’s functional currency is primarily the US dollar, which is consistent with the oil and gas industry. Approximately 83% of Schlumberger’s revenue in 2015 was denominated in US dollars. However, outside the United States, a significant portion of Schlumberger’s expenses is incurred in foreign currencies. Therefore, when the US dollar weakens in relation to the foreign currencies of the countries in which Schlumberger conducts business, the US dollar-reported expenses will increase.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5% increase or decrease in the average exchange rates of all the foreign currencies in 2015 would have changed revenue by approximately 1%. If the 2015 average exchange rates of the US dollar against all foreign currencies had strengthened by 5%, Schlumberger’s pretax operating income would have increased by approximately 3%. Conversely, a 5% weakening of the US dollar average exchange rates would have decreased pretax operating income by approximately 3%.</w:t>
      </w:r>
    </w:p>
    <w:p>
      <w:pPr>
        <w:spacing w:after="0" w:line="17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 xml:space="preserve">Please refer to Note 3 to the </w:t>
      </w:r>
      <w:r>
        <w:rPr>
          <w:rFonts w:ascii="Times New Roman" w:cs="Times New Roman" w:eastAsia="Times New Roman" w:hAnsi="Times New Roman"/>
          <w:sz w:val="17"/>
          <w:szCs w:val="17"/>
          <w:i w:val="1"/>
          <w:iCs w:val="1"/>
          <w:color w:val="auto"/>
        </w:rPr>
        <w:t>Consolidated Financial Statements</w:t>
      </w:r>
      <w:r>
        <w:rPr>
          <w:rFonts w:ascii="Times New Roman" w:cs="Times New Roman" w:eastAsia="Times New Roman" w:hAnsi="Times New Roman"/>
          <w:sz w:val="17"/>
          <w:szCs w:val="17"/>
          <w:color w:val="auto"/>
        </w:rPr>
        <w:t xml:space="preserve"> for a discussion of exchange rates as it relates to Schlumberger’s operations in Venezuela.</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9" w:name="page30"/>
    <w:bookmarkEnd w:id="29"/>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maintains a foreign-currency risk management strategy that uses derivative instruments to protect its interests from unanticipated fluctuations in earnings and cash flows caused by volatility in currency exchange rates. Foreign currency forward contracts and foreign currency options provide a hedge against currency fluctuations either on monetary assets/liabilities denominated in other than a functional currency or on expenses.</w:t>
      </w:r>
    </w:p>
    <w:p>
      <w:pPr>
        <w:spacing w:after="0" w:line="17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December 31, 2015, contracts were outstanding for the US dollar equivalent of $3.8 billion in various foreign currencies of which $1.2 billion relate to hedges of debt balances denominated in currencies other than the functional currency.</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 At December 31, 2015, Schlumberger had fixed rate debt aggregating approximately $14.3 billion and variable rate debt aggregating approximately $4.7 billion before considering the effects of cross currency swaps.</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Schlumberger’s exposure to interest rate risk associated with its debt is also partially mitigated by its investment portfolio. Both </w:t>
      </w:r>
      <w:r>
        <w:rPr>
          <w:rFonts w:ascii="Times New Roman" w:cs="Times New Roman" w:eastAsia="Times New Roman" w:hAnsi="Times New Roman"/>
          <w:sz w:val="18"/>
          <w:szCs w:val="18"/>
          <w:i w:val="1"/>
          <w:iCs w:val="1"/>
          <w:color w:val="auto"/>
        </w:rPr>
        <w:t>Short-term investments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Fixed income investments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held to maturity</w:t>
      </w:r>
      <w:r>
        <w:rPr>
          <w:rFonts w:ascii="Times New Roman" w:cs="Times New Roman" w:eastAsia="Times New Roman" w:hAnsi="Times New Roman"/>
          <w:sz w:val="18"/>
          <w:szCs w:val="18"/>
          <w:color w:val="auto"/>
        </w:rPr>
        <w:t>, which totaled approximately $10.7 billion at December 31, 2015, are comprised primarily of money market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deposits, certificates of deposit, commercial paper, bonds and notes, substantially all of which are denominated in US dollars. The average return on investments was 1.0% in 2015.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carrying amounts of Schlumberger’s debt at December 31, 2015 by year of maturity:</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5"/>
          </w:tcPr>
          <w:p>
            <w:pPr>
              <w:ind w:left="26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21"/>
        </w:trPr>
        <w:tc>
          <w:tcPr>
            <w:tcW w:w="4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6"/>
                <w:szCs w:val="16"/>
                <w:color w:val="auto"/>
                <w:w w:val="99"/>
              </w:rPr>
              <w:t>Expected Maturity Dates</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6"/>
        </w:trPr>
        <w:tc>
          <w:tcPr>
            <w:tcW w:w="480" w:type="dxa"/>
            <w:vAlign w:val="bottom"/>
            <w:tcBorders>
              <w:bottom w:val="single" w:sz="8" w:color="CFF0FC"/>
            </w:tcBorders>
          </w:tcPr>
          <w:p>
            <w:pPr>
              <w:spacing w:after="0"/>
              <w:rPr>
                <w:sz w:val="17"/>
                <w:szCs w:val="17"/>
                <w:color w:val="auto"/>
              </w:rPr>
            </w:pPr>
          </w:p>
        </w:tc>
        <w:tc>
          <w:tcPr>
            <w:tcW w:w="2100" w:type="dxa"/>
            <w:vAlign w:val="bottom"/>
            <w:tcBorders>
              <w:bottom w:val="single" w:sz="8" w:color="CFF0FC"/>
            </w:tcBorders>
          </w:tcPr>
          <w:p>
            <w:pPr>
              <w:spacing w:after="0"/>
              <w:rPr>
                <w:sz w:val="17"/>
                <w:szCs w:val="17"/>
                <w:color w:val="auto"/>
              </w:rPr>
            </w:pPr>
          </w:p>
        </w:tc>
        <w:tc>
          <w:tcPr>
            <w:tcW w:w="7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color w:val="auto"/>
                <w:w w:val="99"/>
              </w:rPr>
              <w:t>2016</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color w:val="auto"/>
                <w:w w:val="99"/>
              </w:rPr>
              <w:t>2017</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color w:val="auto"/>
                <w:w w:val="99"/>
              </w:rPr>
              <w:t>2018</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color w:val="auto"/>
                <w:w w:val="99"/>
              </w:rPr>
              <w:t>2019</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color w:val="auto"/>
              </w:rPr>
              <w:t>2020</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color w:val="auto"/>
                <w:w w:val="99"/>
              </w:rPr>
              <w:t>2021</w:t>
            </w:r>
          </w:p>
        </w:tc>
        <w:tc>
          <w:tcPr>
            <w:tcW w:w="16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color w:val="auto"/>
              </w:rPr>
              <w:t>2022</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color w:val="auto"/>
                <w:w w:val="99"/>
              </w:rPr>
              <w:t>2023</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color w:val="auto"/>
                <w:w w:val="99"/>
              </w:rPr>
              <w:t>2025</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CFF0FC"/>
            </w:tcBorders>
          </w:tcPr>
          <w:p>
            <w:pPr>
              <w:spacing w:after="0"/>
              <w:rPr>
                <w:sz w:val="17"/>
                <w:szCs w:val="17"/>
                <w:color w:val="auto"/>
              </w:rPr>
            </w:pPr>
          </w:p>
        </w:tc>
      </w:tr>
      <w:tr>
        <w:trPr>
          <w:trHeight w:val="221"/>
        </w:trPr>
        <w:tc>
          <w:tcPr>
            <w:tcW w:w="2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Fixed rate debt</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1.95%</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2.65%</w:t>
            </w: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1.25%</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1.90%</w:t>
            </w: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2.35%</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1.50%</w:t>
            </w: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Guaranteed Notes</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3.00%</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3.30%</w:t>
            </w: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4.20%</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2.40%</w:t>
            </w: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3.63%</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3.65%</w:t>
            </w:r>
          </w:p>
        </w:tc>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w w:val="98"/>
              </w:rPr>
              <w:t>4.00%</w:t>
            </w:r>
          </w:p>
        </w:tc>
        <w:tc>
          <w:tcPr>
            <w:tcW w:w="21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7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tcBorders>
              <w:bottom w:val="single" w:sz="8" w:color="CFF0FC"/>
            </w:tcBorders>
          </w:tcPr>
          <w:p>
            <w:pPr>
              <w:spacing w:after="0"/>
              <w:rPr>
                <w:sz w:val="19"/>
                <w:szCs w:val="19"/>
                <w:color w:val="auto"/>
              </w:rPr>
            </w:pPr>
          </w:p>
        </w:tc>
      </w:tr>
      <w:tr>
        <w:trPr>
          <w:trHeight w:val="219"/>
        </w:trPr>
        <w:tc>
          <w:tcPr>
            <w:tcW w:w="2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fixed rate debt</w:t>
            </w: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14,331</w:t>
            </w:r>
          </w:p>
        </w:tc>
        <w:tc>
          <w:tcPr>
            <w:tcW w:w="120" w:type="dxa"/>
            <w:vAlign w:val="bottom"/>
            <w:shd w:val="clear" w:color="auto" w:fill="CFF0FC"/>
          </w:tcPr>
          <w:p>
            <w:pPr>
              <w:spacing w:after="0"/>
              <w:rPr>
                <w:sz w:val="19"/>
                <w:szCs w:val="19"/>
                <w:color w:val="auto"/>
              </w:rPr>
            </w:pPr>
          </w:p>
        </w:tc>
      </w:tr>
      <w:tr>
        <w:trPr>
          <w:trHeight w:val="226"/>
        </w:trPr>
        <w:tc>
          <w:tcPr>
            <w:tcW w:w="25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Variable rate debt</w:t>
            </w:r>
          </w:p>
        </w:tc>
        <w:tc>
          <w:tcPr>
            <w:tcW w:w="7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20" w:type="dxa"/>
            <w:vAlign w:val="bottom"/>
            <w:tcBorders>
              <w:bottom w:val="single" w:sz="8" w:color="CFF0FC"/>
            </w:tcBorders>
          </w:tcPr>
          <w:p>
            <w:pPr>
              <w:spacing w:after="0"/>
              <w:rPr>
                <w:sz w:val="19"/>
                <w:szCs w:val="19"/>
                <w:color w:val="auto"/>
              </w:rPr>
            </w:pPr>
          </w:p>
        </w:tc>
      </w:tr>
      <w:tr>
        <w:trPr>
          <w:trHeight w:val="219"/>
        </w:trPr>
        <w:tc>
          <w:tcPr>
            <w:tcW w:w="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fair market value of the outstanding fixed rate debt was approximately $14.3 billion as of December 31, 2015. The weighted average interest rate on the variable rate debt as of December 31, 2015 was 1.0%.</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does not enter into derivatives for speculative purposes.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Form 10-K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the integration of Cameron into our business; the anticipated benefits of the Cameron transaction;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pricing erosion;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risk that the contemplated Cameron merger will not occur, negative effects from the pendency of the contemplated Cameron merger; the inability after the closing of the Cameron merger to successfully integrate the merged businesses and to realize expected synergies; the inability to retain key employees; expenses for the merger; and other risks and uncertainties detailed in the Risk Factors section of this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38"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 Financial Statements and Supplementary Data.</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6"/>
          </w:tcPr>
          <w:p>
            <w:pPr>
              <w:jc w:val="center"/>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r>
              <w:rPr>
                <w:rFonts w:ascii="Times New Roman" w:cs="Times New Roman" w:eastAsia="Times New Roman" w:hAnsi="Times New Roman"/>
                <w:sz w:val="14"/>
                <w:szCs w:val="14"/>
                <w:color w:val="auto"/>
              </w:rPr>
              <w:t>)</w:t>
            </w:r>
          </w:p>
        </w:tc>
      </w:tr>
      <w:tr>
        <w:trPr>
          <w:trHeight w:val="436"/>
        </w:trPr>
        <w:tc>
          <w:tcPr>
            <w:tcW w:w="67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FF0FC"/>
            </w:tcBorders>
          </w:tcPr>
          <w:p>
            <w:pPr>
              <w:spacing w:after="0"/>
              <w:rPr>
                <w:sz w:val="24"/>
                <w:szCs w:val="24"/>
                <w:color w:val="auto"/>
              </w:rPr>
            </w:pPr>
          </w:p>
        </w:tc>
      </w:tr>
      <w:tr>
        <w:trPr>
          <w:trHeight w:val="219"/>
        </w:trPr>
        <w:tc>
          <w:tcPr>
            <w:tcW w:w="6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35,475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center"/>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Interest &amp; other income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r>
      <w:tr>
        <w:trPr>
          <w:trHeight w:val="226"/>
        </w:trPr>
        <w:tc>
          <w:tcPr>
            <w:tcW w:w="6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Gain on formation of OneSubsea</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220" w:type="dxa"/>
            <w:vAlign w:val="bottom"/>
            <w:shd w:val="clear" w:color="auto" w:fill="CFF0FC"/>
          </w:tcPr>
          <w:p>
            <w:pPr>
              <w:spacing w:after="0"/>
              <w:rPr>
                <w:sz w:val="19"/>
                <w:szCs w:val="19"/>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28,321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35,331</w:t>
            </w:r>
          </w:p>
        </w:tc>
        <w:tc>
          <w:tcPr>
            <w:tcW w:w="100" w:type="dxa"/>
            <w:vAlign w:val="bottom"/>
            <w:shd w:val="clear" w:color="auto" w:fill="CFF0FC"/>
          </w:tcPr>
          <w:p>
            <w:pPr>
              <w:spacing w:after="0"/>
              <w:rPr>
                <w:sz w:val="19"/>
                <w:szCs w:val="19"/>
                <w:color w:val="auto"/>
              </w:rPr>
            </w:pPr>
          </w:p>
        </w:tc>
      </w:tr>
      <w:tr>
        <w:trPr>
          <w:trHeight w:val="226"/>
        </w:trPr>
        <w:tc>
          <w:tcPr>
            <w:tcW w:w="22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&amp; engineering</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19"/>
                <w:szCs w:val="19"/>
                <w:color w:val="auto"/>
              </w:rPr>
            </w:pPr>
          </w:p>
        </w:tc>
      </w:tr>
      <w:tr>
        <w:trPr>
          <w:trHeight w:val="226"/>
        </w:trPr>
        <w:tc>
          <w:tcPr>
            <w:tcW w:w="220" w:type="dxa"/>
            <w:vAlign w:val="bottom"/>
            <w:shd w:val="clear" w:color="auto" w:fill="CFF0FC"/>
          </w:tcPr>
          <w:p>
            <w:pPr>
              <w:spacing w:after="0"/>
              <w:rPr>
                <w:sz w:val="19"/>
                <w:szCs w:val="19"/>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FF0FC"/>
          </w:tcPr>
          <w:p>
            <w:pPr>
              <w:spacing w:after="0"/>
              <w:rPr>
                <w:sz w:val="19"/>
                <w:szCs w:val="19"/>
                <w:color w:val="auto"/>
              </w:rPr>
            </w:pPr>
          </w:p>
        </w:tc>
      </w:tr>
      <w:tr>
        <w:trPr>
          <w:trHeight w:val="226"/>
        </w:trPr>
        <w:tc>
          <w:tcPr>
            <w:tcW w:w="22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 &amp; other</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r>
      <w:tr>
        <w:trPr>
          <w:trHeight w:val="226"/>
        </w:trPr>
        <w:tc>
          <w:tcPr>
            <w:tcW w:w="220" w:type="dxa"/>
            <w:vAlign w:val="bottom"/>
            <w:shd w:val="clear" w:color="auto" w:fill="CFF0FC"/>
          </w:tcPr>
          <w:p>
            <w:pPr>
              <w:spacing w:after="0"/>
              <w:rPr>
                <w:sz w:val="19"/>
                <w:szCs w:val="19"/>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FF0FC"/>
          </w:tcPr>
          <w:p>
            <w:pPr>
              <w:spacing w:after="0"/>
              <w:rPr>
                <w:sz w:val="19"/>
                <w:szCs w:val="19"/>
                <w:color w:val="auto"/>
              </w:rPr>
            </w:pPr>
          </w:p>
        </w:tc>
      </w:tr>
      <w:tr>
        <w:trPr>
          <w:trHeight w:val="219"/>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Income from continuing operations before taxes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100" w:type="dxa"/>
            <w:vAlign w:val="bottom"/>
          </w:tcPr>
          <w:p>
            <w:pPr>
              <w:spacing w:after="0"/>
              <w:rPr>
                <w:sz w:val="19"/>
                <w:szCs w:val="19"/>
                <w:color w:val="auto"/>
              </w:rPr>
            </w:pPr>
          </w:p>
        </w:tc>
      </w:tr>
      <w:tr>
        <w:trPr>
          <w:trHeight w:val="226"/>
        </w:trPr>
        <w:tc>
          <w:tcPr>
            <w:tcW w:w="220" w:type="dxa"/>
            <w:vAlign w:val="bottom"/>
            <w:shd w:val="clear" w:color="auto" w:fill="CFF0FC"/>
          </w:tcPr>
          <w:p>
            <w:pPr>
              <w:spacing w:after="0"/>
              <w:rPr>
                <w:sz w:val="19"/>
                <w:szCs w:val="19"/>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Taxes on income</w:t>
            </w: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746</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shd w:val="clear" w:color="auto" w:fill="CFF0FC"/>
          </w:tcPr>
          <w:p>
            <w:pPr>
              <w:spacing w:after="0"/>
              <w:rPr>
                <w:sz w:val="19"/>
                <w:szCs w:val="19"/>
                <w:color w:val="auto"/>
              </w:rPr>
            </w:pPr>
          </w:p>
        </w:tc>
      </w:tr>
      <w:tr>
        <w:trPr>
          <w:trHeight w:val="219"/>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Income from continuing operations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100" w:type="dxa"/>
            <w:vAlign w:val="bottom"/>
          </w:tcPr>
          <w:p>
            <w:pPr>
              <w:spacing w:after="0"/>
              <w:rPr>
                <w:sz w:val="19"/>
                <w:szCs w:val="19"/>
                <w:color w:val="auto"/>
              </w:rPr>
            </w:pPr>
          </w:p>
        </w:tc>
      </w:tr>
      <w:tr>
        <w:trPr>
          <w:trHeight w:val="226"/>
        </w:trPr>
        <w:tc>
          <w:tcPr>
            <w:tcW w:w="6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Loss from discontinued operations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r>
      <w:tr>
        <w:trPr>
          <w:trHeight w:val="219"/>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2,135</w:t>
            </w: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100" w:type="dxa"/>
            <w:vAlign w:val="bottom"/>
          </w:tcPr>
          <w:p>
            <w:pPr>
              <w:spacing w:after="0"/>
              <w:rPr>
                <w:sz w:val="19"/>
                <w:szCs w:val="19"/>
                <w:color w:val="auto"/>
              </w:rPr>
            </w:pPr>
          </w:p>
        </w:tc>
      </w:tr>
      <w:tr>
        <w:trPr>
          <w:trHeight w:val="226"/>
        </w:trPr>
        <w:tc>
          <w:tcPr>
            <w:tcW w:w="220" w:type="dxa"/>
            <w:vAlign w:val="bottom"/>
            <w:shd w:val="clear" w:color="auto" w:fill="CFF0FC"/>
          </w:tcPr>
          <w:p>
            <w:pPr>
              <w:spacing w:after="0"/>
              <w:rPr>
                <w:sz w:val="19"/>
                <w:szCs w:val="19"/>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9"/>
                <w:szCs w:val="19"/>
                <w:color w:val="auto"/>
              </w:rPr>
            </w:pPr>
          </w:p>
        </w:tc>
      </w:tr>
      <w:tr>
        <w:trPr>
          <w:trHeight w:val="219"/>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Net income attributable to Schlumberger</w:t>
            </w:r>
          </w:p>
        </w:tc>
        <w:tc>
          <w:tcPr>
            <w:tcW w:w="2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2,072</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0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2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6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Schlumberger amounts attributable to:</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22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100" w:type="dxa"/>
            <w:vAlign w:val="bottom"/>
          </w:tcPr>
          <w:p>
            <w:pPr>
              <w:spacing w:after="0"/>
              <w:rPr>
                <w:sz w:val="19"/>
                <w:szCs w:val="19"/>
                <w:color w:val="auto"/>
              </w:rPr>
            </w:pPr>
          </w:p>
        </w:tc>
      </w:tr>
      <w:tr>
        <w:trPr>
          <w:trHeight w:val="226"/>
        </w:trPr>
        <w:tc>
          <w:tcPr>
            <w:tcW w:w="220" w:type="dxa"/>
            <w:vAlign w:val="bottom"/>
            <w:shd w:val="clear" w:color="auto" w:fill="CFF0FC"/>
          </w:tcPr>
          <w:p>
            <w:pPr>
              <w:spacing w:after="0"/>
              <w:rPr>
                <w:sz w:val="19"/>
                <w:szCs w:val="19"/>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r>
      <w:tr>
        <w:trPr>
          <w:trHeight w:val="219"/>
        </w:trPr>
        <w:tc>
          <w:tcPr>
            <w:tcW w:w="22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2,072</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0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2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6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 of Schlumberger</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22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48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tcPr>
          <w:p>
            <w:pPr>
              <w:spacing w:after="0"/>
              <w:rPr>
                <w:sz w:val="19"/>
                <w:szCs w:val="19"/>
                <w:color w:val="auto"/>
              </w:rPr>
            </w:pPr>
          </w:p>
        </w:tc>
        <w:tc>
          <w:tcPr>
            <w:tcW w:w="400" w:type="dxa"/>
            <w:vAlign w:val="bottom"/>
            <w:gridSpan w:val="2"/>
          </w:tcPr>
          <w:p>
            <w:pPr>
              <w:jc w:val="center"/>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9"/>
                <w:szCs w:val="19"/>
                <w:color w:val="auto"/>
              </w:rPr>
            </w:pPr>
          </w:p>
        </w:tc>
      </w:tr>
      <w:tr>
        <w:trPr>
          <w:trHeight w:val="226"/>
        </w:trPr>
        <w:tc>
          <w:tcPr>
            <w:tcW w:w="220" w:type="dxa"/>
            <w:vAlign w:val="bottom"/>
            <w:shd w:val="clear" w:color="auto" w:fill="CFF0FC"/>
          </w:tcPr>
          <w:p>
            <w:pPr>
              <w:spacing w:after="0"/>
              <w:rPr>
                <w:sz w:val="19"/>
                <w:szCs w:val="19"/>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r>
      <w:tr>
        <w:trPr>
          <w:trHeight w:val="219"/>
        </w:trPr>
        <w:tc>
          <w:tcPr>
            <w:tcW w:w="22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2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6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of Schlumberger</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22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48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tcPr>
          <w:p>
            <w:pPr>
              <w:spacing w:after="0"/>
              <w:rPr>
                <w:sz w:val="19"/>
                <w:szCs w:val="19"/>
                <w:color w:val="auto"/>
              </w:rPr>
            </w:pPr>
          </w:p>
        </w:tc>
        <w:tc>
          <w:tcPr>
            <w:tcW w:w="400" w:type="dxa"/>
            <w:vAlign w:val="bottom"/>
            <w:gridSpan w:val="2"/>
          </w:tcPr>
          <w:p>
            <w:pPr>
              <w:jc w:val="center"/>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r>
      <w:tr>
        <w:trPr>
          <w:trHeight w:val="226"/>
        </w:trPr>
        <w:tc>
          <w:tcPr>
            <w:tcW w:w="220" w:type="dxa"/>
            <w:vAlign w:val="bottom"/>
            <w:shd w:val="clear" w:color="auto" w:fill="CFF0FC"/>
          </w:tcPr>
          <w:p>
            <w:pPr>
              <w:spacing w:after="0"/>
              <w:rPr>
                <w:sz w:val="19"/>
                <w:szCs w:val="19"/>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r>
      <w:tr>
        <w:trPr>
          <w:trHeight w:val="219"/>
        </w:trPr>
        <w:tc>
          <w:tcPr>
            <w:tcW w:w="22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15"/>
                <w:szCs w:val="15"/>
                <w:color w:val="auto"/>
              </w:rPr>
              <w:t>(1)</w:t>
            </w: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2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6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22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9"/>
                <w:szCs w:val="19"/>
                <w:color w:val="auto"/>
              </w:rPr>
            </w:pPr>
          </w:p>
        </w:tc>
      </w:tr>
      <w:tr>
        <w:trPr>
          <w:trHeight w:val="226"/>
        </w:trPr>
        <w:tc>
          <w:tcPr>
            <w:tcW w:w="220" w:type="dxa"/>
            <w:vAlign w:val="bottom"/>
            <w:shd w:val="clear" w:color="auto" w:fill="CFF0FC"/>
          </w:tcPr>
          <w:p>
            <w:pPr>
              <w:spacing w:after="0"/>
              <w:rPr>
                <w:sz w:val="19"/>
                <w:szCs w:val="19"/>
                <w:color w:val="auto"/>
              </w:rPr>
            </w:pPr>
          </w:p>
        </w:tc>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Assuming dilution</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FF0FC"/>
          </w:tcPr>
          <w:p>
            <w:pPr>
              <w:spacing w:after="0"/>
              <w:rPr>
                <w:sz w:val="19"/>
                <w:szCs w:val="19"/>
                <w:color w:val="auto"/>
              </w:rPr>
            </w:pPr>
          </w:p>
        </w:tc>
      </w:tr>
      <w:tr>
        <w:trPr>
          <w:trHeight w:val="466"/>
        </w:trPr>
        <w:tc>
          <w:tcPr>
            <w:tcW w:w="22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c>
          <w:tcPr>
            <w:tcW w:w="6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Amounts may not add due to rounding.</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6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FF0FC"/>
            </w:tcBorders>
          </w:tcPr>
          <w:p>
            <w:pPr>
              <w:spacing w:after="0"/>
              <w:rPr>
                <w:sz w:val="24"/>
                <w:szCs w:val="24"/>
                <w:color w:val="auto"/>
              </w:rPr>
            </w:pPr>
          </w:p>
        </w:tc>
      </w:tr>
      <w:tr>
        <w:trPr>
          <w:trHeight w:val="21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Currency translation adjustments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Unrealized net change arising during the period</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Unrealized (loss) gain arising during the period</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to net income - impairment charge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Cash flow hedges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gain on cash flow hedges</w:t>
            </w:r>
          </w:p>
        </w:tc>
        <w:tc>
          <w:tcPr>
            <w:tcW w:w="2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Reclassification to net income of net realized gain (loss)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Pension and other postretirement benefit plans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Actuarial gain (loss)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Actuarial (loss) gain arising during the period</w:t>
            </w:r>
          </w:p>
        </w:tc>
        <w:tc>
          <w:tcPr>
            <w:tcW w:w="2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to net income of net actuarial loss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Prior service cost</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to net income of net prior service cost</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 on pension and other postretirement benefit plans</w:t>
            </w:r>
          </w:p>
        </w:tc>
        <w:tc>
          <w:tcPr>
            <w:tcW w:w="2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r>
      <w:tr>
        <w:trPr>
          <w:trHeight w:val="219"/>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tc>
        <w:tc>
          <w:tcPr>
            <w:tcW w:w="2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67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FF0FC"/>
            </w:tcBorders>
          </w:tcPr>
          <w:p>
            <w:pPr>
              <w:spacing w:after="0"/>
              <w:rPr>
                <w:sz w:val="19"/>
                <w:szCs w:val="19"/>
                <w:color w:val="auto"/>
              </w:rPr>
            </w:pPr>
          </w:p>
        </w:tc>
      </w:tr>
      <w:tr>
        <w:trPr>
          <w:trHeight w:val="219"/>
        </w:trPr>
        <w:tc>
          <w:tcPr>
            <w:tcW w:w="6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Comprehensive income attributable to Schlumberger</w:t>
            </w:r>
          </w:p>
        </w:tc>
        <w:tc>
          <w:tcPr>
            <w:tcW w:w="2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1,720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6"/>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36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2,793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10,241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Receivables less allowance for doubtful accounts (2015 - $333; 2014 - $275)</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8,780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taxes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1,134</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26,912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Fixed Income Investments, held to maturity</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Investments in Affiliated Companies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3,311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Fixed Assets less accumulated depreciation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13,415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Multiclient Seismic Data</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15,605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Intangible Assets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4,569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2,749</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68,005</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66,904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EQUITY</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8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7,727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Estimated liability for taxes on income</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1,203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 - current portion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Short-term borrowings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Dividends payable</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14,121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14,442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Postretirement Benefits</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Deferred Taxes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1,028</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32,100</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Equity</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12,693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Treasury stock</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(13,372)</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(11,772)</w:t>
            </w: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40,870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(4,558)</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(4,206)</w:t>
            </w:r>
          </w:p>
        </w:tc>
        <w:tc>
          <w:tcPr>
            <w:tcW w:w="0" w:type="dxa"/>
            <w:vAlign w:val="bottom"/>
          </w:tcPr>
          <w:p>
            <w:pPr>
              <w:spacing w:after="0"/>
              <w:rPr>
                <w:sz w:val="1"/>
                <w:szCs w:val="1"/>
                <w:color w:val="auto"/>
              </w:rPr>
            </w:pPr>
          </w:p>
        </w:tc>
      </w:tr>
      <w:tr>
        <w:trPr>
          <w:trHeight w:val="219"/>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Schlumberger stockholders' equity</w:t>
            </w: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35,633</w:t>
            </w: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35,905</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68,005</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66,904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34" w:name="page35"/>
    <w:bookmarkEnd w:id="34"/>
    <w:p>
      <w:pPr>
        <w:ind w:left="3680"/>
        <w:spacing w:after="0"/>
        <w:rPr>
          <w:sz w:val="20"/>
          <w:szCs w:val="20"/>
          <w:color w:val="auto"/>
        </w:rPr>
      </w:pPr>
      <w:r>
        <w:rPr>
          <w:rFonts w:ascii="Times New Roman" w:cs="Times New Roman" w:eastAsia="Times New Roman" w:hAnsi="Times New Roman"/>
          <w:sz w:val="18"/>
          <w:szCs w:val="18"/>
          <w:b w:val="1"/>
          <w:bCs w:val="1"/>
          <w:color w:val="auto"/>
        </w:rPr>
        <w:t>SCHLUMBERGER LIMITED AND SUBSIDIARIES</w:t>
      </w:r>
    </w:p>
    <w:p>
      <w:pPr>
        <w:spacing w:after="0" w:line="11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04"/>
        </w:trPr>
        <w:tc>
          <w:tcPr>
            <w:tcW w:w="6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3"/>
                <w:szCs w:val="13"/>
                <w:b w:val="1"/>
                <w:bCs w:val="1"/>
                <w:color w:val="auto"/>
              </w:rPr>
              <w:t>2015</w:t>
            </w: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3"/>
                <w:szCs w:val="13"/>
                <w:color w:val="auto"/>
              </w:rPr>
              <w:t>2014</w:t>
            </w:r>
          </w:p>
        </w:tc>
        <w:tc>
          <w:tcPr>
            <w:tcW w:w="2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3"/>
                <w:szCs w:val="13"/>
                <w:color w:val="auto"/>
              </w:rPr>
              <w:t>2013</w:t>
            </w:r>
          </w:p>
        </w:tc>
        <w:tc>
          <w:tcPr>
            <w:tcW w:w="100" w:type="dxa"/>
            <w:vAlign w:val="bottom"/>
            <w:tcBorders>
              <w:bottom w:val="single" w:sz="8" w:color="CFF0FC"/>
            </w:tcBorders>
          </w:tcPr>
          <w:p>
            <w:pPr>
              <w:spacing w:after="0"/>
              <w:rPr>
                <w:sz w:val="24"/>
                <w:szCs w:val="24"/>
                <w:color w:val="auto"/>
              </w:rPr>
            </w:pPr>
          </w:p>
        </w:tc>
      </w:tr>
      <w:tr>
        <w:trPr>
          <w:trHeight w:val="20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1"/>
        </w:trPr>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2,135</w:t>
            </w:r>
          </w:p>
        </w:tc>
        <w:tc>
          <w:tcPr>
            <w:tcW w:w="16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5,506</w:t>
            </w:r>
          </w:p>
        </w:tc>
        <w:tc>
          <w:tcPr>
            <w:tcW w:w="260" w:type="dxa"/>
            <w:vAlign w:val="bottom"/>
          </w:tcPr>
          <w:p>
            <w:pPr>
              <w:spacing w:after="0"/>
              <w:rPr>
                <w:sz w:val="18"/>
                <w:szCs w:val="18"/>
                <w:color w:val="auto"/>
              </w:rPr>
            </w:pP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6,774</w:t>
            </w:r>
          </w:p>
        </w:tc>
        <w:tc>
          <w:tcPr>
            <w:tcW w:w="100" w:type="dxa"/>
            <w:vAlign w:val="bottom"/>
          </w:tcPr>
          <w:p>
            <w:pPr>
              <w:spacing w:after="0"/>
              <w:rPr>
                <w:sz w:val="18"/>
                <w:szCs w:val="18"/>
                <w:color w:val="auto"/>
              </w:rPr>
            </w:pPr>
          </w:p>
        </w:tc>
      </w:tr>
      <w:tr>
        <w:trPr>
          <w:trHeight w:val="214"/>
        </w:trPr>
        <w:tc>
          <w:tcPr>
            <w:tcW w:w="67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Add: Loss from discontinued operations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FF0FC"/>
          </w:tcPr>
          <w:p>
            <w:pPr>
              <w:spacing w:after="0"/>
              <w:rPr>
                <w:sz w:val="18"/>
                <w:szCs w:val="18"/>
                <w:color w:val="auto"/>
              </w:rPr>
            </w:pPr>
          </w:p>
        </w:tc>
      </w:tr>
      <w:tr>
        <w:trPr>
          <w:trHeight w:val="210"/>
        </w:trPr>
        <w:tc>
          <w:tcPr>
            <w:tcW w:w="6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7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Gain on formation of OneSubsea</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(1,028)</w:t>
            </w:r>
          </w:p>
        </w:tc>
      </w:tr>
      <w:tr>
        <w:trPr>
          <w:trHeight w:val="211"/>
        </w:trPr>
        <w:tc>
          <w:tcPr>
            <w:tcW w:w="67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Impairments and other charges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tcPr>
          <w:p>
            <w:pPr>
              <w:spacing w:after="0"/>
              <w:rPr>
                <w:sz w:val="18"/>
                <w:szCs w:val="18"/>
                <w:color w:val="auto"/>
              </w:rPr>
            </w:pPr>
          </w:p>
        </w:tc>
      </w:tr>
      <w:tr>
        <w:trPr>
          <w:trHeight w:val="214"/>
        </w:trPr>
        <w:tc>
          <w:tcPr>
            <w:tcW w:w="6720" w:type="dxa"/>
            <w:vAlign w:val="bottom"/>
            <w:shd w:val="clear" w:color="auto" w:fill="CFF0FC"/>
          </w:tcPr>
          <w:p>
            <w:pPr>
              <w:ind w:left="620"/>
              <w:spacing w:after="0" w:line="214" w:lineRule="exact"/>
              <w:rPr>
                <w:sz w:val="20"/>
                <w:szCs w:val="20"/>
                <w:color w:val="auto"/>
              </w:rPr>
            </w:pPr>
            <w:r>
              <w:rPr>
                <w:rFonts w:ascii="Times New Roman" w:cs="Times New Roman" w:eastAsia="Times New Roman" w:hAnsi="Times New Roman"/>
                <w:sz w:val="15"/>
                <w:szCs w:val="15"/>
                <w:color w:val="auto"/>
              </w:rPr>
              <w:t xml:space="preserve">Depreciation and amortization </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4,078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3,879</w:t>
            </w:r>
          </w:p>
        </w:tc>
        <w:tc>
          <w:tcPr>
            <w:tcW w:w="100" w:type="dxa"/>
            <w:vAlign w:val="bottom"/>
            <w:shd w:val="clear" w:color="auto" w:fill="CFF0FC"/>
          </w:tcPr>
          <w:p>
            <w:pPr>
              <w:spacing w:after="0"/>
              <w:rPr>
                <w:sz w:val="18"/>
                <w:szCs w:val="18"/>
                <w:color w:val="auto"/>
              </w:rPr>
            </w:pPr>
          </w:p>
        </w:tc>
      </w:tr>
      <w:tr>
        <w:trPr>
          <w:trHeight w:val="211"/>
        </w:trPr>
        <w:tc>
          <w:tcPr>
            <w:tcW w:w="67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Pension and other postretirement benefits expense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18"/>
                <w:szCs w:val="18"/>
                <w:color w:val="auto"/>
              </w:rPr>
            </w:pPr>
          </w:p>
        </w:tc>
      </w:tr>
      <w:tr>
        <w:trPr>
          <w:trHeight w:val="214"/>
        </w:trPr>
        <w:tc>
          <w:tcPr>
            <w:tcW w:w="67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shd w:val="clear" w:color="auto" w:fill="CFF0FC"/>
          </w:tcPr>
          <w:p>
            <w:pPr>
              <w:spacing w:after="0"/>
              <w:rPr>
                <w:sz w:val="18"/>
                <w:szCs w:val="18"/>
                <w:color w:val="auto"/>
              </w:rPr>
            </w:pPr>
          </w:p>
        </w:tc>
      </w:tr>
      <w:tr>
        <w:trPr>
          <w:trHeight w:val="211"/>
        </w:trPr>
        <w:tc>
          <w:tcPr>
            <w:tcW w:w="67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Pension and other postretirement benefits funding</w:t>
            </w: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(538)</w:t>
            </w:r>
          </w:p>
        </w:tc>
      </w:tr>
      <w:tr>
        <w:trPr>
          <w:trHeight w:val="214"/>
        </w:trPr>
        <w:tc>
          <w:tcPr>
            <w:tcW w:w="67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Earnings of equity method investments, less dividends received</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(125)</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(113)</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(71)</w:t>
            </w:r>
          </w:p>
        </w:tc>
      </w:tr>
      <w:tr>
        <w:trPr>
          <w:trHeight w:val="213"/>
        </w:trPr>
        <w:tc>
          <w:tcPr>
            <w:tcW w:w="6720" w:type="dxa"/>
            <w:vAlign w:val="bottom"/>
          </w:tcPr>
          <w:p>
            <w:pPr>
              <w:ind w:left="240"/>
              <w:spacing w:after="0" w:line="212" w:lineRule="exact"/>
              <w:rPr>
                <w:sz w:val="20"/>
                <w:szCs w:val="20"/>
                <w:color w:val="auto"/>
              </w:rPr>
            </w:pPr>
            <w:r>
              <w:rPr>
                <w:rFonts w:ascii="Times New Roman" w:cs="Times New Roman" w:eastAsia="Times New Roman" w:hAnsi="Times New Roman"/>
                <w:sz w:val="15"/>
                <w:szCs w:val="15"/>
                <w:color w:val="auto"/>
              </w:rPr>
              <w:t xml:space="preserve">Change in assets and liabilities: </w:t>
            </w:r>
            <w:r>
              <w:rPr>
                <w:rFonts w:ascii="Times New Roman" w:cs="Times New Roman" w:eastAsia="Times New Roman" w:hAnsi="Times New Roman"/>
                <w:sz w:val="24"/>
                <w:szCs w:val="24"/>
                <w:color w:val="auto"/>
                <w:vertAlign w:val="superscript"/>
              </w:rPr>
              <w:t>(2)</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7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Decrease (increase) in receivables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2,176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(187)</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(803)</w:t>
            </w:r>
          </w:p>
        </w:tc>
      </w:tr>
      <w:tr>
        <w:trPr>
          <w:trHeight w:val="211"/>
        </w:trPr>
        <w:tc>
          <w:tcPr>
            <w:tcW w:w="67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Decrease (increase) in inventories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8"/>
                <w:szCs w:val="18"/>
                <w:color w:val="auto"/>
              </w:rPr>
            </w:pPr>
          </w:p>
        </w:tc>
      </w:tr>
      <w:tr>
        <w:trPr>
          <w:trHeight w:val="214"/>
        </w:trPr>
        <w:tc>
          <w:tcPr>
            <w:tcW w:w="67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Decrease in other current assets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FF0FC"/>
          </w:tcPr>
          <w:p>
            <w:pPr>
              <w:spacing w:after="0"/>
              <w:rPr>
                <w:sz w:val="18"/>
                <w:szCs w:val="18"/>
                <w:color w:val="auto"/>
              </w:rPr>
            </w:pPr>
          </w:p>
        </w:tc>
      </w:tr>
      <w:tr>
        <w:trPr>
          <w:trHeight w:val="211"/>
        </w:trPr>
        <w:tc>
          <w:tcPr>
            <w:tcW w:w="67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Decrease (increase) in other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w:t>
            </w:r>
          </w:p>
        </w:tc>
      </w:tr>
      <w:tr>
        <w:trPr>
          <w:trHeight w:val="214"/>
        </w:trPr>
        <w:tc>
          <w:tcPr>
            <w:tcW w:w="67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(Decrease) increase in accounts payable and accrued liabilities</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(2,656)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shd w:val="clear" w:color="auto" w:fill="CFF0FC"/>
          </w:tcPr>
          <w:p>
            <w:pPr>
              <w:spacing w:after="0"/>
              <w:rPr>
                <w:sz w:val="18"/>
                <w:szCs w:val="18"/>
                <w:color w:val="auto"/>
              </w:rPr>
            </w:pPr>
          </w:p>
        </w:tc>
      </w:tr>
      <w:tr>
        <w:trPr>
          <w:trHeight w:val="211"/>
        </w:trPr>
        <w:tc>
          <w:tcPr>
            <w:tcW w:w="67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(Decrease) increase in estimated liability for taxes on income</w:t>
            </w: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r>
      <w:tr>
        <w:trPr>
          <w:trHeight w:val="214"/>
        </w:trPr>
        <w:tc>
          <w:tcPr>
            <w:tcW w:w="67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Increase (decrease) in other liabilities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FF0FC"/>
          </w:tcPr>
          <w:p>
            <w:pPr>
              <w:spacing w:after="0"/>
              <w:rPr>
                <w:sz w:val="18"/>
                <w:szCs w:val="18"/>
                <w:color w:val="auto"/>
              </w:rPr>
            </w:pPr>
          </w:p>
        </w:tc>
      </w:tr>
      <w:tr>
        <w:trPr>
          <w:trHeight w:val="211"/>
        </w:trPr>
        <w:tc>
          <w:tcPr>
            <w:tcW w:w="67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r>
      <w:tr>
        <w:trPr>
          <w:trHeight w:val="207"/>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8,805</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11,195</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10,690</w:t>
            </w: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6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(2,410)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(3,976)</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(3,943)</w:t>
            </w:r>
          </w:p>
        </w:tc>
      </w:tr>
      <w:tr>
        <w:trPr>
          <w:trHeight w:val="211"/>
        </w:trPr>
        <w:tc>
          <w:tcPr>
            <w:tcW w:w="6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SPM investments</w:t>
            </w: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(902)</w:t>
            </w:r>
          </w:p>
        </w:tc>
      </w:tr>
      <w:tr>
        <w:trPr>
          <w:trHeight w:val="214"/>
        </w:trPr>
        <w:tc>
          <w:tcPr>
            <w:tcW w:w="6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Multiclient seismic data capitalized</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(486)</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(321)</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(394)</w:t>
            </w:r>
          </w:p>
        </w:tc>
      </w:tr>
      <w:tr>
        <w:trPr>
          <w:trHeight w:val="211"/>
        </w:trPr>
        <w:tc>
          <w:tcPr>
            <w:tcW w:w="6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Business acquisitions and investments, net of cash acquired</w:t>
            </w: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(1,210)</w:t>
            </w:r>
          </w:p>
        </w:tc>
      </w:tr>
      <w:tr>
        <w:trPr>
          <w:trHeight w:val="214"/>
        </w:trPr>
        <w:tc>
          <w:tcPr>
            <w:tcW w:w="6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(Purchase) sale of investments, net</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(5,848)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(648)</w:t>
            </w:r>
          </w:p>
        </w:tc>
      </w:tr>
      <w:tr>
        <w:trPr>
          <w:trHeight w:val="211"/>
        </w:trPr>
        <w:tc>
          <w:tcPr>
            <w:tcW w:w="6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8"/>
                <w:szCs w:val="18"/>
                <w:color w:val="auto"/>
              </w:rPr>
            </w:pPr>
          </w:p>
        </w:tc>
      </w:tr>
      <w:tr>
        <w:trPr>
          <w:trHeight w:val="207"/>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(10,252)</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(5,580)</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(6,879)</w:t>
            </w: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6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Dividends paid</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(2,419)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(1,968)</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(1,608)</w:t>
            </w:r>
          </w:p>
        </w:tc>
      </w:tr>
      <w:tr>
        <w:trPr>
          <w:trHeight w:val="211"/>
        </w:trPr>
        <w:tc>
          <w:tcPr>
            <w:tcW w:w="6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8"/>
                <w:szCs w:val="18"/>
                <w:color w:val="auto"/>
              </w:rPr>
            </w:pPr>
          </w:p>
        </w:tc>
      </w:tr>
      <w:tr>
        <w:trPr>
          <w:trHeight w:val="214"/>
        </w:trPr>
        <w:tc>
          <w:tcPr>
            <w:tcW w:w="6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FF0FC"/>
          </w:tcPr>
          <w:p>
            <w:pPr>
              <w:spacing w:after="0"/>
              <w:rPr>
                <w:sz w:val="18"/>
                <w:szCs w:val="18"/>
                <w:color w:val="auto"/>
              </w:rPr>
            </w:pPr>
          </w:p>
        </w:tc>
      </w:tr>
      <w:tr>
        <w:trPr>
          <w:trHeight w:val="211"/>
        </w:trPr>
        <w:tc>
          <w:tcPr>
            <w:tcW w:w="6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 repurchase program</w:t>
            </w: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(2,182)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(2,596)</w:t>
            </w:r>
          </w:p>
        </w:tc>
      </w:tr>
      <w:tr>
        <w:trPr>
          <w:trHeight w:val="214"/>
        </w:trPr>
        <w:tc>
          <w:tcPr>
            <w:tcW w:w="6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9,565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4,554</w:t>
            </w:r>
          </w:p>
        </w:tc>
        <w:tc>
          <w:tcPr>
            <w:tcW w:w="100" w:type="dxa"/>
            <w:vAlign w:val="bottom"/>
            <w:shd w:val="clear" w:color="auto" w:fill="CFF0FC"/>
          </w:tcPr>
          <w:p>
            <w:pPr>
              <w:spacing w:after="0"/>
              <w:rPr>
                <w:sz w:val="18"/>
                <w:szCs w:val="18"/>
                <w:color w:val="auto"/>
              </w:rPr>
            </w:pPr>
          </w:p>
        </w:tc>
      </w:tr>
      <w:tr>
        <w:trPr>
          <w:trHeight w:val="211"/>
        </w:trPr>
        <w:tc>
          <w:tcPr>
            <w:tcW w:w="6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(3,771)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(3,141)</w:t>
            </w:r>
          </w:p>
        </w:tc>
      </w:tr>
      <w:tr>
        <w:trPr>
          <w:trHeight w:val="214"/>
        </w:trPr>
        <w:tc>
          <w:tcPr>
            <w:tcW w:w="6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(decrease) increase in short-term borrowings</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FF0FC"/>
          </w:tcPr>
          <w:p>
            <w:pPr>
              <w:spacing w:after="0"/>
              <w:rPr>
                <w:sz w:val="18"/>
                <w:szCs w:val="18"/>
                <w:color w:val="auto"/>
              </w:rPr>
            </w:pPr>
          </w:p>
        </w:tc>
      </w:tr>
      <w:tr>
        <w:trPr>
          <w:trHeight w:val="211"/>
        </w:trPr>
        <w:tc>
          <w:tcPr>
            <w:tcW w:w="6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r>
      <w:tr>
        <w:trPr>
          <w:trHeight w:val="207"/>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1,374</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(5,896)</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100" w:type="dxa"/>
            <w:vAlign w:val="bottom"/>
            <w:tcBorders>
              <w:top w:val="single" w:sz="8" w:color="CFF0FC"/>
            </w:tcBorders>
            <w:shd w:val="clear" w:color="auto" w:fill="CFF0FC"/>
          </w:tcPr>
          <w:p>
            <w:pPr>
              <w:spacing w:after="0"/>
              <w:rPr>
                <w:sz w:val="18"/>
                <w:szCs w:val="18"/>
                <w:color w:val="auto"/>
              </w:rPr>
            </w:pPr>
          </w:p>
        </w:tc>
      </w:tr>
      <w:tr>
        <w:trPr>
          <w:trHeight w:val="205"/>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Cash flow (used in) provided by discontinued operations - operating activities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214"/>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 used in discontinued operations - investing activities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w:t>
            </w:r>
          </w:p>
        </w:tc>
      </w:tr>
      <w:tr>
        <w:trPr>
          <w:trHeight w:val="205"/>
        </w:trPr>
        <w:tc>
          <w:tcPr>
            <w:tcW w:w="6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flow (used in) provided by discontinued operations</w:t>
            </w: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(233)</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FF0FC"/>
            </w:tcBorders>
          </w:tcPr>
          <w:p>
            <w:pPr>
              <w:spacing w:after="0"/>
              <w:rPr>
                <w:sz w:val="17"/>
                <w:szCs w:val="17"/>
                <w:color w:val="auto"/>
              </w:rPr>
            </w:pPr>
          </w:p>
        </w:tc>
      </w:tr>
      <w:tr>
        <w:trPr>
          <w:trHeight w:val="207"/>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increase in cash before translation effect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00" w:type="dxa"/>
            <w:vAlign w:val="bottom"/>
            <w:shd w:val="clear" w:color="auto" w:fill="CFF0FC"/>
          </w:tcPr>
          <w:p>
            <w:pPr>
              <w:spacing w:after="0"/>
              <w:rPr>
                <w:sz w:val="18"/>
                <w:szCs w:val="18"/>
                <w:color w:val="auto"/>
              </w:rPr>
            </w:pPr>
          </w:p>
        </w:tc>
      </w:tr>
      <w:tr>
        <w:trPr>
          <w:trHeight w:val="211"/>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Translation effect on cash</w:t>
            </w: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r>
      <w:tr>
        <w:trPr>
          <w:trHeight w:val="214"/>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beginning of period</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3,130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00" w:type="dxa"/>
            <w:vAlign w:val="bottom"/>
            <w:shd w:val="clear" w:color="auto" w:fill="CFF0FC"/>
          </w:tcPr>
          <w:p>
            <w:pPr>
              <w:spacing w:after="0"/>
              <w:rPr>
                <w:sz w:val="18"/>
                <w:szCs w:val="18"/>
                <w:color w:val="auto"/>
              </w:rPr>
            </w:pPr>
          </w:p>
        </w:tc>
      </w:tr>
      <w:tr>
        <w:trPr>
          <w:trHeight w:val="205"/>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Cash, end of period</w:t>
            </w:r>
          </w:p>
        </w:tc>
        <w:tc>
          <w:tcPr>
            <w:tcW w:w="3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3,472</w:t>
            </w:r>
          </w:p>
        </w:tc>
        <w:tc>
          <w:tcPr>
            <w:tcW w:w="100" w:type="dxa"/>
            <w:vAlign w:val="bottom"/>
          </w:tcPr>
          <w:p>
            <w:pPr>
              <w:spacing w:after="0"/>
              <w:rPr>
                <w:sz w:val="17"/>
                <w:szCs w:val="17"/>
                <w:color w:val="auto"/>
              </w:rPr>
            </w:pPr>
          </w:p>
        </w:tc>
      </w:tr>
      <w:tr>
        <w:trPr>
          <w:trHeight w:val="20"/>
        </w:trPr>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520" w:hanging="514"/>
        <w:spacing w:after="0"/>
        <w:tabs>
          <w:tab w:leader="none" w:pos="520" w:val="left"/>
        </w:tabs>
        <w:numPr>
          <w:ilvl w:val="0"/>
          <w:numId w:val="2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Includes depreciation of property, plant and equipment and amortization of intangible assets, multiclient seismic data costs and SPM investments.</w:t>
      </w:r>
    </w:p>
    <w:p>
      <w:pPr>
        <w:ind w:left="520" w:hanging="514"/>
        <w:spacing w:after="0" w:line="192" w:lineRule="auto"/>
        <w:tabs>
          <w:tab w:leader="none" w:pos="52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Net of the effect of business acquisitions and divestitures.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35" w:name="page36"/>
    <w:bookmarkEnd w:id="35"/>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SCHLUMBERGER LIMITED AND SUBSIDIARIES</w:t>
      </w:r>
    </w:p>
    <w:p>
      <w:pPr>
        <w:spacing w:after="0" w:line="1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(Stated in million</w:t>
            </w:r>
          </w:p>
        </w:tc>
      </w:tr>
      <w:tr>
        <w:trPr>
          <w:trHeight w:val="292"/>
        </w:trPr>
        <w:tc>
          <w:tcPr>
            <w:tcW w:w="3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59"/>
        </w:trPr>
        <w:tc>
          <w:tcPr>
            <w:tcW w:w="3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71"/>
        </w:trPr>
        <w:tc>
          <w:tcPr>
            <w:tcW w:w="3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4"/>
                <w:szCs w:val="14"/>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Noncontrolling</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19"/>
        </w:trPr>
        <w:tc>
          <w:tcPr>
            <w:tcW w:w="3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14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53"/>
        </w:trPr>
        <w:tc>
          <w:tcPr>
            <w:tcW w:w="3920" w:type="dxa"/>
            <w:vAlign w:val="bottom"/>
            <w:tcBorders>
              <w:top w:val="single" w:sz="8" w:color="CFF0FC"/>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Balance, January 1, 2013</w:t>
            </w:r>
          </w:p>
        </w:tc>
        <w:tc>
          <w:tcPr>
            <w:tcW w:w="8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11,912</w:t>
            </w:r>
          </w:p>
        </w:tc>
        <w:tc>
          <w:tcPr>
            <w:tcW w:w="240" w:type="dxa"/>
            <w:vAlign w:val="bottom"/>
            <w:tcBorders>
              <w:top w:val="single" w:sz="8" w:color="CFF0FC"/>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jc w:val="right"/>
              <w:ind w:right="26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(6,160)</w:t>
            </w:r>
          </w:p>
        </w:tc>
        <w:tc>
          <w:tcPr>
            <w:tcW w:w="2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32,887</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(3,888)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107</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34,85</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6,732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6,77</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Currency translation adjustments</w:t>
            </w: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(15</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Changes in fair value of marketable securities</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Changes in fair value of cash flow hedges</w:t>
            </w: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1,451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1,45</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Shares sold to optionees, less shares exchanged</w:t>
            </w: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(44)</w:t>
            </w:r>
          </w:p>
        </w:tc>
        <w:tc>
          <w:tcPr>
            <w:tcW w:w="4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311</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26</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(56)</w:t>
            </w:r>
          </w:p>
        </w:tc>
        <w:tc>
          <w:tcPr>
            <w:tcW w:w="42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18</w:t>
            </w: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252</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27</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Stock repurchase program</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(2,596)</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(2,59</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315</w:t>
            </w: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31</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Dividends declared ($1.25 per share)</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(1,653)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(1,65</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Other</w:t>
            </w:r>
          </w:p>
        </w:tc>
        <w:tc>
          <w:tcPr>
            <w:tcW w:w="8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47</w:t>
            </w:r>
          </w:p>
        </w:tc>
        <w:tc>
          <w:tcPr>
            <w:tcW w:w="240" w:type="dxa"/>
            <w:vAlign w:val="bottom"/>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17</w:t>
            </w:r>
          </w:p>
        </w:tc>
        <w:tc>
          <w:tcPr>
            <w:tcW w:w="2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w:t>
            </w:r>
          </w:p>
        </w:tc>
      </w:tr>
      <w:tr>
        <w:trPr>
          <w:trHeight w:val="153"/>
        </w:trPr>
        <w:tc>
          <w:tcPr>
            <w:tcW w:w="39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Balance, December 31, 2013</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12,192</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(8,135)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37,966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(2,554)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166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39,63</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5,438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68</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5,50</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Currency translation adjustments</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(463)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(46</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Changes in fair value of marketable securities</w:t>
            </w: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(166)</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(16</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Changes in fair value of cash flow hedges</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(12</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(898)</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(89</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Shares sold to optionees, less shares exchanged</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(26)</w:t>
            </w:r>
          </w:p>
        </w:tc>
        <w:tc>
          <w:tcPr>
            <w:tcW w:w="42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556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53</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(79)</w:t>
            </w:r>
          </w:p>
        </w:tc>
        <w:tc>
          <w:tcPr>
            <w:tcW w:w="4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79</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33</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262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29</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Stock repurchase program</w:t>
            </w: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(4,678)</w:t>
            </w: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(4,67</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329</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32</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Dividends declared ($1.60 per share)</w:t>
            </w: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(2,071)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(2,07</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Shares issued for acquisition</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72</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141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21</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Other</w:t>
            </w: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(26)</w:t>
            </w:r>
          </w:p>
        </w:tc>
        <w:tc>
          <w:tcPr>
            <w:tcW w:w="4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09"/>
              <w:spacing w:after="0" w:line="159" w:lineRule="exact"/>
              <w:rPr>
                <w:sz w:val="20"/>
                <w:szCs w:val="20"/>
                <w:color w:val="auto"/>
              </w:rPr>
            </w:pPr>
            <w:r>
              <w:rPr>
                <w:rFonts w:ascii="Times New Roman" w:cs="Times New Roman" w:eastAsia="Times New Roman" w:hAnsi="Times New Roman"/>
                <w:sz w:val="14"/>
                <w:szCs w:val="14"/>
                <w:color w:val="auto"/>
              </w:rPr>
              <w:t>(35)</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(5</w:t>
            </w:r>
          </w:p>
        </w:tc>
      </w:tr>
      <w:tr>
        <w:trPr>
          <w:trHeight w:val="153"/>
        </w:trPr>
        <w:tc>
          <w:tcPr>
            <w:tcW w:w="39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Balance, December 31, 2014</w:t>
            </w:r>
          </w:p>
        </w:tc>
        <w:tc>
          <w:tcPr>
            <w:tcW w:w="8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12,495</w:t>
            </w:r>
          </w:p>
        </w:tc>
        <w:tc>
          <w:tcPr>
            <w:tcW w:w="24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(11,772)</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41,333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(4,206)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199</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38,04</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2,072</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63</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2,13</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Currency translation adjustments</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(522)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(52</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Changes in fair value of marketable securities</w:t>
            </w: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Changes in fair value of cash flow hedges</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123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12</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Shares sold to optionees, less shares exchanged</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(38)</w:t>
            </w:r>
          </w:p>
        </w:tc>
        <w:tc>
          <w:tcPr>
            <w:tcW w:w="42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190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15</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(112)</w:t>
            </w:r>
          </w:p>
        </w:tc>
        <w:tc>
          <w:tcPr>
            <w:tcW w:w="4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112</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279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29</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Stock repurchase program</w:t>
            </w: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(2,182)</w:t>
            </w: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(2,18</w:t>
            </w:r>
          </w:p>
        </w:tc>
      </w:tr>
      <w:tr>
        <w:trPr>
          <w:trHeight w:val="159"/>
        </w:trPr>
        <w:tc>
          <w:tcPr>
            <w:tcW w:w="392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326</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32</w:t>
            </w:r>
          </w:p>
        </w:tc>
      </w:tr>
      <w:tr>
        <w:trPr>
          <w:trHeight w:val="159"/>
        </w:trPr>
        <w:tc>
          <w:tcPr>
            <w:tcW w:w="3920" w:type="dxa"/>
            <w:vAlign w:val="bottom"/>
            <w:shd w:val="clear" w:color="auto" w:fill="CFF0FC"/>
          </w:tcPr>
          <w:p>
            <w:pPr>
              <w:ind w:left="240"/>
              <w:spacing w:after="0" w:line="159" w:lineRule="exact"/>
              <w:rPr>
                <w:sz w:val="20"/>
                <w:szCs w:val="20"/>
                <w:color w:val="auto"/>
              </w:rPr>
            </w:pPr>
            <w:r>
              <w:rPr>
                <w:rFonts w:ascii="Times New Roman" w:cs="Times New Roman" w:eastAsia="Times New Roman" w:hAnsi="Times New Roman"/>
                <w:sz w:val="14"/>
                <w:szCs w:val="14"/>
                <w:color w:val="auto"/>
              </w:rPr>
              <w:t>Dividends declared ($2.00 per share)</w:t>
            </w: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(2,535)</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(2,53</w:t>
            </w:r>
          </w:p>
        </w:tc>
      </w:tr>
      <w:tr>
        <w:trPr>
          <w:trHeight w:val="159"/>
        </w:trPr>
        <w:tc>
          <w:tcPr>
            <w:tcW w:w="3920" w:type="dxa"/>
            <w:vAlign w:val="bottom"/>
            <w:tcBorders>
              <w:bottom w:val="single" w:sz="8" w:color="CFF0FC"/>
            </w:tcBorders>
          </w:tcPr>
          <w:p>
            <w:pPr>
              <w:ind w:left="240"/>
              <w:spacing w:after="0" w:line="159" w:lineRule="exact"/>
              <w:rPr>
                <w:sz w:val="20"/>
                <w:szCs w:val="20"/>
                <w:color w:val="auto"/>
              </w:rPr>
            </w:pPr>
            <w:r>
              <w:rPr>
                <w:rFonts w:ascii="Times New Roman" w:cs="Times New Roman" w:eastAsia="Times New Roman" w:hAnsi="Times New Roman"/>
                <w:sz w:val="14"/>
                <w:szCs w:val="14"/>
                <w:color w:val="auto"/>
              </w:rPr>
              <w:t>Other</w:t>
            </w:r>
          </w:p>
        </w:tc>
        <w:tc>
          <w:tcPr>
            <w:tcW w:w="8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5</w:t>
            </w:r>
          </w:p>
        </w:tc>
        <w:tc>
          <w:tcPr>
            <w:tcW w:w="24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r>
      <w:tr>
        <w:trPr>
          <w:trHeight w:val="153"/>
        </w:trPr>
        <w:tc>
          <w:tcPr>
            <w:tcW w:w="3920" w:type="dxa"/>
            <w:vAlign w:val="bottom"/>
            <w:tcBorders>
              <w:bottom w:val="single" w:sz="8" w:color="CFF0FC"/>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Balance, December 31, 2015</w:t>
            </w:r>
          </w:p>
        </w:tc>
        <w:tc>
          <w:tcPr>
            <w:tcW w:w="82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12,693</w:t>
            </w:r>
          </w:p>
        </w:tc>
        <w:tc>
          <w:tcPr>
            <w:tcW w:w="240" w:type="dxa"/>
            <w:vAlign w:val="bottom"/>
            <w:tcBorders>
              <w:bottom w:val="single" w:sz="8" w:color="CFF0FC"/>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ind w:right="26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(13,372)</w:t>
            </w:r>
          </w:p>
        </w:tc>
        <w:tc>
          <w:tcPr>
            <w:tcW w:w="2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40,870</w:t>
            </w: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(4,558)</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272</w:t>
            </w: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35,90</w:t>
            </w:r>
          </w:p>
        </w:tc>
      </w:tr>
      <w:tr>
        <w:trPr>
          <w:trHeight w:val="20"/>
        </w:trPr>
        <w:tc>
          <w:tcPr>
            <w:tcW w:w="3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20"/>
          </w:cols>
          <w:pgMar w:left="240" w:top="119" w:right="1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COMMON STOCK</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63"/>
        </w:trPr>
        <w:tc>
          <w:tcPr>
            <w:tcW w:w="6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33"/>
        </w:trPr>
        <w:tc>
          <w:tcPr>
            <w:tcW w:w="6720" w:type="dxa"/>
            <w:vAlign w:val="bottom"/>
          </w:tcPr>
          <w:p>
            <w:pPr>
              <w:spacing w:after="0"/>
              <w:rPr>
                <w:sz w:val="20"/>
                <w:szCs w:val="20"/>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In Treasury</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19"/>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2013</w:t>
            </w:r>
          </w:p>
        </w:tc>
        <w:tc>
          <w:tcPr>
            <w:tcW w:w="9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1,434</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7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Shares sold to optionees, less shares exchanged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r>
      <w:tr>
        <w:trPr>
          <w:trHeight w:val="226"/>
        </w:trPr>
        <w:tc>
          <w:tcPr>
            <w:tcW w:w="7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 repurchase program</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1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2013</w:t>
            </w:r>
          </w:p>
        </w:tc>
        <w:tc>
          <w:tcPr>
            <w:tcW w:w="9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1,434</w:t>
            </w:r>
          </w:p>
        </w:tc>
        <w:tc>
          <w:tcPr>
            <w:tcW w:w="26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Shares sold to optionees, less shares exchanged</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9"/>
                <w:szCs w:val="19"/>
                <w:color w:val="auto"/>
              </w:rPr>
            </w:pPr>
          </w:p>
        </w:tc>
      </w:tr>
      <w:tr>
        <w:trPr>
          <w:trHeight w:val="226"/>
        </w:trPr>
        <w:tc>
          <w:tcPr>
            <w:tcW w:w="7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r>
      <w:tr>
        <w:trPr>
          <w:trHeight w:val="226"/>
        </w:trPr>
        <w:tc>
          <w:tcPr>
            <w:tcW w:w="7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Shares issued for acquisition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 repurchase program</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1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9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1,434</w:t>
            </w:r>
          </w:p>
        </w:tc>
        <w:tc>
          <w:tcPr>
            <w:tcW w:w="26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Shares sold to optionees, less shares exchanged</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r>
      <w:tr>
        <w:trPr>
          <w:trHeight w:val="226"/>
        </w:trPr>
        <w:tc>
          <w:tcPr>
            <w:tcW w:w="7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r>
      <w:tr>
        <w:trPr>
          <w:trHeight w:val="226"/>
        </w:trPr>
        <w:tc>
          <w:tcPr>
            <w:tcW w:w="7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 repurchase program</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9"/>
        </w:trPr>
        <w:tc>
          <w:tcPr>
            <w:tcW w:w="6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2015</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1,434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45" w:lineRule="exact"/>
        <w:rPr>
          <w:sz w:val="20"/>
          <w:szCs w:val="20"/>
          <w:color w:val="auto"/>
        </w:rPr>
      </w:pPr>
    </w:p>
    <w:p>
      <w:pPr>
        <w:ind w:left="180" w:hanging="174"/>
        <w:spacing w:after="0"/>
        <w:tabs>
          <w:tab w:leader="none" w:pos="1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Business Description</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Schlumberger Limited (Schlumberger N.V., incorporated in Curaçao) and its consolidated subsidiaries (collectively, “Schlumberger”) comprise the world’s leading supplier of technology, integrated project management and information solutions to the international oil and gas exploration and production industry.</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On August 26, 2015, Schlumberger and Cameron International Corporations (Cameron) jointly announced that they had entered into a definitive merger agreement in which Cameron will merge with an indirect wholly-owned subsidiary of Schlumberger in a stock and cash transaction. </w:t>
      </w:r>
      <w:r>
        <w:rPr>
          <w:rFonts w:ascii="Times New Roman" w:cs="Times New Roman" w:eastAsia="Times New Roman" w:hAnsi="Times New Roman"/>
          <w:sz w:val="18"/>
          <w:szCs w:val="18"/>
          <w:color w:val="231F20"/>
        </w:rPr>
        <w:t>Cameron designs,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manufactures, markets and services equipment used by the oil and gas industry and industrial manufacturing companies. </w:t>
      </w:r>
      <w:r>
        <w:rPr>
          <w:rFonts w:ascii="Times New Roman" w:cs="Times New Roman" w:eastAsia="Times New Roman" w:hAnsi="Times New Roman"/>
          <w:sz w:val="18"/>
          <w:szCs w:val="18"/>
          <w:color w:val="000000"/>
        </w:rPr>
        <w:t>Under the terms of the merger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agreement, Cameron shareholders will receive 0.716 shares of Schlumberger common stock and a cash payment of $14.44 in exchange for each Cameron share of common stock outstanding. Schlumberger estimates that it will issue approximately 137 million shares of its common stock and pay cash of approximately $2.8 billion in connection with this transaction. The transaction remains subject to certain regulatory approvals and customary closing conditions. It is anticipated that the closing of the transaction will occur in the first quarter of 2016. Cameron reported revenue of $10.4 billion for the year ended December 31, 2014.</w:t>
      </w:r>
    </w:p>
    <w:p>
      <w:pPr>
        <w:spacing w:after="0" w:line="293" w:lineRule="exact"/>
        <w:rPr>
          <w:sz w:val="20"/>
          <w:szCs w:val="20"/>
          <w:color w:val="auto"/>
        </w:rPr>
      </w:pPr>
    </w:p>
    <w:p>
      <w:pPr>
        <w:ind w:left="180" w:hanging="174"/>
        <w:spacing w:after="0"/>
        <w:tabs>
          <w:tab w:leader="none" w:pos="1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Summary of Accounting Policies</w:t>
      </w:r>
    </w:p>
    <w:p>
      <w:pPr>
        <w:spacing w:after="0" w:line="1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of Schlumberger have been prepared in accordance with accounting principles generally accepted in the United States of America.</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reported amounts of assets and liabilities, disclosure of contingent liabilities at the date of the financial statements and the reported amounts of revenue and expenses during the reporting period. On an ongoing basis, Schlumberger evaluates its estimates, including those related to collectibility of accounts receivable; recoverability of fixed assets, goodwill, intangible assets, Schlumberger Production Management investments and investments in affiliates; income taxes; multiclient seismic data; contingencies and actuarial assumptions for employee benefit plans. Schlumberger bases its estimates on historical experience and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recognizes revenue based upon purchase orders, contracts or other persuasive evidence of an arrangement with the customer that include fixed or determinable prices provided that collectibility is reasonably assured. Revenue is recognized for services when they are rendered. Revenue is recognized for products upon delivery and when the customer assumes the risks and rewards of ownership.</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 from seismic contract services performed on a dayrate basis is recognized as the service is performed. Revenue from other services, including pre-funded multiclient surveys, is recognized as the seismic data is acquired and/or processed on a proportionate basis as work is performed. This method requires revenue to be recognized based upon quantifiable measures of progress, such as square kilometers acquired. Multiclient data surveys are licensed or sold to customers on a non-transferable basis. Revenue from sales of completed multiclient data surveys is recognized upon obtaining a signed licensing agreement and providing customers with access to such data.</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Revenue is occasionally generated from contractual arrangements that include multiple deliverables. Revenue from these arrangements is recognized as each item is delivered based on their relative fair value, provided that the delivered items have stand-alone value to the customer.</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derived from the sale of licenses of Schlumberger software may include installation, maintenance, consulting and training services. 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the fee is fixed or determinable and collectibility is probable.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and Fixed Income Investments</w:t>
      </w:r>
    </w:p>
    <w:p>
      <w:pPr>
        <w:spacing w:after="0" w:line="1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reflects the Schlumberger investment portfolio separated between current and long term, based on maturity. Both </w:t>
      </w:r>
      <w:r>
        <w:rPr>
          <w:rFonts w:ascii="Times New Roman" w:cs="Times New Roman" w:eastAsia="Times New Roman" w:hAnsi="Times New Roman"/>
          <w:sz w:val="18"/>
          <w:szCs w:val="18"/>
          <w:i w:val="1"/>
          <w:iCs w:val="1"/>
          <w:color w:val="auto"/>
        </w:rPr>
        <w:t>Short-term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Fixed Income Investments, held to maturity </w:t>
      </w:r>
      <w:r>
        <w:rPr>
          <w:rFonts w:ascii="Times New Roman" w:cs="Times New Roman" w:eastAsia="Times New Roman" w:hAnsi="Times New Roman"/>
          <w:sz w:val="18"/>
          <w:szCs w:val="18"/>
          <w:color w:val="auto"/>
        </w:rPr>
        <w:t>are comprised primarily of money market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38" w:name="page39"/>
    <w:bookmarkEnd w:id="38"/>
    <w:p>
      <w:pPr>
        <w:jc w:val="both"/>
        <w:spacing w:after="0" w:line="260" w:lineRule="auto"/>
        <w:rPr>
          <w:sz w:val="20"/>
          <w:szCs w:val="20"/>
          <w:color w:val="auto"/>
        </w:rPr>
      </w:pPr>
      <w:r>
        <w:rPr>
          <w:rFonts w:ascii="Times New Roman" w:cs="Times New Roman" w:eastAsia="Times New Roman" w:hAnsi="Times New Roman"/>
          <w:sz w:val="18"/>
          <w:szCs w:val="18"/>
          <w:color w:val="auto"/>
        </w:rPr>
        <w:t>funds, time deposits, certificates of deposit, commercial paper, bonds and notes, substantially all of which are denominated in US dollars. Under normal circumstances Schlumberger intends to hold such investments until maturity. These investments are stated at cost plus accrued interest, which approximates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purposes of the </w:t>
      </w:r>
      <w:r>
        <w:rPr>
          <w:rFonts w:ascii="Times New Roman" w:cs="Times New Roman" w:eastAsia="Times New Roman" w:hAnsi="Times New Roman"/>
          <w:sz w:val="18"/>
          <w:szCs w:val="18"/>
          <w:i w:val="1"/>
          <w:iCs w:val="1"/>
          <w:color w:val="auto"/>
        </w:rPr>
        <w:t>Consolidated Statement of Cash Flows</w:t>
      </w:r>
      <w:r>
        <w:rPr>
          <w:rFonts w:ascii="Times New Roman" w:cs="Times New Roman" w:eastAsia="Times New Roman" w:hAnsi="Times New Roman"/>
          <w:sz w:val="18"/>
          <w:szCs w:val="18"/>
          <w:color w:val="auto"/>
        </w:rPr>
        <w:t xml:space="preserve">, Schlumberger does not consider </w:t>
      </w:r>
      <w:r>
        <w:rPr>
          <w:rFonts w:ascii="Times New Roman" w:cs="Times New Roman" w:eastAsia="Times New Roman" w:hAnsi="Times New Roman"/>
          <w:sz w:val="18"/>
          <w:szCs w:val="18"/>
          <w:i w:val="1"/>
          <w:iCs w:val="1"/>
          <w:color w:val="auto"/>
        </w:rPr>
        <w:t>Short-term investments</w:t>
      </w:r>
      <w:r>
        <w:rPr>
          <w:rFonts w:ascii="Times New Roman" w:cs="Times New Roman" w:eastAsia="Times New Roman" w:hAnsi="Times New Roman"/>
          <w:sz w:val="18"/>
          <w:szCs w:val="18"/>
          <w:color w:val="auto"/>
        </w:rPr>
        <w:t xml:space="preserve"> to be cash equivalents.</w:t>
      </w:r>
    </w:p>
    <w:p>
      <w:pPr>
        <w:spacing w:after="0" w:line="21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Fixed Income Investments, held to maturity </w:t>
      </w:r>
      <w:r>
        <w:rPr>
          <w:rFonts w:ascii="Times New Roman" w:cs="Times New Roman" w:eastAsia="Times New Roman" w:hAnsi="Times New Roman"/>
          <w:sz w:val="18"/>
          <w:szCs w:val="18"/>
          <w:color w:val="auto"/>
        </w:rPr>
        <w:t>at December 31, 2015 of $418 million mature as follows: $107 million in 2017, $298 million in 2018, $12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and $1 million in 2020.</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Affiliated Companies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Investments in companies in which Schlumberger does not have a controlling financial interest, but over which it has significant influence are accounted for using the equity method. Schlumberger’s share of the after-tax earnings of equity method investees is included in </w:t>
      </w:r>
      <w:r>
        <w:rPr>
          <w:rFonts w:ascii="Times New Roman" w:cs="Times New Roman" w:eastAsia="Times New Roman" w:hAnsi="Times New Roman"/>
          <w:sz w:val="18"/>
          <w:szCs w:val="18"/>
          <w:i w:val="1"/>
          <w:iCs w:val="1"/>
          <w:color w:val="auto"/>
        </w:rPr>
        <w:t>Interest and other income</w:t>
      </w:r>
      <w:r>
        <w:rPr>
          <w:rFonts w:ascii="Times New Roman" w:cs="Times New Roman" w:eastAsia="Times New Roman" w:hAnsi="Times New Roman"/>
          <w:sz w:val="18"/>
          <w:szCs w:val="18"/>
          <w:color w:val="auto"/>
        </w:rPr>
        <w:t xml:space="preserve">. Investments in privately held companies in which Schlumberger does not have the ability to exercise significant influence are accounted for using the cost method. Investments in publicly traded companies in which Schlumberger does not have significant influence are accounted for as available-for-sale marketable securities. These marketable securities are reported at fair value, based on quoted market prices, with unrealized gains and losses reported as a component of </w:t>
      </w:r>
      <w:r>
        <w:rPr>
          <w:rFonts w:ascii="Times New Roman" w:cs="Times New Roman" w:eastAsia="Times New Roman" w:hAnsi="Times New Roman"/>
          <w:sz w:val="18"/>
          <w:szCs w:val="18"/>
          <w:i w:val="1"/>
          <w:iCs w:val="1"/>
          <w:color w:val="auto"/>
        </w:rPr>
        <w:t>Accumulated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comprehensive loss</w:t>
      </w:r>
      <w:r>
        <w:rPr>
          <w:rFonts w:ascii="Times New Roman" w:cs="Times New Roman" w:eastAsia="Times New Roman" w:hAnsi="Times New Roman"/>
          <w:sz w:val="18"/>
          <w:szCs w:val="18"/>
          <w:color w:val="auto"/>
        </w:rPr>
        <w:t>. The fair value of these marketable securities was $41 million at December 31, 2015 ($91 million at December 31, 2014). The cost basis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marketable securities was $41 million at December 31, 2015 ($81 million at December 31, 2014) after reflecting a $40 million other-than-temporary impairment charge recorded during the fourth quarter of 2015.</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Equity and cost method investments as well as investments in publicly traded companies are classified as </w:t>
      </w:r>
      <w:r>
        <w:rPr>
          <w:rFonts w:ascii="Times New Roman" w:cs="Times New Roman" w:eastAsia="Times New Roman" w:hAnsi="Times New Roman"/>
          <w:sz w:val="18"/>
          <w:szCs w:val="18"/>
          <w:i w:val="1"/>
          <w:iCs w:val="1"/>
          <w:color w:val="auto"/>
        </w:rPr>
        <w:t>Investments in Affiliated Companies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Multiclient Seismic Data</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multiclient library consists of completed and in-process seismic surveys that are licensed on a nonexclusive basis. Schlumberger capitalizes costs directly incurred in acquiring and processing the multiclient seismic data. Such costs are charged to </w:t>
      </w: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xml:space="preserve"> based on the percentage of the total costs to the estimated total revenue that Schlumberger expects to receive from the sales of such data. However, under no circumstance will an individual survey carry a net book value greater than a 4-year, straight-line amortized value.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value of the multiclient library is reviewed for impairment annually as well as when an event or change in circumstance indicating impairment may have occurred. Adjustments to the carrying value are recorded when it is determined that estimated future cash flows, which involves significant judgment on the part of Schlumberger, would not be sufficient to recover the carrying value of the surveys. Significant adverse changes in Schlumberger’s estimated future cash flows could result in impairment charges in a future period.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Schlumberger Production Management</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Schlumberger Production Management (“SPM”) projects are focused on developing and co-managing the production of Schlumberger customers’ assets under long-term agreements. Schlumberger will invest its own services, products and in some cases cash, into the field development activities and operations. Although in certain arrangements Schlumberger is paid for a portion of the services or products it provides, generally Schlumberger will not be paid at the time of providing its services or upon delivery of its products. Instead, Schlumberger is compensated based upon cash flow generated or on a fee-per-barrel basis. This may include certain arrangements whereby Schlumberger is only compensated based upon incremental production it helps deliver above a mutually agreed baseline.</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Schlumberger capitalizes its cash investments in a project as well as the direct costs associated with providing services or products for which Schlumberger will be compensated when the related production is achieved. Revenue is recognized as the related production is achieved. These capitalized investments are amortized to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xml:space="preserve"> as the related oil production is achieved based on the units of production method, whereby each unit produced is assigned a pro-rata portion of the unamortized costs based on estimated total production, resulting in a matching of revenue with the applicable costs.</w:t>
      </w:r>
    </w:p>
    <w:p>
      <w:pPr>
        <w:spacing w:after="0" w:line="18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 xml:space="preserve">The unamortized portion of Schlumberger’s investments in SPM projects was approximately $1.829 billion and $1.411 billion at December 31, 2015 and 2014, respectively. These amounts are included within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Schlumberger’s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Schlumberger’s assets that are exposed to concentrations of credit risk consist primarily of cash, short-term investments, fixed income investments held to maturity, receivables from clients and derivative financial instruments. Schlumberger places its cash, short-term investments and fixed income investments held to maturity with financial institutions and corporations, and limits the amount of credit exposure with any one of them. Schlumberger regularly evaluates the creditworthiness of the issuers in which it invests. By using derivative financial instruments to hedge certain exposures, Schlumberger exposes itself to some credit risk. Schlumberger minimizes this credit risk by entering into transactions with high-quality counterparties, limiting the exposure to each counterparty and monitoring the financial condition of its counterparties.</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Schlumberger operates in more than 85 countries and as such, its accounts receivable are spread over many countries and customers. As of December 31, 2015, only two countries (Venezuela and Mexico) individually accounted for greater than 10% of Schlumberger’s accounts receivable balance. Schlumberger has experienced delays in payment from its national oil company customer in Venezuela. Schlumberger maintains an allowance for uncollectible accounts receivable based on expected collectibility and performs ongoing credit evaluations of its customers’ financial condition. If the financial condition of its customers were to deteriorate resulting in an impairment of their ability to make payments, adjustments to the allowance may be required.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from basic to diluted earnings per share from continuing operations of Schlumberger for each of the last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409"/>
        </w:trPr>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Schlumberger</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w w:val="98"/>
              </w:rPr>
              <w:t>Income from</w:t>
            </w: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5"/>
              </w:rPr>
              <w:t>Average</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8"/>
              </w:rPr>
              <w:t>Earnings per Share</w:t>
            </w:r>
          </w:p>
        </w:tc>
        <w:tc>
          <w:tcPr>
            <w:tcW w:w="0" w:type="dxa"/>
            <w:vAlign w:val="bottom"/>
          </w:tcPr>
          <w:p>
            <w:pPr>
              <w:spacing w:after="0"/>
              <w:rPr>
                <w:sz w:val="1"/>
                <w:szCs w:val="1"/>
                <w:color w:val="auto"/>
              </w:rPr>
            </w:pPr>
          </w:p>
        </w:tc>
      </w:tr>
      <w:tr>
        <w:trPr>
          <w:trHeight w:val="199"/>
        </w:trPr>
        <w:tc>
          <w:tcPr>
            <w:tcW w:w="6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w w:val="99"/>
              </w:rPr>
              <w:t>Continuing</w:t>
            </w: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8"/>
              </w:rPr>
              <w:t>Shares</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from Continuing</w:t>
            </w:r>
          </w:p>
        </w:tc>
        <w:tc>
          <w:tcPr>
            <w:tcW w:w="0" w:type="dxa"/>
            <w:vAlign w:val="bottom"/>
          </w:tcPr>
          <w:p>
            <w:pPr>
              <w:spacing w:after="0"/>
              <w:rPr>
                <w:sz w:val="1"/>
                <w:szCs w:val="1"/>
                <w:color w:val="auto"/>
              </w:rPr>
            </w:pPr>
          </w:p>
        </w:tc>
      </w:tr>
      <w:tr>
        <w:trPr>
          <w:trHeight w:val="211"/>
        </w:trPr>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w w:val="99"/>
              </w:rPr>
              <w:t>Operations</w:t>
            </w: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Outstanding</w:t>
            </w:r>
          </w:p>
        </w:tc>
        <w:tc>
          <w:tcPr>
            <w:tcW w:w="10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Operations</w:t>
            </w:r>
          </w:p>
        </w:tc>
        <w:tc>
          <w:tcPr>
            <w:tcW w:w="0" w:type="dxa"/>
            <w:vAlign w:val="bottom"/>
          </w:tcPr>
          <w:p>
            <w:pPr>
              <w:spacing w:after="0"/>
              <w:rPr>
                <w:sz w:val="1"/>
                <w:szCs w:val="1"/>
                <w:color w:val="auto"/>
              </w:rPr>
            </w:pPr>
          </w:p>
        </w:tc>
      </w:tr>
      <w:tr>
        <w:trPr>
          <w:trHeight w:val="222"/>
        </w:trPr>
        <w:tc>
          <w:tcPr>
            <w:tcW w:w="6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6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2,072</w:t>
            </w:r>
          </w:p>
        </w:tc>
        <w:tc>
          <w:tcPr>
            <w:tcW w:w="260" w:type="dxa"/>
            <w:vAlign w:val="bottom"/>
            <w:tcBorders>
              <w:bottom w:val="single" w:sz="8" w:color="CFF0FC"/>
            </w:tcBorders>
          </w:tcPr>
          <w:p>
            <w:pPr>
              <w:spacing w:after="0"/>
              <w:rPr>
                <w:sz w:val="23"/>
                <w:szCs w:val="23"/>
                <w:color w:val="auto"/>
              </w:rPr>
            </w:pPr>
          </w:p>
        </w:tc>
        <w:tc>
          <w:tcPr>
            <w:tcW w:w="13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1,267</w:t>
            </w:r>
          </w:p>
        </w:tc>
        <w:tc>
          <w:tcPr>
            <w:tcW w:w="26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6780" w:type="dxa"/>
            <w:vAlign w:val="bottom"/>
            <w:shd w:val="clear" w:color="auto" w:fill="CFF0FC"/>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Assumed exercise of stock options</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Unvested restricted stock</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2,072</w:t>
            </w:r>
          </w:p>
        </w:tc>
        <w:tc>
          <w:tcPr>
            <w:tcW w:w="2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1,275</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2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Assumed exercise of stock options</w:t>
            </w:r>
          </w:p>
        </w:tc>
        <w:tc>
          <w:tcPr>
            <w:tcW w:w="16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260" w:type="dxa"/>
            <w:vAlign w:val="bottom"/>
            <w:tcBorders>
              <w:bottom w:val="single" w:sz="8" w:color="CFF0FC"/>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6780" w:type="dxa"/>
            <w:vAlign w:val="bottom"/>
            <w:shd w:val="clear" w:color="auto" w:fill="CFF0FC"/>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2013:</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6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260" w:type="dxa"/>
            <w:vAlign w:val="bottom"/>
            <w:tcBorders>
              <w:bottom w:val="single" w:sz="8" w:color="CFF0FC"/>
            </w:tcBorders>
          </w:tcPr>
          <w:p>
            <w:pPr>
              <w:spacing w:after="0"/>
              <w:rPr>
                <w:sz w:val="23"/>
                <w:szCs w:val="23"/>
                <w:color w:val="auto"/>
              </w:rPr>
            </w:pPr>
          </w:p>
        </w:tc>
        <w:tc>
          <w:tcPr>
            <w:tcW w:w="13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6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6780" w:type="dxa"/>
            <w:vAlign w:val="bottom"/>
            <w:shd w:val="clear" w:color="auto" w:fill="CFF0FC"/>
          </w:tcPr>
          <w:p>
            <w:pPr>
              <w:spacing w:after="0" w:line="206" w:lineRule="exact"/>
              <w:rPr>
                <w:sz w:val="20"/>
                <w:szCs w:val="20"/>
                <w:color w:val="auto"/>
              </w:rPr>
            </w:pPr>
            <w:r>
              <w:rPr>
                <w:rFonts w:ascii="Times New Roman" w:cs="Times New Roman" w:eastAsia="Times New Roman" w:hAnsi="Times New Roman"/>
                <w:sz w:val="18"/>
                <w:szCs w:val="18"/>
                <w:color w:val="auto"/>
              </w:rPr>
              <w:t>Assumed exercise of stock options</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2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Employee stock options to purchase 20 million, 5 million and 12 million shares of common stock at December 31, 2015, 2014 and 2013, respectively, were outstanding but not included in the computation of diluted earnings per share because the option exercise price was greater than the average market price of the common stock, and therefore the effect on diluted earnings per share would have been anti-dilutive.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ASU amends the existing accounting standards for revenue recognition and is based on the principle that revenue should be recognized to depict the transfer of goods or services to a customer at an amount that reflects the consideration a company expects to receive in exchange for those goods or services. Schlumberger is required to adopt this ASU on January 1, 2018, with early adoption permitted on January 1, 2017, and does not expect this ASU to have a material impact on its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40" w:name="page41"/>
    <w:bookmarkEnd w:id="40"/>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2015, the FASB issued ASU 2015-17</w:t>
      </w:r>
      <w:r>
        <w:rPr>
          <w:rFonts w:ascii="Times New Roman" w:cs="Times New Roman" w:eastAsia="Times New Roman" w:hAnsi="Times New Roman"/>
          <w:sz w:val="18"/>
          <w:szCs w:val="18"/>
          <w:i w:val="1"/>
          <w:iCs w:val="1"/>
          <w:color w:val="auto"/>
        </w:rPr>
        <w:t>, Balance Sheet Classification of Deferred Taxes</w:t>
      </w:r>
      <w:r>
        <w:rPr>
          <w:rFonts w:ascii="Times New Roman" w:cs="Times New Roman" w:eastAsia="Times New Roman" w:hAnsi="Times New Roman"/>
          <w:sz w:val="18"/>
          <w:szCs w:val="18"/>
          <w:color w:val="auto"/>
        </w:rPr>
        <w:t>, which amends existing guidance on income taxes to require the classification of all deferred tax assets and liabilities as non-current on the balance sheet. Schlumberger is required to adopt this ASU no later than January 1, 2018, with early adoption permitted, and the guidance may be applied either prospectively or retrospectively. Schlumberger does not expect this ASU to have a material impact on its consolidated financial statements.</w:t>
      </w:r>
    </w:p>
    <w:p>
      <w:pPr>
        <w:spacing w:after="0" w:line="286" w:lineRule="exact"/>
        <w:rPr>
          <w:sz w:val="20"/>
          <w:szCs w:val="20"/>
          <w:color w:val="auto"/>
        </w:rPr>
      </w:pPr>
    </w:p>
    <w:p>
      <w:pPr>
        <w:ind w:left="180" w:hanging="174"/>
        <w:spacing w:after="0"/>
        <w:tabs>
          <w:tab w:leader="none" w:pos="1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 and Credits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recorded the following charges and credits in continuing operations during 2015, 2014 and 2013: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w:t>
      </w:r>
    </w:p>
    <w:p>
      <w:pPr>
        <w:spacing w:after="0" w:line="114" w:lineRule="exact"/>
        <w:rPr>
          <w:sz w:val="20"/>
          <w:szCs w:val="20"/>
          <w:color w:val="auto"/>
        </w:rPr>
      </w:pPr>
    </w:p>
    <w:p>
      <w:pPr>
        <w:jc w:val="both"/>
        <w:ind w:left="760" w:hanging="382"/>
        <w:spacing w:after="0" w:line="25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decided to reduce its headcount during the first quarter of 2015 as a result of the severe fall in activity in North America, combined with the impact of lower international activity due to customer budget cuts driven by lower oil prices. Schlumberger recorded a $390 million charge during the first quarter associated with this headcount reduction as well as an incentivized leave of absence program. Based on the activity outlook for 2016, as well as to further streamline its support structure, Schlumberger decided to further reduce its headcount and expand its incentivized leave of absence program during the fourth quarter of 2015. Schlumberger recorded an additional $530 million charge during the fourth quarter associated with these actions. Approximately $360 million of the costs remained unpaid as of December 31, 2015.</w:t>
      </w:r>
    </w:p>
    <w:p>
      <w:pPr>
        <w:spacing w:after="0" w:line="184" w:lineRule="exact"/>
        <w:rPr>
          <w:rFonts w:ascii="Times New Roman" w:cs="Times New Roman" w:eastAsia="Times New Roman" w:hAnsi="Times New Roman"/>
          <w:sz w:val="18"/>
          <w:szCs w:val="18"/>
          <w:color w:val="auto"/>
        </w:rPr>
      </w:pPr>
    </w:p>
    <w:p>
      <w:pPr>
        <w:jc w:val="both"/>
        <w:ind w:left="760" w:hanging="382"/>
        <w:spacing w:after="0" w:line="260"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unfavorable oil and gas industry market conditions that have continued to deteriorate and their impact on the activity outlook, Schlumberger determined that the carrying values of certain assets were no longer recoverable and also took certain decisions that resulted in the following impairment and restructuring charges during the fourth quarter of 2015:</w:t>
      </w:r>
    </w:p>
    <w:p>
      <w:pPr>
        <w:spacing w:after="0" w:line="71" w:lineRule="exact"/>
        <w:rPr>
          <w:rFonts w:ascii="Times New Roman" w:cs="Times New Roman" w:eastAsia="Times New Roman" w:hAnsi="Times New Roman"/>
          <w:sz w:val="18"/>
          <w:szCs w:val="18"/>
          <w:color w:val="auto"/>
        </w:rPr>
      </w:pPr>
    </w:p>
    <w:p>
      <w:pPr>
        <w:jc w:val="both"/>
        <w:ind w:left="1140" w:hanging="376"/>
        <w:spacing w:after="0" w:line="253" w:lineRule="auto"/>
        <w:tabs>
          <w:tab w:leader="none" w:pos="11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$776 million of fixed asset impairments primarily related to underutilized pressure pumping and other equipment in North America, as well as certain lower-tier drilling rigs. The fair value of these assets was based on the projected present value of future cash flows that these assets are expected to generate.</w:t>
      </w:r>
    </w:p>
    <w:p>
      <w:pPr>
        <w:spacing w:after="0" w:line="2"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$269 million to write-down the carrying value of certain inventory, primarily in North America.</w:t>
      </w:r>
    </w:p>
    <w:p>
      <w:pPr>
        <w:spacing w:after="0" w:line="5" w:lineRule="exact"/>
        <w:rPr>
          <w:rFonts w:ascii="Times New Roman" w:cs="Times New Roman" w:eastAsia="Times New Roman" w:hAnsi="Times New Roman"/>
          <w:sz w:val="18"/>
          <w:szCs w:val="18"/>
          <w:color w:val="auto"/>
        </w:rPr>
      </w:pPr>
    </w:p>
    <w:p>
      <w:pPr>
        <w:jc w:val="both"/>
        <w:ind w:left="1140" w:hanging="376"/>
        <w:spacing w:after="0" w:line="246" w:lineRule="auto"/>
        <w:tabs>
          <w:tab w:leader="none" w:pos="11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 million to reduce the carrying value of an investment in an SPM project to its estimated fair value, as a result of the recent decline in commodity prices and considering this project is approaching the end of its contractual term. The fair value of this investment was estimated based on the projected present value of its future cash flows.</w:t>
      </w:r>
    </w:p>
    <w:p>
      <w:pPr>
        <w:spacing w:after="0" w:line="1" w:lineRule="exact"/>
        <w:rPr>
          <w:rFonts w:ascii="Times New Roman" w:cs="Times New Roman" w:eastAsia="Times New Roman" w:hAnsi="Times New Roman"/>
          <w:sz w:val="18"/>
          <w:szCs w:val="18"/>
          <w:color w:val="auto"/>
        </w:rPr>
      </w:pPr>
    </w:p>
    <w:p>
      <w:pPr>
        <w:ind w:left="1140" w:hanging="376"/>
        <w:spacing w:after="0" w:line="246" w:lineRule="auto"/>
        <w:tabs>
          <w:tab w:leader="none" w:pos="11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 million associated with certain of Schlumberger’s owned and leased facilities, including the expected sale of certain properties and the termination of certain leases.</w:t>
      </w:r>
    </w:p>
    <w:p>
      <w:pPr>
        <w:ind w:left="1140" w:hanging="376"/>
        <w:spacing w:after="0"/>
        <w:tabs>
          <w:tab w:leader="none" w:pos="11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 million relating to assets that are no longer recoverable as a result of geopolitical issues in certain countries in the Middle East.</w:t>
      </w:r>
    </w:p>
    <w:p>
      <w:pPr>
        <w:spacing w:after="0" w:line="5"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million relating to contract termination costs.</w:t>
      </w:r>
    </w:p>
    <w:p>
      <w:pPr>
        <w:spacing w:after="0" w:line="5" w:lineRule="exact"/>
        <w:rPr>
          <w:rFonts w:ascii="Times New Roman" w:cs="Times New Roman" w:eastAsia="Times New Roman" w:hAnsi="Times New Roman"/>
          <w:sz w:val="18"/>
          <w:szCs w:val="18"/>
          <w:color w:val="auto"/>
        </w:rPr>
      </w:pPr>
    </w:p>
    <w:p>
      <w:pPr>
        <w:ind w:left="1140" w:hanging="376"/>
        <w:spacing w:after="0" w:line="253" w:lineRule="auto"/>
        <w:tabs>
          <w:tab w:leader="none" w:pos="11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million of other charges associated with current market conditions, including $40 million relating to an other-than-temporary impairment of marketable securities and $15 million relating to the impairment of an equity-method investment.</w:t>
      </w:r>
    </w:p>
    <w:p>
      <w:pPr>
        <w:spacing w:after="0" w:line="182" w:lineRule="exact"/>
        <w:rPr>
          <w:sz w:val="20"/>
          <w:szCs w:val="20"/>
          <w:color w:val="auto"/>
        </w:rPr>
      </w:pPr>
    </w:p>
    <w:p>
      <w:pPr>
        <w:ind w:left="760"/>
        <w:spacing w:after="0" w:line="275" w:lineRule="auto"/>
        <w:rPr>
          <w:sz w:val="20"/>
          <w:szCs w:val="20"/>
          <w:color w:val="auto"/>
        </w:rPr>
      </w:pPr>
      <w:r>
        <w:rPr>
          <w:rFonts w:ascii="Times New Roman" w:cs="Times New Roman" w:eastAsia="Times New Roman" w:hAnsi="Times New Roman"/>
          <w:sz w:val="18"/>
          <w:szCs w:val="18"/>
          <w:color w:val="auto"/>
        </w:rPr>
        <w:t>Because certain of these impairment charges were estimated based on the projected present value of future cash flows, which included unobservable inputs that required significant judgments, additional charges may be required in future periods should industry conditions worsen.</w:t>
      </w:r>
    </w:p>
    <w:p>
      <w:pPr>
        <w:spacing w:after="0" w:line="164" w:lineRule="exact"/>
        <w:rPr>
          <w:sz w:val="20"/>
          <w:szCs w:val="20"/>
          <w:color w:val="auto"/>
        </w:rPr>
      </w:pPr>
    </w:p>
    <w:p>
      <w:pPr>
        <w:jc w:val="both"/>
        <w:ind w:left="760" w:hanging="382"/>
        <w:spacing w:after="0" w:line="25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2015, the Venezuelan government replaced the SICAD II exchange rate (described in further detail below) with a new foreign exchange market system known as SIMADI. The SIMADI exchange rate was approximately 192 Venezuelan Bolivares fuertes to the US dollar as of March 31, 2015. As a result, Schlumberger recorded a $49 million devaluation charge during the first quarter of 2015, reflecting the adoption of the SIMADI exchange rate.</w:t>
      </w:r>
    </w:p>
    <w:p>
      <w:pPr>
        <w:spacing w:after="0" w:line="179" w:lineRule="exact"/>
        <w:rPr>
          <w:rFonts w:ascii="Times New Roman" w:cs="Times New Roman" w:eastAsia="Times New Roman" w:hAnsi="Times New Roman"/>
          <w:sz w:val="18"/>
          <w:szCs w:val="18"/>
          <w:color w:val="auto"/>
        </w:rPr>
      </w:pPr>
    </w:p>
    <w:p>
      <w:pPr>
        <w:jc w:val="both"/>
        <w:ind w:left="7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change results in a reduction in the US dollar reported amount of local currency denominated revenues, expenses and, consequently, income before taxes and net income in Venezuela. If Schlumberger had applied an exchange rate of 192 Venezuelan Bolivares fuertes to the US dollar throughout 2014, it would have reduced Schlumberger earnings by approximately $0.09 per share.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 xml:space="preserve">The following is a summary of these charges and credits, all of which were classified as </w:t>
      </w:r>
      <w:r>
        <w:rPr>
          <w:rFonts w:ascii="Times New Roman" w:cs="Times New Roman" w:eastAsia="Times New Roman" w:hAnsi="Times New Roman"/>
          <w:sz w:val="18"/>
          <w:szCs w:val="18"/>
          <w:i w:val="1"/>
          <w:iCs w:val="1"/>
          <w:color w:val="auto"/>
        </w:rPr>
        <w:t>Impairments &amp; other</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6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Pretax</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Tax</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w:t>
            </w:r>
          </w:p>
        </w:tc>
      </w:tr>
      <w:tr>
        <w:trPr>
          <w:trHeight w:val="219"/>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Workforce reductions</w:t>
            </w:r>
          </w:p>
        </w:tc>
        <w:tc>
          <w:tcPr>
            <w:tcW w:w="920" w:type="dxa"/>
            <w:vAlign w:val="bottom"/>
            <w:tcBorders>
              <w:top w:val="single" w:sz="8" w:color="auto"/>
            </w:tcBorders>
            <w:shd w:val="clear" w:color="auto" w:fill="CFF0FC"/>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Fixed asset impairments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 write-downs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SPM project</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closures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Geopolitical events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devaluation loss in Venezuela</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19"/>
                <w:szCs w:val="19"/>
                <w:color w:val="auto"/>
              </w:rPr>
            </w:pPr>
          </w:p>
        </w:tc>
      </w:tr>
      <w:tr>
        <w:trPr>
          <w:trHeight w:val="219"/>
        </w:trPr>
        <w:tc>
          <w:tcPr>
            <w:tcW w:w="6720" w:type="dxa"/>
            <w:vAlign w:val="bottom"/>
          </w:tcPr>
          <w:p>
            <w:pPr>
              <w:spacing w:after="0"/>
              <w:rPr>
                <w:sz w:val="19"/>
                <w:szCs w:val="19"/>
                <w:color w:val="auto"/>
              </w:rPr>
            </w:pPr>
          </w:p>
        </w:tc>
        <w:tc>
          <w:tcPr>
            <w:tcW w:w="92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2,575</w:t>
            </w:r>
          </w:p>
        </w:tc>
        <w:tc>
          <w:tcPr>
            <w:tcW w:w="260" w:type="dxa"/>
            <w:vAlign w:val="bottom"/>
          </w:tcPr>
          <w:p>
            <w:pPr>
              <w:spacing w:after="0"/>
              <w:rPr>
                <w:sz w:val="19"/>
                <w:szCs w:val="19"/>
                <w:color w:val="auto"/>
              </w:rPr>
            </w:pPr>
          </w:p>
        </w:tc>
        <w:tc>
          <w:tcPr>
            <w:tcW w:w="94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w:t>
      </w:r>
    </w:p>
    <w:p>
      <w:pPr>
        <w:spacing w:after="0" w:line="114" w:lineRule="exact"/>
        <w:rPr>
          <w:sz w:val="20"/>
          <w:szCs w:val="20"/>
          <w:color w:val="auto"/>
        </w:rPr>
      </w:pPr>
    </w:p>
    <w:p>
      <w:pPr>
        <w:jc w:val="both"/>
        <w:ind w:left="760" w:hanging="382"/>
        <w:spacing w:after="0" w:line="25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expectation of lower exploration spending as a result of lower commodity prices, during the fourth quarter of 2014, Schlumberger decided to restructure its WesternGeco marine seismic fleet in order to lower its operating costs. Three previous-generation acquisition vessels with lower towing capacity and higher operating costs will be converted to source vessels, allowing for the termination of two third-party source vessel leases and the retirement of two owned source vessels.</w:t>
      </w:r>
    </w:p>
    <w:p>
      <w:pPr>
        <w:spacing w:after="0" w:line="73" w:lineRule="exact"/>
        <w:rPr>
          <w:rFonts w:ascii="Times New Roman" w:cs="Times New Roman" w:eastAsia="Times New Roman" w:hAnsi="Times New Roman"/>
          <w:sz w:val="18"/>
          <w:szCs w:val="18"/>
          <w:color w:val="auto"/>
        </w:rPr>
      </w:pPr>
    </w:p>
    <w:p>
      <w:pPr>
        <w:jc w:val="both"/>
        <w:ind w:left="7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this restructuring, Schlumberger performed an impairment test and determined that the carrying values of certain of its vessels exceeded their respective fair values by $590 million. This impairment charge relates to the six Explorer-class vessels that were acquired at a premium in the 2007 purchase of Eastern Echo Holdings Plc. The fair value of these vessels was estimated primarily based on the replacement cost method, which was largely based on unobservable inputs that required significant judgments.</w:t>
      </w:r>
    </w:p>
    <w:p>
      <w:pPr>
        <w:spacing w:after="0" w:line="73" w:lineRule="exact"/>
        <w:rPr>
          <w:rFonts w:ascii="Times New Roman" w:cs="Times New Roman" w:eastAsia="Times New Roman" w:hAnsi="Times New Roman"/>
          <w:sz w:val="18"/>
          <w:szCs w:val="18"/>
          <w:color w:val="auto"/>
        </w:rPr>
      </w:pPr>
    </w:p>
    <w:p>
      <w:pPr>
        <w:jc w:val="both"/>
        <w:ind w:left="7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$590 million impairment charge relating to these six vessels, Schlumberger also recorded an $85 million impairment charge relating to a seismic intangible asset and $131 million of other charges primarily related to lease termination costs and other seismic assets as a result of the restructuring. Schlumberger did not incur any significant cash expenditures as a result of these charges.</w:t>
      </w:r>
    </w:p>
    <w:p>
      <w:pPr>
        <w:spacing w:after="0" w:line="71" w:lineRule="exact"/>
        <w:rPr>
          <w:rFonts w:ascii="Times New Roman" w:cs="Times New Roman" w:eastAsia="Times New Roman" w:hAnsi="Times New Roman"/>
          <w:sz w:val="18"/>
          <w:szCs w:val="18"/>
          <w:color w:val="auto"/>
        </w:rPr>
      </w:pPr>
    </w:p>
    <w:p>
      <w:pPr>
        <w:jc w:val="both"/>
        <w:ind w:left="760" w:hanging="382"/>
        <w:spacing w:after="0" w:line="275" w:lineRule="auto"/>
        <w:tabs>
          <w:tab w:leader="none" w:pos="7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2014, Venezuela enacted certain changes to its foreign exchange system such that, in addition to the official rate of 6.3 Venezuelan Bolivares fuertes per US dollar, there were two other legal exchange rates that could be obtained via different exchange rate mechanisms at the time. These changes included the expansion of what was known as the SICAD I auction rate and the introduction of the SICAD II auction process. The SICAD I and SICAD II exchange rates were approximately 11 and 50 Venezuelan Bolivares fuertes to the US dollar, respectively, at December 31, 2014.</w:t>
      </w:r>
    </w:p>
    <w:p>
      <w:pPr>
        <w:spacing w:after="0" w:line="60" w:lineRule="exact"/>
        <w:rPr>
          <w:rFonts w:ascii="Times New Roman" w:cs="Times New Roman" w:eastAsia="Times New Roman" w:hAnsi="Times New Roman"/>
          <w:sz w:val="17"/>
          <w:szCs w:val="17"/>
          <w:color w:val="auto"/>
        </w:rPr>
      </w:pPr>
    </w:p>
    <w:p>
      <w:pPr>
        <w:jc w:val="both"/>
        <w:ind w:left="76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Schlumberger had historically applied the official exchange rate to remeasure local currency transactions and balances into US dollars. Effective December 31, 2014, Schlumberger concluded that it was appropriate to apply the SICAD II exchange rate as it believed that rate best represented the economics of Schlumberger’s business activity in Venezuela. As a result, Schlumberger recorded a $472 million devaluation charge during the fourth quarter of 2014.</w:t>
      </w:r>
    </w:p>
    <w:p>
      <w:pPr>
        <w:spacing w:after="0" w:line="73" w:lineRule="exact"/>
        <w:rPr>
          <w:rFonts w:ascii="Times New Roman" w:cs="Times New Roman" w:eastAsia="Times New Roman" w:hAnsi="Times New Roman"/>
          <w:sz w:val="17"/>
          <w:szCs w:val="17"/>
          <w:color w:val="auto"/>
        </w:rPr>
      </w:pPr>
    </w:p>
    <w:p>
      <w:pPr>
        <w:jc w:val="both"/>
        <w:ind w:left="760" w:hanging="382"/>
        <w:spacing w:after="0" w:line="260"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lower commodity pricing and anticipated lower exploration and production spending in 2015, Schlumberger decided during the fourth quarter of 2014 to reduce its overall headcount primarily to better align with anticipated activity levels for 2015. As a result of these reductions, Schlumberger recorded a charge of $296 million in the fourth quarter of 2014.</w:t>
      </w:r>
    </w:p>
    <w:p>
      <w:pPr>
        <w:spacing w:after="0" w:line="71" w:lineRule="exact"/>
        <w:rPr>
          <w:rFonts w:ascii="Times New Roman" w:cs="Times New Roman" w:eastAsia="Times New Roman" w:hAnsi="Times New Roman"/>
          <w:sz w:val="18"/>
          <w:szCs w:val="18"/>
          <w:color w:val="auto"/>
        </w:rPr>
      </w:pPr>
    </w:p>
    <w:p>
      <w:pPr>
        <w:jc w:val="both"/>
        <w:ind w:left="760" w:hanging="382"/>
        <w:spacing w:after="0" w:line="260"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2014, Schlumberger determined that, primarily as a result of the recent decline in commodity prices, the carrying value of its investment in an SPM development project in the Eagle Ford Shale was in excess of its fair value. Accordingly, Schlumberger recorded a $199 million impairment charge. The fair value of this investment was estimated based on the projected present value of future cash flows.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 xml:space="preserve">The following is a summary of these charges, all of which were classified as </w:t>
      </w:r>
      <w:r>
        <w:rPr>
          <w:rFonts w:ascii="Times New Roman" w:cs="Times New Roman" w:eastAsia="Times New Roman" w:hAnsi="Times New Roman"/>
          <w:sz w:val="18"/>
          <w:szCs w:val="18"/>
          <w:i w:val="1"/>
          <w:iCs w:val="1"/>
          <w:color w:val="auto"/>
        </w:rPr>
        <w:t>Impairments &amp; other</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6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Pretax</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Tax</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w:t>
            </w:r>
          </w:p>
        </w:tc>
      </w:tr>
      <w:tr>
        <w:trPr>
          <w:trHeight w:val="219"/>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WesternGeco restructuring</w:t>
            </w:r>
          </w:p>
        </w:tc>
        <w:tc>
          <w:tcPr>
            <w:tcW w:w="920" w:type="dxa"/>
            <w:vAlign w:val="bottom"/>
            <w:tcBorders>
              <w:top w:val="single" w:sz="8" w:color="auto"/>
            </w:tcBorders>
            <w:shd w:val="clear" w:color="auto" w:fill="CFF0FC"/>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Currency devaluation loss in Venezuela</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Workforce reduction</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Impairment of SPM project</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FF0FC"/>
            </w:tcBorders>
          </w:tcPr>
          <w:p>
            <w:pPr>
              <w:spacing w:after="0"/>
              <w:rPr>
                <w:sz w:val="19"/>
                <w:szCs w:val="19"/>
                <w:color w:val="auto"/>
              </w:rPr>
            </w:pPr>
          </w:p>
        </w:tc>
      </w:tr>
      <w:tr>
        <w:trPr>
          <w:trHeight w:val="219"/>
        </w:trPr>
        <w:tc>
          <w:tcPr>
            <w:tcW w:w="67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5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1,773</w:t>
            </w:r>
          </w:p>
        </w:tc>
        <w:tc>
          <w:tcPr>
            <w:tcW w:w="2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w:t>
      </w:r>
    </w:p>
    <w:p>
      <w:pPr>
        <w:spacing w:after="0" w:line="114" w:lineRule="exact"/>
        <w:rPr>
          <w:sz w:val="20"/>
          <w:szCs w:val="20"/>
          <w:color w:val="auto"/>
        </w:rPr>
      </w:pPr>
    </w:p>
    <w:p>
      <w:pPr>
        <w:ind w:left="760" w:hanging="382"/>
        <w:spacing w:after="0" w:line="237" w:lineRule="auto"/>
        <w:tabs>
          <w:tab w:leader="none" w:pos="7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 xml:space="preserve">During the fourth quarter, Schlumberger recorded a $152 million provision relating to accounts receivable from a client in Brazil that filed for bankruptcy, which is classified in </w:t>
      </w: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jc w:val="both"/>
        <w:ind w:left="760" w:hanging="382"/>
        <w:spacing w:after="0" w:line="260"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second quarter, Schlumberger recorded a $1.028 billion gain as a result of the deconsolidation of its subsea business in connection with the formation of the OneSubsea joint venture with Cameron, which is classified as </w:t>
      </w:r>
      <w:r>
        <w:rPr>
          <w:rFonts w:ascii="Times New Roman" w:cs="Times New Roman" w:eastAsia="Times New Roman" w:hAnsi="Times New Roman"/>
          <w:sz w:val="18"/>
          <w:szCs w:val="18"/>
          <w:i w:val="1"/>
          <w:iCs w:val="1"/>
          <w:color w:val="auto"/>
        </w:rPr>
        <w:t>Gain on formation of OneSubsea</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Refer to Note 4 –</w:t>
      </w:r>
      <w:r>
        <w:rPr>
          <w:rFonts w:ascii="Times New Roman" w:cs="Times New Roman" w:eastAsia="Times New Roman" w:hAnsi="Times New Roman"/>
          <w:sz w:val="18"/>
          <w:szCs w:val="18"/>
          <w:i w:val="1"/>
          <w:iCs w:val="1"/>
          <w:color w:val="auto"/>
        </w:rPr>
        <w:t xml:space="preserve"> Acquisitions </w:t>
      </w:r>
      <w:r>
        <w:rPr>
          <w:rFonts w:ascii="Times New Roman" w:cs="Times New Roman" w:eastAsia="Times New Roman" w:hAnsi="Times New Roman"/>
          <w:sz w:val="18"/>
          <w:szCs w:val="18"/>
          <w:color w:val="auto"/>
        </w:rPr>
        <w:t>for further details.</w:t>
      </w:r>
    </w:p>
    <w:p>
      <w:pPr>
        <w:spacing w:after="0" w:line="71" w:lineRule="exact"/>
        <w:rPr>
          <w:rFonts w:ascii="Times New Roman" w:cs="Times New Roman" w:eastAsia="Times New Roman" w:hAnsi="Times New Roman"/>
          <w:sz w:val="18"/>
          <w:szCs w:val="18"/>
          <w:color w:val="auto"/>
        </w:rPr>
      </w:pPr>
    </w:p>
    <w:p>
      <w:pPr>
        <w:jc w:val="both"/>
        <w:ind w:left="760" w:hanging="382"/>
        <w:spacing w:after="0" w:line="260"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second quarter, Schlumberger recorded a $222 million impairment charge relating to an investment in a company involved in developing drilling-related technology and a $142 million impairment charge relating to an investment in a contract drilling business, both of which are classified in </w:t>
      </w:r>
      <w:r>
        <w:rPr>
          <w:rFonts w:ascii="Times New Roman" w:cs="Times New Roman" w:eastAsia="Times New Roman" w:hAnsi="Times New Roman"/>
          <w:sz w:val="18"/>
          <w:szCs w:val="18"/>
          <w:i w:val="1"/>
          <w:iCs w:val="1"/>
          <w:color w:val="auto"/>
        </w:rPr>
        <w:t>Impairments &amp; other</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760" w:hanging="382"/>
        <w:spacing w:after="0" w:line="260"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February 2013, Venezuela’s currency was devalued from the prior exchange rate of 4.3 Bolivar fuertes per US dollar to 6.3 Bolivar fuertes per US dollar. As a result, Schlumberger recorded a $92 million devaluation charge during the first quarter of 2013, which is classified in </w:t>
      </w:r>
      <w:r>
        <w:rPr>
          <w:rFonts w:ascii="Times New Roman" w:cs="Times New Roman" w:eastAsia="Times New Roman" w:hAnsi="Times New Roman"/>
          <w:sz w:val="18"/>
          <w:szCs w:val="18"/>
          <w:i w:val="1"/>
          <w:iCs w:val="1"/>
          <w:color w:val="auto"/>
        </w:rPr>
        <w:t>Impairments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Consolidated Statement of Income</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these charges and credits: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Pretax</w:t>
            </w: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Tax</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w:t>
            </w:r>
          </w:p>
        </w:tc>
      </w:tr>
      <w:tr>
        <w:trPr>
          <w:trHeight w:val="219"/>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formation of OneSubsea joint venture</w:t>
            </w:r>
          </w:p>
        </w:tc>
        <w:tc>
          <w:tcPr>
            <w:tcW w:w="260" w:type="dxa"/>
            <w:vAlign w:val="bottom"/>
            <w:tcBorders>
              <w:top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equity method investments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accounts receivable</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Currency devaluation loss in Venezuela</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FF0FC"/>
            </w:tcBorders>
          </w:tcPr>
          <w:p>
            <w:pPr>
              <w:spacing w:after="0"/>
              <w:rPr>
                <w:sz w:val="19"/>
                <w:szCs w:val="19"/>
                <w:color w:val="auto"/>
              </w:rPr>
            </w:pPr>
          </w:p>
        </w:tc>
      </w:tr>
      <w:tr>
        <w:trPr>
          <w:trHeight w:val="219"/>
        </w:trPr>
        <w:tc>
          <w:tcPr>
            <w:tcW w:w="67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2" w:lineRule="exact"/>
        <w:rPr>
          <w:sz w:val="20"/>
          <w:szCs w:val="20"/>
          <w:color w:val="auto"/>
        </w:rPr>
      </w:pPr>
    </w:p>
    <w:p>
      <w:pPr>
        <w:ind w:left="180" w:hanging="174"/>
        <w:spacing w:after="0"/>
        <w:tabs>
          <w:tab w:leader="none" w:pos="1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Acquisitions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Formation of OneSubsea Joint Venture</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June 30, 2013, Schlumberger and Cameron completed the formation of OneSubsea, a joint venture to manufacture and develop products, systems and services for the subsea oil and gas market. Schlumberger and Cameron each contributed all of their respective subsea businesses to the joint venture and Schlumberger made a $600 million cash payment to Cameron. Schlumberger owns 40% of OneSubsea and accounts for this investment under the equity method. Schlumberger recognized a pretax and after-tax gain of $1.028 billion, which is classified as </w:t>
      </w:r>
      <w:r>
        <w:rPr>
          <w:rFonts w:ascii="Times New Roman" w:cs="Times New Roman" w:eastAsia="Times New Roman" w:hAnsi="Times New Roman"/>
          <w:sz w:val="18"/>
          <w:szCs w:val="18"/>
          <w:i w:val="1"/>
          <w:iCs w:val="1"/>
          <w:color w:val="auto"/>
        </w:rPr>
        <w:t>Gain on formation of OneSubsea</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of Income</w:t>
      </w:r>
      <w:r>
        <w:rPr>
          <w:rFonts w:ascii="Times New Roman" w:cs="Times New Roman" w:eastAsia="Times New Roman" w:hAnsi="Times New Roman"/>
          <w:sz w:val="18"/>
          <w:szCs w:val="18"/>
          <w:color w:val="auto"/>
        </w:rPr>
        <w:t>, as a result of the deconsolidation of its subsea business. This gain is equal to the difference between the fair value of the Schlumberger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subsea business, which was determined based on the present value of its estimated future cash flows, and its carrying value at the time of closing.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made other acquisitions and investments for cash payments, net of cash acquired, of $443 million during 2015, $1.008 billion during 2014, and $610 million during 2013. Additionally, during 2014 Schlumberger issued 2.1 million shares of its common stock, valued at $213 million, in connection with an acquisition. None of these transactions were significant to Schlumberger’s consolidated financial statements, either individually or in the aggregate.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59" w:right="239" w:bottom="1440" w:gutter="0" w:footer="0" w:header="0"/>
        </w:sectPr>
      </w:pPr>
    </w:p>
    <w:bookmarkStart w:id="43" w:name="page44"/>
    <w:bookmarkEnd w:id="43"/>
    <w:p>
      <w:pPr>
        <w:ind w:left="180" w:hanging="174"/>
        <w:spacing w:after="0"/>
        <w:tabs>
          <w:tab w:leader="none" w:pos="1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Inventories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inventories, which are stated at the lower of average cost or market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6"/>
        </w:trPr>
        <w:tc>
          <w:tcPr>
            <w:tcW w:w="180" w:type="dxa"/>
            <w:vAlign w:val="bottom"/>
            <w:tcBorders>
              <w:bottom w:val="single" w:sz="8" w:color="CFF0FC"/>
            </w:tcBorders>
          </w:tcPr>
          <w:p>
            <w:pPr>
              <w:spacing w:after="0"/>
              <w:rPr>
                <w:sz w:val="24"/>
                <w:szCs w:val="24"/>
                <w:color w:val="auto"/>
              </w:rPr>
            </w:pPr>
          </w:p>
        </w:tc>
        <w:tc>
          <w:tcPr>
            <w:tcW w:w="940" w:type="dxa"/>
            <w:vAlign w:val="bottom"/>
            <w:tcBorders>
              <w:bottom w:val="single" w:sz="8" w:color="CFF0FC"/>
            </w:tcBorders>
          </w:tcPr>
          <w:p>
            <w:pPr>
              <w:spacing w:after="0"/>
              <w:rPr>
                <w:sz w:val="24"/>
                <w:szCs w:val="24"/>
                <w:color w:val="auto"/>
              </w:rPr>
            </w:pPr>
          </w:p>
        </w:tc>
        <w:tc>
          <w:tcPr>
            <w:tcW w:w="670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&amp; field materials</w:t>
            </w:r>
          </w:p>
        </w:tc>
        <w:tc>
          <w:tcPr>
            <w:tcW w:w="36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1,278</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3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Fixed Assets</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782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fixed assets follows: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6"/>
        </w:trPr>
        <w:tc>
          <w:tcPr>
            <w:tcW w:w="180" w:type="dxa"/>
            <w:vAlign w:val="bottom"/>
            <w:tcBorders>
              <w:bottom w:val="single" w:sz="8" w:color="CFF0FC"/>
            </w:tcBorders>
          </w:tcPr>
          <w:p>
            <w:pPr>
              <w:spacing w:after="0"/>
              <w:rPr>
                <w:sz w:val="24"/>
                <w:szCs w:val="24"/>
                <w:color w:val="auto"/>
              </w:rPr>
            </w:pPr>
          </w:p>
        </w:tc>
        <w:tc>
          <w:tcPr>
            <w:tcW w:w="940" w:type="dxa"/>
            <w:vAlign w:val="bottom"/>
            <w:tcBorders>
              <w:bottom w:val="single" w:sz="8" w:color="CFF0FC"/>
            </w:tcBorders>
          </w:tcPr>
          <w:p>
            <w:pPr>
              <w:spacing w:after="0"/>
              <w:rPr>
                <w:sz w:val="24"/>
                <w:szCs w:val="24"/>
                <w:color w:val="auto"/>
              </w:rPr>
            </w:pPr>
          </w:p>
        </w:tc>
        <w:tc>
          <w:tcPr>
            <w:tcW w:w="670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 &amp; improvements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&amp; equipment</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31,885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Seismic vessels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850</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7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37,120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23,705</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67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13,415</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estimated useful lives of Buildings &amp; improvements are primarily 25 to 30 years. The estimated useful lives of Machinery &amp; equipment are primarily 5 to 10 years. Seismic vessels are depreciated over periods ranging from 20 to 30 years.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which is recorded on a straight-line basis, was $3.2 billion, $3.2 billion and $3.1 billion in 2015, 2014 and 2013, respectively.</w:t>
      </w:r>
    </w:p>
    <w:p>
      <w:pPr>
        <w:spacing w:after="0" w:line="349" w:lineRule="exact"/>
        <w:rPr>
          <w:sz w:val="20"/>
          <w:szCs w:val="20"/>
          <w:color w:val="auto"/>
        </w:rPr>
      </w:pPr>
    </w:p>
    <w:p>
      <w:pPr>
        <w:ind w:left="180" w:hanging="174"/>
        <w:spacing w:after="0"/>
        <w:tabs>
          <w:tab w:leader="none" w:pos="1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Multiclient Seismic Data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carrying amount of multiclient seismic data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3840" w:type="dxa"/>
            <w:vAlign w:val="bottom"/>
          </w:tcPr>
          <w:p>
            <w:pPr>
              <w:spacing w:after="0"/>
              <w:rPr>
                <w:sz w:val="24"/>
                <w:szCs w:val="24"/>
                <w:color w:val="auto"/>
              </w:rPr>
            </w:pPr>
          </w:p>
        </w:tc>
        <w:tc>
          <w:tcPr>
            <w:tcW w:w="506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2015</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9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793</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 period</w:t>
            </w:r>
          </w:p>
        </w:tc>
        <w:tc>
          <w:tcPr>
            <w:tcW w:w="3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Charged to expense</w:t>
            </w:r>
          </w:p>
        </w:tc>
        <w:tc>
          <w:tcPr>
            <w:tcW w:w="39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(253)</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980" w:type="dxa"/>
            <w:vAlign w:val="bottom"/>
            <w:vMerge w:val="restart"/>
          </w:tcPr>
          <w:p>
            <w:pPr>
              <w:jc w:val="right"/>
              <w:ind w:right="1931"/>
              <w:spacing w:after="0"/>
              <w:rPr>
                <w:sz w:val="20"/>
                <w:szCs w:val="20"/>
                <w:color w:val="auto"/>
              </w:rPr>
            </w:pPr>
            <w:r>
              <w:rPr>
                <w:rFonts w:ascii="Times New Roman" w:cs="Times New Roman" w:eastAsia="Times New Roman" w:hAnsi="Times New Roman"/>
                <w:sz w:val="18"/>
                <w:szCs w:val="18"/>
                <w:color w:val="auto"/>
              </w:rPr>
              <w:t>44</w:t>
            </w: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84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84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19" w:right="219" w:bottom="1440" w:gutter="0" w:footer="0" w:header="0"/>
        </w:sectPr>
      </w:pPr>
    </w:p>
    <w:bookmarkStart w:id="44" w:name="page45"/>
    <w:bookmarkEnd w:id="44"/>
    <w:p>
      <w:pPr>
        <w:ind w:left="180" w:hanging="174"/>
        <w:spacing w:after="0"/>
        <w:tabs>
          <w:tab w:leader="none" w:pos="1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Goodwill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reporting unit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Reservoir</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color w:val="auto"/>
              </w:rPr>
              <w:t>Characterization</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Drilling</w:t>
            </w:r>
          </w:p>
        </w:tc>
        <w:tc>
          <w:tcPr>
            <w:tcW w:w="120" w:type="dxa"/>
            <w:vAlign w:val="bottom"/>
          </w:tcPr>
          <w:p>
            <w:pPr>
              <w:spacing w:after="0"/>
              <w:rPr>
                <w:sz w:val="20"/>
                <w:szCs w:val="20"/>
                <w:color w:val="auto"/>
              </w:rPr>
            </w:pPr>
          </w:p>
        </w:tc>
        <w:tc>
          <w:tcPr>
            <w:tcW w:w="1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Production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9"/>
        </w:trPr>
        <w:tc>
          <w:tcPr>
            <w:tcW w:w="356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2014</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14,706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Reallocation</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Impact of changes in exchange rates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9"/>
        </w:trPr>
        <w:tc>
          <w:tcPr>
            <w:tcW w:w="356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15,487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Impact of changes in exchange rates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9"/>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December 31, 2015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Intangible Assets</w:t>
            </w: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35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intangible assets follows: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50"/>
        </w:trPr>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2014</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9"/>
                <w:szCs w:val="19"/>
                <w:color w:val="auto"/>
              </w:rPr>
            </w:pPr>
          </w:p>
        </w:tc>
        <w:tc>
          <w:tcPr>
            <w:tcW w:w="1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Accumulated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7"/>
              </w:rPr>
              <w:t>Net Book</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Book Value</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4"/>
              </w:rPr>
              <w:t>Book Value</w:t>
            </w:r>
          </w:p>
        </w:tc>
        <w:tc>
          <w:tcPr>
            <w:tcW w:w="120" w:type="dxa"/>
            <w:vAlign w:val="bottom"/>
          </w:tcPr>
          <w:p>
            <w:pPr>
              <w:spacing w:after="0"/>
              <w:rPr>
                <w:sz w:val="20"/>
                <w:szCs w:val="20"/>
                <w:color w:val="auto"/>
              </w:rPr>
            </w:pPr>
          </w:p>
        </w:tc>
        <w:tc>
          <w:tcPr>
            <w:tcW w:w="1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19"/>
        </w:trPr>
        <w:tc>
          <w:tcPr>
            <w:tcW w:w="3560" w:type="dxa"/>
            <w:vAlign w:val="bottom"/>
            <w:tcBorders>
              <w:top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2,489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1,844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Technology/Technical Know-How</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60" w:type="dxa"/>
            <w:vAlign w:val="bottom"/>
            <w:tcBorders>
              <w:bottom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20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6,491</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1,922</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4,569</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Customer relationships are generally amortized over periods ranging from 18 to 28 years, technology\technical know-how are generally amortized over periods ranging from 10 to 18 years, and tradenames are generally amortized over periods ranging from 15 to 30 years.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$354 million in 2015, $344 million in 2014 and $330 million in 2013.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carrying value of intangible assets at December 31, 2015, amortization expense for the subsequent five years is estimated to be as follows: 2016:</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$373 million, 2017: $365 million, 2018: $357 million, 2019: $341 million and 2020: $319 million.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45" w:name="page46"/>
    <w:bookmarkEnd w:id="45"/>
    <w:p>
      <w:pPr>
        <w:ind w:left="280" w:hanging="274"/>
        <w:spacing w:after="0"/>
        <w:tabs>
          <w:tab w:leader="none" w:pos="2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Long-term Debt and Debt Facility Agreements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consists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480" w:type="dxa"/>
            <w:vAlign w:val="bottom"/>
            <w:tcBorders>
              <w:bottom w:val="single" w:sz="8" w:color="CFF0FC"/>
            </w:tcBorders>
          </w:tcPr>
          <w:p>
            <w:pPr>
              <w:spacing w:after="0"/>
              <w:rPr>
                <w:sz w:val="24"/>
                <w:szCs w:val="24"/>
                <w:color w:val="auto"/>
              </w:rPr>
            </w:pPr>
          </w:p>
        </w:tc>
        <w:tc>
          <w:tcPr>
            <w:tcW w:w="7340" w:type="dxa"/>
            <w:vAlign w:val="bottom"/>
            <w:tcBorders>
              <w:bottom w:val="single" w:sz="8" w:color="CFF0FC"/>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FF0FC"/>
            </w:tcBorders>
          </w:tcPr>
          <w:p>
            <w:pPr>
              <w:spacing w:after="0"/>
              <w:rPr>
                <w:sz w:val="24"/>
                <w:szCs w:val="24"/>
                <w:color w:val="auto"/>
              </w:rPr>
            </w:pPr>
          </w:p>
        </w:tc>
      </w:tr>
      <w:tr>
        <w:trPr>
          <w:trHeight w:val="219"/>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4.00%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Senior Notes due 2025 </w:t>
            </w:r>
            <w:r>
              <w:rPr>
                <w:rFonts w:ascii="Times New Roman" w:cs="Times New Roman" w:eastAsia="Times New Roman" w:hAnsi="Times New Roman"/>
                <w:sz w:val="15"/>
                <w:szCs w:val="15"/>
                <w:color w:val="auto"/>
              </w:rPr>
              <w:t>(1)</w:t>
            </w:r>
          </w:p>
        </w:tc>
        <w:tc>
          <w:tcPr>
            <w:tcW w:w="1040" w:type="dxa"/>
            <w:vAlign w:val="bottom"/>
            <w:shd w:val="clear" w:color="auto" w:fill="CFF0FC"/>
          </w:tcPr>
          <w:p>
            <w:pPr>
              <w:jc w:val="right"/>
              <w:ind w:right="8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3.30%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2021</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3.00%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Senior Notes due 2020 </w:t>
            </w:r>
            <w:r>
              <w:rPr>
                <w:rFonts w:ascii="Times New Roman" w:cs="Times New Roman" w:eastAsia="Times New Roman" w:hAnsi="Times New Roman"/>
                <w:sz w:val="15"/>
                <w:szCs w:val="15"/>
                <w:color w:val="auto"/>
              </w:rPr>
              <w:t>(1)</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3.65%</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2023</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2.35%</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Senior Notes due 2018 </w:t>
            </w:r>
            <w:r>
              <w:rPr>
                <w:rFonts w:ascii="Times New Roman" w:cs="Times New Roman" w:eastAsia="Times New Roman" w:hAnsi="Times New Roman"/>
                <w:sz w:val="15"/>
                <w:szCs w:val="15"/>
                <w:color w:val="auto"/>
              </w:rPr>
              <w:t>(1)</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4.20%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2021</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1.25%</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2017</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2.40%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2022</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3.63%</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Senior Notes due 2022 </w:t>
            </w:r>
            <w:r>
              <w:rPr>
                <w:rFonts w:ascii="Times New Roman" w:cs="Times New Roman" w:eastAsia="Times New Roman" w:hAnsi="Times New Roman"/>
                <w:sz w:val="15"/>
                <w:szCs w:val="15"/>
                <w:color w:val="auto"/>
              </w:rPr>
              <w:t>(1)</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1.50%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Guaranteed Notes due 2019 </w:t>
            </w:r>
            <w:r>
              <w:rPr>
                <w:rFonts w:ascii="Times New Roman" w:cs="Times New Roman" w:eastAsia="Times New Roman" w:hAnsi="Times New Roman"/>
                <w:sz w:val="15"/>
                <w:szCs w:val="15"/>
                <w:color w:val="auto"/>
              </w:rPr>
              <w:t>(2)</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1.90%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Senior Notes due 2017 </w:t>
            </w:r>
            <w:r>
              <w:rPr>
                <w:rFonts w:ascii="Times New Roman" w:cs="Times New Roman" w:eastAsia="Times New Roman" w:hAnsi="Times New Roman"/>
                <w:sz w:val="15"/>
                <w:szCs w:val="15"/>
                <w:color w:val="auto"/>
              </w:rPr>
              <w:t>(1)</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1.95%</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2016</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2.65%</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Senior Notes due 2016 </w:t>
            </w:r>
            <w:r>
              <w:rPr>
                <w:rFonts w:ascii="Times New Roman" w:cs="Times New Roman" w:eastAsia="Times New Roman" w:hAnsi="Times New Roman"/>
                <w:sz w:val="15"/>
                <w:szCs w:val="15"/>
                <w:color w:val="auto"/>
              </w:rPr>
              <w:t>(3)</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 borrowings</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73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711</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FF0FC"/>
          </w:tcPr>
          <w:p>
            <w:pPr>
              <w:spacing w:after="0"/>
              <w:rPr>
                <w:sz w:val="19"/>
                <w:szCs w:val="19"/>
                <w:color w:val="auto"/>
              </w:rPr>
            </w:pPr>
          </w:p>
        </w:tc>
      </w:tr>
      <w:tr>
        <w:trPr>
          <w:trHeight w:val="219"/>
        </w:trPr>
        <w:tc>
          <w:tcPr>
            <w:tcW w:w="48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104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14,442</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10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left="300" w:hanging="287"/>
        <w:spacing w:after="0" w:line="233" w:lineRule="auto"/>
        <w:tabs>
          <w:tab w:leader="none" w:pos="383" w:val="left"/>
        </w:tabs>
        <w:numPr>
          <w:ilvl w:val="0"/>
          <w:numId w:val="3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231F20"/>
        </w:rPr>
        <w:t>If the closing of the Cameron merger does not occur on or prior to August 25, 2016 (which may be extended to November 25, 2016 under certain circumstances) or if the Cameron merger agreement is terminated at any time prior thereto, these notes will be subject to a special mandatory redemption. The special mandatory redemption price will be equal to 101% of the aggregate principal amount of the notes that are redeemed, plus accrued and unpaid interest.</w:t>
      </w:r>
    </w:p>
    <w:p>
      <w:pPr>
        <w:spacing w:after="0" w:line="90" w:lineRule="exact"/>
        <w:rPr>
          <w:rFonts w:ascii="Times New Roman" w:cs="Times New Roman" w:eastAsia="Times New Roman" w:hAnsi="Times New Roman"/>
          <w:sz w:val="26"/>
          <w:szCs w:val="26"/>
          <w:color w:val="auto"/>
          <w:vertAlign w:val="superscript"/>
        </w:rPr>
      </w:pPr>
    </w:p>
    <w:p>
      <w:pPr>
        <w:jc w:val="both"/>
        <w:ind w:left="300" w:hanging="287"/>
        <w:spacing w:after="0" w:line="230" w:lineRule="auto"/>
        <w:tabs>
          <w:tab w:leader="none" w:pos="304" w:val="left"/>
        </w:tabs>
        <w:numPr>
          <w:ilvl w:val="0"/>
          <w:numId w:val="3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Schlumberger maintains a €5.0 billion Guaranteed Euro Medium Term Note program that provides for the issuance of various types of debt instruments such as fixed or floating rate notes in euro, US dollar or other currencies. Schlumberger issued €0.5 billion 1.50% Guaranteed Notes due 2019 under this program in the fourth quarter of 2013. Schlumberger entered into agreements to swap these euro notes for US dollars on the date of issue until maturity, effectively making this a US dollar denominated debt on which Schlumberger will pay interest in US dollars at a rate equal to three-month LIBOR plus approximately 64 basis points.</w:t>
      </w:r>
    </w:p>
    <w:p>
      <w:pPr>
        <w:spacing w:after="0" w:line="89" w:lineRule="exact"/>
        <w:rPr>
          <w:rFonts w:ascii="Times New Roman" w:cs="Times New Roman" w:eastAsia="Times New Roman" w:hAnsi="Times New Roman"/>
          <w:sz w:val="26"/>
          <w:szCs w:val="26"/>
          <w:color w:val="auto"/>
          <w:vertAlign w:val="superscript"/>
        </w:rPr>
      </w:pPr>
    </w:p>
    <w:p>
      <w:pPr>
        <w:ind w:left="300" w:hanging="287"/>
        <w:spacing w:after="0" w:line="210" w:lineRule="auto"/>
        <w:tabs>
          <w:tab w:leader="none" w:pos="334" w:val="left"/>
        </w:tabs>
        <w:numPr>
          <w:ilvl w:val="0"/>
          <w:numId w:val="3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Schlumberger entered into agreements to swap these dollar notes for euros on the date of issue until maturity, effectively making this a euro-denominated debt on which Schlumberger pays interest at a rate of 2.39%.</w:t>
      </w:r>
    </w:p>
    <w:p>
      <w:pPr>
        <w:spacing w:after="0" w:line="19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Schlumberger Limited fully and unconditionally guarantees the securities issued by certain of its subsidiaries, including securities issued by Schlumberger Investment SA, a wholly-owned finance subsidiary of Schlumberger.</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2015, Schlumberger had separate committed debt facility agreements aggregating $3.8 billion with commercial banks, of which $1.4 billion was available and unused. This included $3.5 billion of committed facilities which support commercial paper programs in the United States and Europe, of which $250 million matures in July 2016, $1.75 billion matures in July 2018, and $1.5 billion matures in November 2018. Interest rates and other terms of borrowing under these lines of credit vary from country to country.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Commercial paper borrowings are classified as long-term debt to the extent of their backup by available and unused committed credit facilities maturing in more than one year and to the extent it is Schlumberger’s intent to maintain these obligations for longer than one year. Borrowings under the commercial paper program at December 31, 2015 were $2.4 billion, of which $1.0 billion was classified within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and $1.4 billion was classified in </w:t>
      </w:r>
      <w:r>
        <w:rPr>
          <w:rFonts w:ascii="Times New Roman" w:cs="Times New Roman" w:eastAsia="Times New Roman" w:hAnsi="Times New Roman"/>
          <w:sz w:val="18"/>
          <w:szCs w:val="18"/>
          <w:i w:val="1"/>
          <w:iCs w:val="1"/>
          <w:color w:val="auto"/>
        </w:rPr>
        <w:t>Long-term debt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portion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Consolidated Balance Sheet</w:t>
      </w:r>
      <w:r>
        <w:rPr>
          <w:rFonts w:ascii="Times New Roman" w:cs="Times New Roman" w:eastAsia="Times New Roman" w:hAnsi="Times New Roman"/>
          <w:sz w:val="18"/>
          <w:szCs w:val="18"/>
          <w:color w:val="auto"/>
        </w:rPr>
        <w:t>. At December 31, 2014, borrowings under the commercial paper program were $1.5 million, all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were classified within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interest rate on variable rate debt as of December 31, 2015 was 1.0%.</w:t>
      </w:r>
    </w:p>
    <w:p>
      <w:pPr>
        <w:spacing w:after="0" w:line="2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as of December 31, 2015, is due as follows: $1.5 billion in 2017, $2.6 billion in 2018, $0.9 billion in 2019, $1.6 billion in 2020, $2.7 billion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$1.9 billion in 2022, $1.5 billion in 2023 and $1.7 billion in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46" w:name="page47"/>
    <w:bookmarkEnd w:id="46"/>
    <w:p>
      <w:pPr>
        <w:spacing w:after="0" w:line="277" w:lineRule="auto"/>
        <w:rPr>
          <w:sz w:val="20"/>
          <w:szCs w:val="20"/>
          <w:color w:val="auto"/>
        </w:rPr>
      </w:pPr>
      <w:r>
        <w:rPr>
          <w:rFonts w:ascii="Times New Roman" w:cs="Times New Roman" w:eastAsia="Times New Roman" w:hAnsi="Times New Roman"/>
          <w:sz w:val="18"/>
          <w:szCs w:val="18"/>
          <w:color w:val="auto"/>
        </w:rPr>
        <w:t xml:space="preserve">The fair value of Schlumberger’s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at December 31, 2015 and December 31, 2014 was $14.4 billion and $10.7 billion, respectively, and was estimated based on quoted market prices.</w:t>
      </w:r>
    </w:p>
    <w:p>
      <w:pPr>
        <w:spacing w:after="0" w:line="266" w:lineRule="exact"/>
        <w:rPr>
          <w:sz w:val="20"/>
          <w:szCs w:val="20"/>
          <w:color w:val="auto"/>
        </w:rPr>
      </w:pPr>
    </w:p>
    <w:p>
      <w:pPr>
        <w:ind w:left="260" w:hanging="254"/>
        <w:spacing w:after="0"/>
        <w:tabs>
          <w:tab w:leader="none" w:pos="2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 and Hedging Activities</w:t>
      </w:r>
    </w:p>
    <w:p>
      <w:pPr>
        <w:spacing w:after="0" w:line="11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Schlumberger is exposed to market risks related to fluctuations in interest rates and foreign currency exchange rates. To mitigate these risks, Schlumberger utilizes derivative instruments. Schlumberger does not enter into derivative transactions for speculative purposes.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2013, Schlumberger entered into a cross currency swap for a notional amount of €0.5 billion in order to hedge changes in the fair value of Schlumberger’s €0.5 billion 1.50% Guaranteed Notes due 2019. Under the terms of this swap, Schlumberger will receive interest at a fixed rate of 1.50% on the euro notional amount and pay interest at a floating rate of three-month LIBOR plus approximately 64 basis points on the US dollar notional amount.</w:t>
      </w:r>
    </w:p>
    <w:p>
      <w:pPr>
        <w:spacing w:after="0" w:line="18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This cross currency swap is designated as a fair value hedge of the underlying debt. This derivative instrument is marked to market with gains and losses recognized currently in income to largely offset the respective gains and losses recognized on changes in the fair value of the hedged debt.</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December 31, 2015, Schlumberger had fixed rate debt aggregating $13.8 billion and variable rate debt aggregating $5.2 billion, after taking into account the effect of the swap.</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Fixed income investments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held to maturity</w:t>
      </w:r>
      <w:r>
        <w:rPr>
          <w:rFonts w:ascii="Times New Roman" w:cs="Times New Roman" w:eastAsia="Times New Roman" w:hAnsi="Times New Roman"/>
          <w:sz w:val="18"/>
          <w:szCs w:val="18"/>
          <w:color w:val="auto"/>
        </w:rPr>
        <w:t>, totaled $10.7 billion at December 31, 2015. The carrying value of these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approximated fair value, which was estimated using quoted market prices for those or similar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multinational company, Schlumberger conducts its business in approximately 85 countries. Schlumberger’s functional currency is primarily the US dollar. Approximately 83% of Schlumberger’s revenues in 2015 was denominated in US dollars.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Schlumberger is exposed to risks on future cash flows to the extent that the local currency is not the functional currency and expenses denominated in local currency are not equal to revenues denominated in local currency. Schlumberger is also exposed to risks on future cash flows relating to certain of its fixed rate debt which is denominated in currencies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Amounts recorded in </w:t>
      </w:r>
      <w:r>
        <w:rPr>
          <w:rFonts w:ascii="Times New Roman" w:cs="Times New Roman" w:eastAsia="Times New Roman" w:hAnsi="Times New Roman"/>
          <w:sz w:val="18"/>
          <w:szCs w:val="18"/>
          <w:i w:val="1"/>
          <w:iCs w:val="1"/>
          <w:color w:val="auto"/>
        </w:rPr>
        <w:t>Accumulated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Comprehensive Loss </w:t>
      </w:r>
      <w:r>
        <w:rPr>
          <w:rFonts w:ascii="Times New Roman" w:cs="Times New Roman" w:eastAsia="Times New Roman" w:hAnsi="Times New Roman"/>
          <w:sz w:val="18"/>
          <w:szCs w:val="18"/>
          <w:color w:val="auto"/>
        </w:rPr>
        <w:t>are reclassified into earnings in the same period or periods that the hedged item is recognized in earnings. The ineffective portion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the fair value of hedging instruments, if any, is recorded directly to earnings.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At December 31, 2015, Schlumberger recognized a cumulative net $39 million loss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relating to revaluation of foreign currency forward contracts and foreign currency options designated as cash flow hedges, the majority of which is expected to be reclassified into earnings within the next 12 months.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Schlumberger is exposed to changes in the fair value of assets and liabilities which are denominated in currencies other than the functional currency. While Schlumberger uses foreign currency forward contracts and foreign currency options to economically hedge this exposure as it relates to certain currencies, these contracts are not designated as hedges for accounting purposes. Instead the fair value of the contracts are recorded on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and changes in the fair value are recognized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xml:space="preserve"> as are changes in fair value of the hedged item. Transaction losses of $27 million, $67 million and $24 million, net of related hedging activities, were recognized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xml:space="preserve"> in 2015, 2014 and 2013, respectively.</w:t>
      </w:r>
    </w:p>
    <w:p>
      <w:pPr>
        <w:spacing w:after="0" w:line="18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December 31, 2015, contracts were outstanding for the US dollar equivalent of $3.8 billion in various foreign currencies, of which $1.2 billion relates to hedges of debt denominated in currencies other than the functional currency.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The fair values of outstanding derivative instruments are summarized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24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354"/>
        </w:trPr>
        <w:tc>
          <w:tcPr>
            <w:tcW w:w="5740" w:type="dxa"/>
            <w:vAlign w:val="bottom"/>
          </w:tcPr>
          <w:p>
            <w:pPr>
              <w:spacing w:after="0"/>
              <w:rPr>
                <w:sz w:val="24"/>
                <w:szCs w:val="24"/>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of Derivatives</w:t>
            </w:r>
          </w:p>
        </w:tc>
        <w:tc>
          <w:tcPr>
            <w:tcW w:w="340" w:type="dxa"/>
            <w:vAlign w:val="bottom"/>
          </w:tcPr>
          <w:p>
            <w:pPr>
              <w:spacing w:after="0"/>
              <w:rPr>
                <w:sz w:val="24"/>
                <w:szCs w:val="24"/>
                <w:color w:val="auto"/>
              </w:rPr>
            </w:pPr>
          </w:p>
        </w:tc>
        <w:tc>
          <w:tcPr>
            <w:tcW w:w="31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Consolidated Balance Sheet Classification</w:t>
            </w:r>
          </w:p>
        </w:tc>
      </w:tr>
      <w:tr>
        <w:trPr>
          <w:trHeight w:val="207"/>
        </w:trPr>
        <w:tc>
          <w:tcPr>
            <w:tcW w:w="5740" w:type="dxa"/>
            <w:vAlign w:val="bottom"/>
          </w:tcPr>
          <w:p>
            <w:pPr>
              <w:spacing w:after="0"/>
              <w:rPr>
                <w:sz w:val="18"/>
                <w:szCs w:val="18"/>
                <w:color w:val="auto"/>
              </w:rPr>
            </w:pPr>
          </w:p>
        </w:tc>
        <w:tc>
          <w:tcPr>
            <w:tcW w:w="84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2015</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r>
      <w:tr>
        <w:trPr>
          <w:trHeight w:val="220"/>
        </w:trPr>
        <w:tc>
          <w:tcPr>
            <w:tcW w:w="5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8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920" w:type="dxa"/>
            <w:vAlign w:val="bottom"/>
            <w:tcBorders>
              <w:top w:val="single" w:sz="8" w:color="CFF0FC"/>
            </w:tcBorders>
            <w:shd w:val="clear" w:color="auto" w:fill="CFF0FC"/>
          </w:tcPr>
          <w:p>
            <w:pPr>
              <w:spacing w:after="0"/>
              <w:rPr>
                <w:sz w:val="19"/>
                <w:szCs w:val="19"/>
                <w:color w:val="auto"/>
              </w:rPr>
            </w:pPr>
          </w:p>
        </w:tc>
      </w:tr>
      <w:tr>
        <w:trPr>
          <w:trHeight w:val="22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2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840" w:type="dxa"/>
            <w:vAlign w:val="bottom"/>
            <w:shd w:val="clear" w:color="auto" w:fill="CFF0FC"/>
          </w:tcPr>
          <w:p>
            <w:pPr>
              <w:jc w:val="right"/>
              <w:ind w:right="6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4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i w:val="1"/>
                <w:iCs w:val="1"/>
                <w:color w:val="auto"/>
              </w:rPr>
              <w:t>Other current assets</w:t>
            </w:r>
          </w:p>
        </w:tc>
      </w:tr>
      <w:tr>
        <w:trPr>
          <w:trHeight w:val="226"/>
        </w:trPr>
        <w:tc>
          <w:tcPr>
            <w:tcW w:w="5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8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16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Other Assets</w:t>
            </w:r>
          </w:p>
        </w:tc>
      </w:tr>
      <w:tr>
        <w:trPr>
          <w:trHeight w:val="219"/>
        </w:trPr>
        <w:tc>
          <w:tcPr>
            <w:tcW w:w="57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19"/>
                <w:szCs w:val="19"/>
                <w:color w:val="auto"/>
              </w:rPr>
            </w:pPr>
          </w:p>
        </w:tc>
      </w:tr>
      <w:tr>
        <w:trPr>
          <w:trHeight w:val="445"/>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2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840" w:type="dxa"/>
            <w:vAlign w:val="bottom"/>
            <w:shd w:val="clear" w:color="auto" w:fill="CFF0FC"/>
          </w:tcPr>
          <w:p>
            <w:pPr>
              <w:jc w:val="right"/>
              <w:ind w:right="6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4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i w:val="1"/>
                <w:iCs w:val="1"/>
                <w:color w:val="auto"/>
              </w:rPr>
              <w:t>Other current assets</w:t>
            </w:r>
          </w:p>
        </w:tc>
      </w:tr>
      <w:tr>
        <w:trPr>
          <w:trHeight w:val="259"/>
        </w:trPr>
        <w:tc>
          <w:tcPr>
            <w:tcW w:w="574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40" w:type="dxa"/>
            <w:vAlign w:val="bottom"/>
            <w:tcBorders>
              <w:bottom w:val="single" w:sz="8" w:color="CFF0FC"/>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bottom w:val="single" w:sz="8" w:color="CFF0FC"/>
            </w:tcBorders>
          </w:tcPr>
          <w:p>
            <w:pPr>
              <w:spacing w:after="0"/>
              <w:rPr>
                <w:sz w:val="22"/>
                <w:szCs w:val="22"/>
                <w:color w:val="auto"/>
              </w:rPr>
            </w:pPr>
          </w:p>
        </w:tc>
        <w:tc>
          <w:tcPr>
            <w:tcW w:w="2920" w:type="dxa"/>
            <w:vAlign w:val="bottom"/>
            <w:tcBorders>
              <w:bottom w:val="single" w:sz="8" w:color="CFF0FC"/>
            </w:tcBorders>
          </w:tcPr>
          <w:p>
            <w:pPr>
              <w:spacing w:after="0"/>
              <w:rPr>
                <w:sz w:val="22"/>
                <w:szCs w:val="22"/>
                <w:color w:val="auto"/>
              </w:rPr>
            </w:pPr>
          </w:p>
        </w:tc>
      </w:tr>
      <w:tr>
        <w:trPr>
          <w:trHeight w:val="206"/>
        </w:trPr>
        <w:tc>
          <w:tcPr>
            <w:tcW w:w="5740" w:type="dxa"/>
            <w:vAlign w:val="bottom"/>
            <w:shd w:val="clear" w:color="auto" w:fill="CFF0FC"/>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Derivative Liabilities</w:t>
            </w:r>
          </w:p>
        </w:tc>
        <w:tc>
          <w:tcPr>
            <w:tcW w:w="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920" w:type="dxa"/>
            <w:vAlign w:val="bottom"/>
            <w:shd w:val="clear" w:color="auto" w:fill="CFF0FC"/>
          </w:tcPr>
          <w:p>
            <w:pPr>
              <w:spacing w:after="0"/>
              <w:rPr>
                <w:sz w:val="17"/>
                <w:szCs w:val="17"/>
                <w:color w:val="auto"/>
              </w:rPr>
            </w:pPr>
          </w:p>
        </w:tc>
      </w:tr>
      <w:tr>
        <w:trPr>
          <w:trHeight w:val="22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2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840" w:type="dxa"/>
            <w:vAlign w:val="bottom"/>
            <w:shd w:val="clear" w:color="auto" w:fill="CFF0FC"/>
          </w:tcPr>
          <w:p>
            <w:pPr>
              <w:jc w:val="right"/>
              <w:ind w:right="6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4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i w:val="1"/>
                <w:iCs w:val="1"/>
                <w:color w:val="auto"/>
                <w:w w:val="98"/>
              </w:rPr>
              <w:t>Accounts payable and accrued liabilities</w:t>
            </w:r>
          </w:p>
        </w:tc>
      </w:tr>
      <w:tr>
        <w:trPr>
          <w:trHeight w:val="22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16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Other Liabilities</w:t>
            </w:r>
          </w:p>
        </w:tc>
      </w:tr>
      <w:tr>
        <w:trPr>
          <w:trHeight w:val="22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Cross currency swap</w:t>
            </w:r>
          </w:p>
        </w:tc>
        <w:tc>
          <w:tcPr>
            <w:tcW w:w="8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1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i w:val="1"/>
                <w:iCs w:val="1"/>
                <w:color w:val="auto"/>
              </w:rPr>
              <w:t>Other Liabilities</w:t>
            </w:r>
          </w:p>
        </w:tc>
      </w:tr>
      <w:tr>
        <w:trPr>
          <w:trHeight w:val="219"/>
        </w:trPr>
        <w:tc>
          <w:tcPr>
            <w:tcW w:w="5740" w:type="dxa"/>
            <w:vAlign w:val="bottom"/>
          </w:tcPr>
          <w:p>
            <w:pPr>
              <w:spacing w:after="0"/>
              <w:rPr>
                <w:sz w:val="19"/>
                <w:szCs w:val="19"/>
                <w:color w:val="auto"/>
              </w:rPr>
            </w:pPr>
          </w:p>
        </w:tc>
        <w:tc>
          <w:tcPr>
            <w:tcW w:w="84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4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19"/>
        </w:trPr>
        <w:tc>
          <w:tcPr>
            <w:tcW w:w="5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2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920" w:type="dxa"/>
            <w:vAlign w:val="bottom"/>
            <w:shd w:val="clear" w:color="auto" w:fill="CFF0FC"/>
          </w:tcPr>
          <w:p>
            <w:pPr>
              <w:spacing w:after="0"/>
              <w:rPr>
                <w:sz w:val="19"/>
                <w:szCs w:val="19"/>
                <w:color w:val="auto"/>
              </w:rPr>
            </w:pPr>
          </w:p>
        </w:tc>
      </w:tr>
      <w:tr>
        <w:trPr>
          <w:trHeight w:val="22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840" w:type="dxa"/>
            <w:vAlign w:val="bottom"/>
          </w:tcPr>
          <w:p>
            <w:pPr>
              <w:jc w:val="right"/>
              <w:ind w:right="6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40" w:type="dxa"/>
            <w:vAlign w:val="bottom"/>
            <w:gridSpan w:val="2"/>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16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w w:val="98"/>
              </w:rPr>
              <w:t>Accounts payable and accrued liabilities</w:t>
            </w:r>
          </w:p>
        </w:tc>
      </w:tr>
      <w:tr>
        <w:trPr>
          <w:trHeight w:val="219"/>
        </w:trPr>
        <w:tc>
          <w:tcPr>
            <w:tcW w:w="57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9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fair value of all outstanding derivatives is determined using a model with inputs that are observable in the market or can be derived from or corroborated by observable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effect of derivative instruments designated as fair value hedges and those not designated as hedges on the </w:t>
      </w:r>
      <w:r>
        <w:rPr>
          <w:rFonts w:ascii="Times New Roman" w:cs="Times New Roman" w:eastAsia="Times New Roman" w:hAnsi="Times New Roman"/>
          <w:sz w:val="17"/>
          <w:szCs w:val="17"/>
          <w:i w:val="1"/>
          <w:iCs w:val="1"/>
          <w:color w:val="auto"/>
        </w:rPr>
        <w:t>Consolidated Statement of Income</w:t>
      </w:r>
      <w:r>
        <w:rPr>
          <w:rFonts w:ascii="Times New Roman" w:cs="Times New Roman" w:eastAsia="Times New Roman" w:hAnsi="Times New Roman"/>
          <w:sz w:val="17"/>
          <w:szCs w:val="17"/>
          <w:color w:val="auto"/>
        </w:rPr>
        <w:t xml:space="preserve"> was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56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Gain (Loss) Recognized in Income</w:t>
            </w: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6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2015</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Consolidated Statement</w:t>
            </w:r>
          </w:p>
        </w:tc>
        <w:tc>
          <w:tcPr>
            <w:tcW w:w="0" w:type="dxa"/>
            <w:vAlign w:val="bottom"/>
          </w:tcPr>
          <w:p>
            <w:pPr>
              <w:spacing w:after="0"/>
              <w:rPr>
                <w:sz w:val="1"/>
                <w:szCs w:val="1"/>
                <w:color w:val="auto"/>
              </w:rPr>
            </w:pPr>
          </w:p>
        </w:tc>
      </w:tr>
      <w:tr>
        <w:trPr>
          <w:trHeight w:val="211"/>
        </w:trPr>
        <w:tc>
          <w:tcPr>
            <w:tcW w:w="568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color w:val="auto"/>
              </w:rPr>
              <w:t>2014</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color w:val="auto"/>
                <w:w w:val="99"/>
              </w:rPr>
              <w:t>2013</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of Income Classification</w:t>
            </w:r>
          </w:p>
        </w:tc>
        <w:tc>
          <w:tcPr>
            <w:tcW w:w="0" w:type="dxa"/>
            <w:vAlign w:val="bottom"/>
          </w:tcPr>
          <w:p>
            <w:pPr>
              <w:spacing w:after="0"/>
              <w:rPr>
                <w:sz w:val="1"/>
                <w:szCs w:val="1"/>
                <w:color w:val="auto"/>
              </w:rPr>
            </w:pPr>
          </w:p>
        </w:tc>
      </w:tr>
      <w:tr>
        <w:trPr>
          <w:trHeight w:val="222"/>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designated as fair value hedges:</w:t>
            </w: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Cross currency swap</w:t>
            </w:r>
          </w:p>
        </w:tc>
        <w:tc>
          <w:tcPr>
            <w:tcW w:w="740" w:type="dxa"/>
            <w:vAlign w:val="bottom"/>
          </w:tcPr>
          <w:p>
            <w:pPr>
              <w:jc w:val="right"/>
              <w:ind w:right="5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w:t>
            </w:r>
          </w:p>
        </w:tc>
        <w:tc>
          <w:tcPr>
            <w:tcW w:w="38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Interest expense</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740" w:type="dxa"/>
            <w:vAlign w:val="bottom"/>
          </w:tcPr>
          <w:p>
            <w:pPr>
              <w:jc w:val="right"/>
              <w:ind w:right="5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w:t>
            </w:r>
          </w:p>
        </w:tc>
        <w:tc>
          <w:tcPr>
            <w:tcW w:w="38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Cost of revenue</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ind w:left="280" w:hanging="274"/>
        <w:spacing w:after="0"/>
        <w:tabs>
          <w:tab w:leader="none" w:pos="2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Stockholders’ Equity</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Schlumberger is authorized to issue 4,500,000,000 shares of common stock, par value $0.01 per share, of which 1,256,367,980 and 1,275,312,404 shares were outstanding on December 31, 2015 and 2014, respectively. Holders of common stock are entitled to one vote for each share of stock held. Schlumberger is also authorized to issue 200,000,000 shares of preferred stock, par value $0.01 per share, which may be issued in series with terms and conditions determined by the Board of Directors. No shares of preferred stock have been issued.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 xml:space="preserve">Accumulated Other Comprehensive Loss </w:t>
      </w:r>
      <w:r>
        <w:rPr>
          <w:rFonts w:ascii="Times New Roman" w:cs="Times New Roman" w:eastAsia="Times New Roman" w:hAnsi="Times New Roman"/>
          <w:sz w:val="18"/>
          <w:szCs w:val="18"/>
          <w:color w:val="auto"/>
        </w:rPr>
        <w:t>consists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29"/>
        </w:trPr>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Pension and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6"/>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00" w:type="dxa"/>
            <w:vAlign w:val="bottom"/>
          </w:tcPr>
          <w:p>
            <w:pPr>
              <w:spacing w:after="0"/>
              <w:rPr>
                <w:sz w:val="19"/>
                <w:szCs w:val="19"/>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Gain/(Loss) on</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3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Translation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Marketable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Postretirement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3"/>
        </w:trPr>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10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Benefit Plans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9"/>
        </w:trPr>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2013</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20" w:type="dxa"/>
            <w:vAlign w:val="bottom"/>
            <w:tcBorders>
              <w:top w:val="single" w:sz="8" w:color="CFF0FC"/>
            </w:tcBorders>
            <w:shd w:val="clear" w:color="auto" w:fill="CFF0FC"/>
          </w:tcPr>
          <w:p>
            <w:pPr>
              <w:spacing w:after="0"/>
              <w:rPr>
                <w:sz w:val="19"/>
                <w:szCs w:val="19"/>
                <w:color w:val="auto"/>
              </w:rPr>
            </w:pPr>
          </w:p>
        </w:tc>
      </w:tr>
      <w:tr>
        <w:trPr>
          <w:trHeight w:val="208"/>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tcPr>
          <w:p>
            <w:pPr>
              <w:spacing w:after="0"/>
              <w:rPr>
                <w:sz w:val="20"/>
                <w:szCs w:val="20"/>
                <w:color w:val="auto"/>
              </w:rPr>
            </w:pPr>
          </w:p>
        </w:tc>
      </w:tr>
      <w:tr>
        <w:trPr>
          <w:trHeight w:val="208"/>
        </w:trPr>
        <w:tc>
          <w:tcPr>
            <w:tcW w:w="3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1"/>
        </w:trPr>
        <w:tc>
          <w:tcPr>
            <w:tcW w:w="3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FF0FC"/>
          </w:tcPr>
          <w:p>
            <w:pPr>
              <w:spacing w:after="0"/>
              <w:rPr>
                <w:sz w:val="20"/>
                <w:szCs w:val="20"/>
                <w:color w:val="auto"/>
              </w:rPr>
            </w:pPr>
          </w:p>
        </w:tc>
      </w:tr>
      <w:tr>
        <w:trPr>
          <w:trHeight w:val="226"/>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w:t>
            </w:r>
          </w:p>
        </w:tc>
      </w:tr>
      <w:tr>
        <w:trPr>
          <w:trHeight w:val="219"/>
        </w:trPr>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2013</w:t>
            </w: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20" w:type="dxa"/>
            <w:vAlign w:val="bottom"/>
            <w:tcBorders>
              <w:top w:val="single" w:sz="8" w:color="CFF0FC"/>
            </w:tcBorders>
            <w:shd w:val="clear" w:color="auto" w:fill="CFF0FC"/>
          </w:tcPr>
          <w:p>
            <w:pPr>
              <w:spacing w:after="0"/>
              <w:rPr>
                <w:sz w:val="19"/>
                <w:szCs w:val="19"/>
                <w:color w:val="auto"/>
              </w:rPr>
            </w:pPr>
          </w:p>
        </w:tc>
      </w:tr>
      <w:tr>
        <w:trPr>
          <w:trHeight w:val="208"/>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(2,152)</w:t>
            </w:r>
          </w:p>
        </w:tc>
      </w:tr>
      <w:tr>
        <w:trPr>
          <w:trHeight w:val="208"/>
        </w:trPr>
        <w:tc>
          <w:tcPr>
            <w:tcW w:w="3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1"/>
        </w:trPr>
        <w:tc>
          <w:tcPr>
            <w:tcW w:w="3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FF0FC"/>
          </w:tcPr>
          <w:p>
            <w:pPr>
              <w:spacing w:after="0"/>
              <w:rPr>
                <w:sz w:val="20"/>
                <w:szCs w:val="20"/>
                <w:color w:val="auto"/>
              </w:rPr>
            </w:pPr>
          </w:p>
        </w:tc>
      </w:tr>
      <w:tr>
        <w:trPr>
          <w:trHeight w:val="226"/>
        </w:trPr>
        <w:tc>
          <w:tcPr>
            <w:tcW w:w="38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FF0FC"/>
            </w:tcBorders>
          </w:tcPr>
          <w:p>
            <w:pPr>
              <w:spacing w:after="0"/>
              <w:rPr>
                <w:sz w:val="19"/>
                <w:szCs w:val="19"/>
                <w:color w:val="auto"/>
              </w:rPr>
            </w:pPr>
          </w:p>
        </w:tc>
      </w:tr>
      <w:tr>
        <w:trPr>
          <w:trHeight w:val="21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20" w:type="dxa"/>
            <w:vAlign w:val="bottom"/>
            <w:shd w:val="clear" w:color="auto" w:fill="CFF0FC"/>
          </w:tcPr>
          <w:p>
            <w:pPr>
              <w:spacing w:after="0"/>
              <w:rPr>
                <w:sz w:val="19"/>
                <w:szCs w:val="19"/>
                <w:color w:val="auto"/>
              </w:rPr>
            </w:pPr>
          </w:p>
        </w:tc>
      </w:tr>
      <w:tr>
        <w:trPr>
          <w:trHeight w:val="208"/>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(960)</w:t>
            </w:r>
          </w:p>
        </w:tc>
      </w:tr>
      <w:tr>
        <w:trPr>
          <w:trHeight w:val="208"/>
        </w:trPr>
        <w:tc>
          <w:tcPr>
            <w:tcW w:w="3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1"/>
        </w:trPr>
        <w:tc>
          <w:tcPr>
            <w:tcW w:w="3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shd w:val="clear" w:color="auto" w:fill="CFF0FC"/>
          </w:tcPr>
          <w:p>
            <w:pPr>
              <w:spacing w:after="0"/>
              <w:rPr>
                <w:sz w:val="20"/>
                <w:szCs w:val="20"/>
                <w:color w:val="auto"/>
              </w:rPr>
            </w:pPr>
          </w:p>
        </w:tc>
      </w:tr>
      <w:tr>
        <w:trPr>
          <w:trHeight w:val="226"/>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r>
      <w:tr>
        <w:trPr>
          <w:trHeight w:val="219"/>
        </w:trPr>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2015</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 was $352 million in 2015 and $1.652 billion in 2014. Other comprehensive income was $1.334 billion in 2013.</w:t>
      </w:r>
    </w:p>
    <w:p>
      <w:pPr>
        <w:spacing w:after="0" w:line="349" w:lineRule="exact"/>
        <w:rPr>
          <w:sz w:val="20"/>
          <w:szCs w:val="20"/>
          <w:color w:val="auto"/>
        </w:rPr>
      </w:pPr>
    </w:p>
    <w:p>
      <w:pPr>
        <w:ind w:left="280" w:hanging="274"/>
        <w:spacing w:after="0"/>
        <w:tabs>
          <w:tab w:leader="none" w:pos="2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Stock-based Compensation Plans</w:t>
      </w:r>
    </w:p>
    <w:p>
      <w:pPr>
        <w:spacing w:after="0" w:line="11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Schlumberger has three types of stock-based compensation programs: (i) stock options, (ii) a restricted stock, restricted stock unit and performance share unit program (collectively referred to as “restricted stock”) and (iii) a discounted stock purchase plan (“DSPP”).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16"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7"/>
          <w:szCs w:val="17"/>
          <w:color w:val="auto"/>
        </w:rPr>
        <w:t>Key employees are granted stock options under Schlumberger stock option plans. For all stock options granted, the exercise price equals the average of the high and low sales prices of Schlumberger stock on the date of grant; the maximum term is ten years, and the options generally vest in increments over five years.</w:t>
      </w:r>
    </w:p>
    <w:p>
      <w:pPr>
        <w:spacing w:after="0" w:line="14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fair value of each stock option grant was estimated on the date of grant using the Black-Scholes option-pricing model with the following weighted-average assumptions and resulting weighted-average fair value per share: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60" w:type="dxa"/>
            <w:vAlign w:val="bottom"/>
            <w:tcBorders>
              <w:bottom w:val="single" w:sz="8" w:color="CFF0FC"/>
            </w:tcBorders>
          </w:tcPr>
          <w:p>
            <w:pPr>
              <w:spacing w:after="0"/>
              <w:rPr>
                <w:sz w:val="20"/>
                <w:szCs w:val="20"/>
                <w:color w:val="auto"/>
              </w:rPr>
            </w:pPr>
          </w:p>
        </w:tc>
        <w:tc>
          <w:tcPr>
            <w:tcW w:w="23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2013</w:t>
            </w:r>
          </w:p>
        </w:tc>
        <w:tc>
          <w:tcPr>
            <w:tcW w:w="180" w:type="dxa"/>
            <w:vAlign w:val="bottom"/>
            <w:tcBorders>
              <w:bottom w:val="single" w:sz="8" w:color="CFF0FC"/>
            </w:tcBorders>
          </w:tcPr>
          <w:p>
            <w:pPr>
              <w:spacing w:after="0"/>
              <w:rPr>
                <w:sz w:val="20"/>
                <w:szCs w:val="20"/>
                <w:color w:val="auto"/>
              </w:rPr>
            </w:pPr>
          </w:p>
        </w:tc>
        <w:tc>
          <w:tcPr>
            <w:tcW w:w="160" w:type="dxa"/>
            <w:vAlign w:val="bottom"/>
          </w:tcPr>
          <w:p>
            <w:pPr>
              <w:spacing w:after="0"/>
              <w:rPr>
                <w:sz w:val="20"/>
                <w:szCs w:val="20"/>
                <w:color w:val="auto"/>
              </w:rPr>
            </w:pPr>
          </w:p>
        </w:tc>
      </w:tr>
      <w:tr>
        <w:trPr>
          <w:trHeight w:val="21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w:t>
            </w:r>
          </w:p>
        </w:tc>
        <w:tc>
          <w:tcPr>
            <w:tcW w:w="8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9"/>
                <w:szCs w:val="19"/>
                <w:color w:val="auto"/>
              </w:rPr>
            </w:pPr>
          </w:p>
        </w:tc>
      </w:tr>
      <w:tr>
        <w:trPr>
          <w:trHeight w:val="22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w:t>
            </w:r>
          </w:p>
        </w:tc>
        <w:tc>
          <w:tcPr>
            <w:tcW w:w="8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9"/>
                <w:szCs w:val="19"/>
                <w:color w:val="auto"/>
              </w:rPr>
            </w:pPr>
          </w:p>
        </w:tc>
      </w:tr>
      <w:tr>
        <w:trPr>
          <w:trHeight w:val="22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w:t>
            </w:r>
          </w:p>
        </w:tc>
        <w:tc>
          <w:tcPr>
            <w:tcW w:w="8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r>
      <w:tr>
        <w:trPr>
          <w:trHeight w:val="22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2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fair value per share</w:t>
            </w:r>
          </w:p>
        </w:tc>
        <w:tc>
          <w:tcPr>
            <w:tcW w:w="3160" w:type="dxa"/>
            <w:vAlign w:val="bottom"/>
            <w:gridSpan w:val="2"/>
            <w:shd w:val="clear" w:color="auto" w:fill="CFF0FC"/>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25.96</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2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8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r>
      <w:tr>
        <w:trPr>
          <w:trHeight w:val="639"/>
        </w:trPr>
        <w:tc>
          <w:tcPr>
            <w:tcW w:w="4160" w:type="dxa"/>
            <w:vAlign w:val="bottom"/>
          </w:tcPr>
          <w:p>
            <w:pPr>
              <w:spacing w:after="0"/>
              <w:rPr>
                <w:sz w:val="24"/>
                <w:szCs w:val="24"/>
                <w:color w:val="auto"/>
              </w:rPr>
            </w:pPr>
          </w:p>
        </w:tc>
        <w:tc>
          <w:tcPr>
            <w:tcW w:w="2300" w:type="dxa"/>
            <w:vAlign w:val="bottom"/>
          </w:tcPr>
          <w:p>
            <w:pPr>
              <w:jc w:val="right"/>
              <w:ind w:right="571"/>
              <w:spacing w:after="0"/>
              <w:rPr>
                <w:sz w:val="20"/>
                <w:szCs w:val="20"/>
                <w:color w:val="auto"/>
              </w:rPr>
            </w:pPr>
            <w:r>
              <w:rPr>
                <w:rFonts w:ascii="Times New Roman" w:cs="Times New Roman" w:eastAsia="Times New Roman" w:hAnsi="Times New Roman"/>
                <w:sz w:val="18"/>
                <w:szCs w:val="18"/>
                <w:color w:val="auto"/>
              </w:rPr>
              <w:t>49</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25"/>
        </w:trPr>
        <w:tc>
          <w:tcPr>
            <w:tcW w:w="41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The following table summarizes information concerning options outstanding and options exercisable as of December 31, 2015:</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(Shares stated in thousands)</w:t>
            </w:r>
          </w:p>
        </w:tc>
      </w:tr>
      <w:tr>
        <w:trPr>
          <w:trHeight w:val="450"/>
        </w:trPr>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700" w:type="dxa"/>
            <w:vAlign w:val="bottom"/>
            <w:gridSpan w:val="4"/>
          </w:tcPr>
          <w:p>
            <w:pPr>
              <w:ind w:left="1120"/>
              <w:spacing w:after="0"/>
              <w:rPr>
                <w:sz w:val="20"/>
                <w:szCs w:val="20"/>
                <w:color w:val="auto"/>
              </w:rPr>
            </w:pPr>
            <w:r>
              <w:rPr>
                <w:rFonts w:ascii="Times New Roman" w:cs="Times New Roman" w:eastAsia="Times New Roman" w:hAnsi="Times New Roman"/>
                <w:sz w:val="18"/>
                <w:szCs w:val="18"/>
                <w:color w:val="auto"/>
              </w:rPr>
              <w:t>Options Outstanding</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Options Exercisable</w:t>
            </w:r>
          </w:p>
        </w:tc>
      </w:tr>
      <w:tr>
        <w:trPr>
          <w:trHeight w:val="214"/>
        </w:trPr>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6"/>
        </w:trPr>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average</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6"/>
        </w:trPr>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remaining</w:t>
            </w:r>
          </w:p>
        </w:tc>
        <w:tc>
          <w:tcPr>
            <w:tcW w:w="1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4"/>
              </w:rPr>
              <w:t>Weighted-</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26"/>
        </w:trPr>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1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Options</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contractual life</w:t>
            </w:r>
          </w:p>
        </w:tc>
        <w:tc>
          <w:tcPr>
            <w:tcW w:w="1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average</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Options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average</w:t>
            </w:r>
          </w:p>
        </w:tc>
      </w:tr>
      <w:tr>
        <w:trPr>
          <w:trHeight w:val="191"/>
        </w:trPr>
        <w:tc>
          <w:tcPr>
            <w:tcW w:w="518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Exercise prices range</w:t>
            </w:r>
          </w:p>
        </w:tc>
        <w:tc>
          <w:tcPr>
            <w:tcW w:w="1160" w:type="dxa"/>
            <w:vAlign w:val="bottom"/>
          </w:tcPr>
          <w:p>
            <w:pPr>
              <w:jc w:val="right"/>
              <w:ind w:right="71"/>
              <w:spacing w:after="0" w:line="191" w:lineRule="exact"/>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Pr>
          <w:p>
            <w:pPr>
              <w:spacing w:after="0"/>
              <w:rPr>
                <w:sz w:val="16"/>
                <w:szCs w:val="16"/>
                <w:color w:val="auto"/>
              </w:rPr>
            </w:pPr>
          </w:p>
        </w:tc>
        <w:tc>
          <w:tcPr>
            <w:tcW w:w="1300" w:type="dxa"/>
            <w:vAlign w:val="bottom"/>
            <w:gridSpan w:val="2"/>
          </w:tcPr>
          <w:p>
            <w:pPr>
              <w:jc w:val="center"/>
              <w:ind w:right="220"/>
              <w:spacing w:after="0" w:line="191" w:lineRule="exact"/>
              <w:rPr>
                <w:sz w:val="20"/>
                <w:szCs w:val="20"/>
                <w:color w:val="auto"/>
              </w:rPr>
            </w:pPr>
            <w:r>
              <w:rPr>
                <w:rFonts w:ascii="Times New Roman" w:cs="Times New Roman" w:eastAsia="Times New Roman" w:hAnsi="Times New Roman"/>
                <w:sz w:val="18"/>
                <w:szCs w:val="18"/>
                <w:color w:val="auto"/>
                <w:w w:val="99"/>
              </w:rPr>
              <w:t>(in years)</w:t>
            </w:r>
          </w:p>
        </w:tc>
        <w:tc>
          <w:tcPr>
            <w:tcW w:w="1260" w:type="dxa"/>
            <w:vAlign w:val="bottom"/>
            <w:gridSpan w:val="3"/>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8"/>
              </w:rPr>
              <w:t>exercise price</w:t>
            </w:r>
          </w:p>
        </w:tc>
        <w:tc>
          <w:tcPr>
            <w:tcW w:w="126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7"/>
              </w:rPr>
              <w:t>Exercisable</w:t>
            </w:r>
          </w:p>
        </w:tc>
        <w:tc>
          <w:tcPr>
            <w:tcW w:w="20" w:type="dxa"/>
            <w:vAlign w:val="bottom"/>
          </w:tcPr>
          <w:p>
            <w:pPr>
              <w:spacing w:after="0"/>
              <w:rPr>
                <w:sz w:val="16"/>
                <w:szCs w:val="16"/>
                <w:color w:val="auto"/>
              </w:rPr>
            </w:pPr>
          </w:p>
        </w:tc>
        <w:tc>
          <w:tcPr>
            <w:tcW w:w="11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exercise price</w:t>
            </w:r>
          </w:p>
        </w:tc>
      </w:tr>
      <w:tr>
        <w:trPr>
          <w:trHeight w:val="20"/>
        </w:trPr>
        <w:tc>
          <w:tcPr>
            <w:tcW w:w="520" w:type="dxa"/>
            <w:vAlign w:val="bottom"/>
            <w:tcBorders>
              <w:top w:val="single" w:sz="8" w:color="auto"/>
              <w:bottom w:val="single" w:sz="8" w:color="CFF0FC"/>
            </w:tcBorders>
          </w:tcPr>
          <w:p>
            <w:pPr>
              <w:spacing w:after="0" w:line="20" w:lineRule="exact"/>
              <w:rPr>
                <w:sz w:val="1"/>
                <w:szCs w:val="1"/>
                <w:color w:val="auto"/>
              </w:rPr>
            </w:pPr>
          </w:p>
        </w:tc>
        <w:tc>
          <w:tcPr>
            <w:tcW w:w="1000" w:type="dxa"/>
            <w:vAlign w:val="bottom"/>
            <w:tcBorders>
              <w:top w:val="single" w:sz="8" w:color="auto"/>
              <w:bottom w:val="single" w:sz="8" w:color="CFF0FC"/>
            </w:tcBorders>
          </w:tcPr>
          <w:p>
            <w:pPr>
              <w:spacing w:after="0" w:line="20" w:lineRule="exact"/>
              <w:rPr>
                <w:sz w:val="1"/>
                <w:szCs w:val="1"/>
                <w:color w:val="auto"/>
              </w:rPr>
            </w:pPr>
          </w:p>
        </w:tc>
        <w:tc>
          <w:tcPr>
            <w:tcW w:w="3660" w:type="dxa"/>
            <w:vAlign w:val="bottom"/>
            <w:tcBorders>
              <w:bottom w:val="single" w:sz="8" w:color="CFF0FC"/>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r>
      <w:tr>
        <w:trPr>
          <w:trHeight w:val="219"/>
        </w:trPr>
        <w:tc>
          <w:tcPr>
            <w:tcW w:w="1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$37.85 - $67.87</w:t>
            </w:r>
          </w:p>
        </w:tc>
        <w:tc>
          <w:tcPr>
            <w:tcW w:w="36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80" w:type="dxa"/>
            <w:vAlign w:val="bottom"/>
            <w:shd w:val="clear" w:color="auto" w:fill="CFF0FC"/>
          </w:tcPr>
          <w:p>
            <w:pPr>
              <w:spacing w:after="0"/>
              <w:rPr>
                <w:sz w:val="19"/>
                <w:szCs w:val="19"/>
                <w:color w:val="auto"/>
              </w:rPr>
            </w:pPr>
          </w:p>
        </w:tc>
      </w:tr>
      <w:tr>
        <w:trPr>
          <w:trHeight w:val="22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$68.51</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$70.93</w:t>
            </w:r>
          </w:p>
        </w:tc>
        <w:tc>
          <w:tcPr>
            <w:tcW w:w="3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22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80" w:type="dxa"/>
            <w:vAlign w:val="bottom"/>
          </w:tcPr>
          <w:p>
            <w:pPr>
              <w:spacing w:after="0"/>
              <w:rPr>
                <w:sz w:val="19"/>
                <w:szCs w:val="19"/>
                <w:color w:val="auto"/>
              </w:rPr>
            </w:pPr>
          </w:p>
        </w:tc>
      </w:tr>
      <w:tr>
        <w:trPr>
          <w:trHeight w:val="226"/>
        </w:trPr>
        <w:tc>
          <w:tcPr>
            <w:tcW w:w="1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$72.11 - $78.31</w:t>
            </w:r>
          </w:p>
        </w:tc>
        <w:tc>
          <w:tcPr>
            <w:tcW w:w="36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220" w:type="dxa"/>
            <w:vAlign w:val="bottom"/>
            <w:shd w:val="clear" w:color="auto" w:fill="CFF0FC"/>
          </w:tcPr>
          <w:p>
            <w:pPr>
              <w:spacing w:after="0"/>
              <w:rPr>
                <w:sz w:val="19"/>
                <w:szCs w:val="19"/>
                <w:color w:val="auto"/>
              </w:rPr>
            </w:pPr>
          </w:p>
        </w:tc>
        <w:tc>
          <w:tcPr>
            <w:tcW w:w="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80" w:type="dxa"/>
            <w:vAlign w:val="bottom"/>
            <w:shd w:val="clear" w:color="auto" w:fill="CFF0FC"/>
          </w:tcPr>
          <w:p>
            <w:pPr>
              <w:spacing w:after="0"/>
              <w:rPr>
                <w:sz w:val="19"/>
                <w:szCs w:val="19"/>
                <w:color w:val="auto"/>
              </w:rPr>
            </w:pPr>
          </w:p>
        </w:tc>
      </w:tr>
      <w:tr>
        <w:trPr>
          <w:trHeight w:val="22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$83.88</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$84.93</w:t>
            </w:r>
          </w:p>
        </w:tc>
        <w:tc>
          <w:tcPr>
            <w:tcW w:w="3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22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80" w:type="dxa"/>
            <w:vAlign w:val="bottom"/>
          </w:tcPr>
          <w:p>
            <w:pPr>
              <w:spacing w:after="0"/>
              <w:rPr>
                <w:sz w:val="19"/>
                <w:szCs w:val="19"/>
                <w:color w:val="auto"/>
              </w:rPr>
            </w:pPr>
          </w:p>
        </w:tc>
      </w:tr>
      <w:tr>
        <w:trPr>
          <w:trHeight w:val="226"/>
        </w:trPr>
        <w:tc>
          <w:tcPr>
            <w:tcW w:w="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$88.61</w:t>
            </w:r>
          </w:p>
        </w:tc>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$114.83</w:t>
            </w:r>
          </w:p>
        </w:tc>
        <w:tc>
          <w:tcPr>
            <w:tcW w:w="36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12,194</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20" w:type="dxa"/>
            <w:vAlign w:val="bottom"/>
            <w:shd w:val="clear" w:color="auto" w:fill="CFF0FC"/>
          </w:tcPr>
          <w:p>
            <w:pPr>
              <w:spacing w:after="0"/>
              <w:rPr>
                <w:sz w:val="19"/>
                <w:szCs w:val="19"/>
                <w:color w:val="auto"/>
              </w:rPr>
            </w:pPr>
          </w:p>
        </w:tc>
        <w:tc>
          <w:tcPr>
            <w:tcW w:w="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96.55</w:t>
            </w:r>
          </w:p>
        </w:tc>
        <w:tc>
          <w:tcPr>
            <w:tcW w:w="80" w:type="dxa"/>
            <w:vAlign w:val="bottom"/>
            <w:shd w:val="clear" w:color="auto" w:fill="CFF0FC"/>
          </w:tcPr>
          <w:p>
            <w:pPr>
              <w:spacing w:after="0"/>
              <w:rPr>
                <w:sz w:val="19"/>
                <w:szCs w:val="19"/>
                <w:color w:val="auto"/>
              </w:rPr>
            </w:pPr>
          </w:p>
        </w:tc>
      </w:tr>
      <w:tr>
        <w:trPr>
          <w:trHeight w:val="219"/>
        </w:trPr>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41,087</w:t>
            </w:r>
          </w:p>
        </w:tc>
        <w:tc>
          <w:tcPr>
            <w:tcW w:w="2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8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contractual life of stock options exercisable as of December 31, 2015 was 4.4 years.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years ended December 31, 2015, 2014 and 2013:</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(Shares stated in thousands)</w:t>
            </w:r>
          </w:p>
        </w:tc>
      </w:tr>
      <w:tr>
        <w:trPr>
          <w:trHeight w:val="450"/>
        </w:trPr>
        <w:tc>
          <w:tcPr>
            <w:tcW w:w="4740" w:type="dxa"/>
            <w:vAlign w:val="bottom"/>
          </w:tcPr>
          <w:p>
            <w:pPr>
              <w:spacing w:after="0"/>
              <w:rPr>
                <w:sz w:val="24"/>
                <w:szCs w:val="24"/>
                <w:color w:val="auto"/>
              </w:rPr>
            </w:pPr>
          </w:p>
        </w:tc>
        <w:tc>
          <w:tcPr>
            <w:tcW w:w="13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2015</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4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Weighted-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8"/>
                <w:szCs w:val="18"/>
                <w:color w:val="auto"/>
              </w:rPr>
            </w:pPr>
          </w:p>
        </w:tc>
      </w:tr>
      <w:tr>
        <w:trPr>
          <w:trHeight w:val="226"/>
        </w:trPr>
        <w:tc>
          <w:tcPr>
            <w:tcW w:w="4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average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average</w:t>
            </w:r>
          </w:p>
        </w:tc>
      </w:tr>
      <w:tr>
        <w:trPr>
          <w:trHeight w:val="226"/>
        </w:trPr>
        <w:tc>
          <w:tcPr>
            <w:tcW w:w="4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exercise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exercise</w:t>
            </w:r>
          </w:p>
        </w:tc>
      </w:tr>
      <w:tr>
        <w:trPr>
          <w:trHeight w:val="233"/>
        </w:trPr>
        <w:tc>
          <w:tcPr>
            <w:tcW w:w="474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price</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price</w:t>
            </w:r>
          </w:p>
        </w:tc>
      </w:tr>
      <w:tr>
        <w:trPr>
          <w:trHeight w:val="219"/>
        </w:trPr>
        <w:tc>
          <w:tcPr>
            <w:tcW w:w="4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38,583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76.10</w:t>
            </w: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42,059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7,118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86.86</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00" w:type="dxa"/>
            <w:vAlign w:val="bottom"/>
          </w:tcPr>
          <w:p>
            <w:pPr>
              <w:spacing w:after="0"/>
              <w:rPr>
                <w:sz w:val="19"/>
                <w:szCs w:val="19"/>
                <w:color w:val="auto"/>
              </w:rPr>
            </w:pPr>
          </w:p>
        </w:tc>
      </w:tr>
      <w:tr>
        <w:trPr>
          <w:trHeight w:val="22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(2,561)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60.10</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(8,269)</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(5,168)</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00" w:type="dxa"/>
            <w:vAlign w:val="bottom"/>
            <w:shd w:val="clear" w:color="auto" w:fill="CFF0FC"/>
          </w:tcPr>
          <w:p>
            <w:pPr>
              <w:spacing w:after="0"/>
              <w:rPr>
                <w:sz w:val="19"/>
                <w:szCs w:val="19"/>
                <w:color w:val="auto"/>
              </w:rPr>
            </w:pPr>
          </w:p>
        </w:tc>
      </w:tr>
      <w:tr>
        <w:trPr>
          <w:trHeight w:val="22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(2,053)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80.34</w:t>
            </w:r>
          </w:p>
        </w:tc>
        <w:tc>
          <w:tcPr>
            <w:tcW w:w="2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100" w:type="dxa"/>
            <w:vAlign w:val="bottom"/>
          </w:tcPr>
          <w:p>
            <w:pPr>
              <w:spacing w:after="0"/>
              <w:rPr>
                <w:sz w:val="19"/>
                <w:szCs w:val="19"/>
                <w:color w:val="auto"/>
              </w:rPr>
            </w:pPr>
          </w:p>
        </w:tc>
      </w:tr>
      <w:tr>
        <w:trPr>
          <w:trHeight w:val="219"/>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year-end</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41,087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38,583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41,939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intrinsic value of both stock options outstanding and stock options exercisable as of December 31, 2015 was $93 million, respectively.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120"/>
        <w:spacing w:after="0" w:line="275"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2015, 2014 and 2013 was $62 million, $314 million and $176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16"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Schlumberger grants performance share units to certain executives. The number of shares earned is determined at the end of each performance period, which is generally three years, based on Schlumberger’s achievement of a predefined return on capital employed (“ROCE”), as defined in the underlying performance share unit agreement. In the event the ROCE exceeds the predefined target, shares for up to the maximum of 250% of the target award may be granted. In the event the ROCE falls below the predefined target, a reduced number of shares may be granted. If the ROCE falls below the threshold award performance level, no shares will be granted. As of December 31, 2015, performance share units of 0.9 million were outstanding based on the achievement of 100% of target.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restricted stock awards generally vest at the end of three years.</w:t>
      </w:r>
    </w:p>
    <w:p>
      <w:pPr>
        <w:spacing w:after="0" w:line="218" w:lineRule="exact"/>
        <w:rPr>
          <w:sz w:val="20"/>
          <w:szCs w:val="20"/>
          <w:color w:val="auto"/>
        </w:rPr>
      </w:pPr>
    </w:p>
    <w:p>
      <w:pPr>
        <w:jc w:val="both"/>
        <w:ind w:right="100"/>
        <w:spacing w:after="0" w:line="275" w:lineRule="auto"/>
        <w:rPr>
          <w:sz w:val="20"/>
          <w:szCs w:val="20"/>
          <w:color w:val="auto"/>
        </w:rPr>
      </w:pPr>
      <w:r>
        <w:rPr>
          <w:rFonts w:ascii="Times New Roman" w:cs="Times New Roman" w:eastAsia="Times New Roman" w:hAnsi="Times New Roman"/>
          <w:sz w:val="18"/>
          <w:szCs w:val="18"/>
          <w:color w:val="auto"/>
        </w:rPr>
        <w:t>Restricted stock awards do not pay dividends or allow voting rights during the performance period. Accordingly, the fair value of the restricted stock award is the quoted market price of Schlumberger’s stock on the date of grant less the present value of the expected dividends not received during the vesting period.</w:t>
      </w:r>
    </w:p>
    <w:p>
      <w:pPr>
        <w:spacing w:after="0" w:line="16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20"/>
          </w:cols>
          <w:pgMar w:left="240" w:top="161" w:right="1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all restricted stock transactions: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(Shares stated in thousands)</w:t>
            </w:r>
          </w:p>
        </w:tc>
      </w:tr>
      <w:tr>
        <w:trPr>
          <w:trHeight w:val="450"/>
        </w:trPr>
        <w:tc>
          <w:tcPr>
            <w:tcW w:w="4720" w:type="dxa"/>
            <w:vAlign w:val="bottom"/>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8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4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Weighted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8"/>
                <w:szCs w:val="18"/>
                <w:color w:val="auto"/>
              </w:rPr>
            </w:pPr>
          </w:p>
        </w:tc>
      </w:tr>
      <w:tr>
        <w:trPr>
          <w:trHeight w:val="226"/>
        </w:trPr>
        <w:tc>
          <w:tcPr>
            <w:tcW w:w="4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Average</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26"/>
        </w:trPr>
        <w:tc>
          <w:tcPr>
            <w:tcW w:w="472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Restricted</w:t>
            </w:r>
          </w:p>
        </w:tc>
        <w:tc>
          <w:tcPr>
            <w:tcW w:w="80" w:type="dxa"/>
            <w:vAlign w:val="bottom"/>
          </w:tcPr>
          <w:p>
            <w:pPr>
              <w:spacing w:after="0"/>
              <w:rPr>
                <w:sz w:val="19"/>
                <w:szCs w:val="19"/>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Grant Date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Restricted</w:t>
            </w:r>
          </w:p>
        </w:tc>
        <w:tc>
          <w:tcPr>
            <w:tcW w:w="80" w:type="dxa"/>
            <w:vAlign w:val="bottom"/>
          </w:tcPr>
          <w:p>
            <w:pPr>
              <w:spacing w:after="0"/>
              <w:rPr>
                <w:sz w:val="19"/>
                <w:szCs w:val="19"/>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Grant Date</w:t>
            </w:r>
          </w:p>
        </w:tc>
      </w:tr>
      <w:tr>
        <w:trPr>
          <w:trHeight w:val="233"/>
        </w:trPr>
        <w:tc>
          <w:tcPr>
            <w:tcW w:w="472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Stock</w:t>
            </w:r>
          </w:p>
        </w:tc>
        <w:tc>
          <w:tcPr>
            <w:tcW w:w="8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6"/>
              </w:rPr>
              <w:t>Fair Value</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Stock</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Fair Value</w:t>
            </w:r>
          </w:p>
        </w:tc>
      </w:tr>
      <w:tr>
        <w:trPr>
          <w:trHeight w:val="219"/>
        </w:trPr>
        <w:tc>
          <w:tcPr>
            <w:tcW w:w="4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beginning of year</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4,138</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80.80</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1,254</w:t>
            </w:r>
          </w:p>
        </w:tc>
        <w:tc>
          <w:tcPr>
            <w:tcW w:w="2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82.37</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tcPr>
          <w:p>
            <w:pPr>
              <w:spacing w:after="0"/>
              <w:rPr>
                <w:sz w:val="19"/>
                <w:szCs w:val="19"/>
                <w:color w:val="auto"/>
              </w:rPr>
            </w:pPr>
          </w:p>
        </w:tc>
      </w:tr>
      <w:tr>
        <w:trPr>
          <w:trHeight w:val="22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(1,495)</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71.30</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(1,186)</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(958)</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shd w:val="clear" w:color="auto" w:fill="CFF0FC"/>
          </w:tcPr>
          <w:p>
            <w:pPr>
              <w:spacing w:after="0"/>
              <w:rPr>
                <w:sz w:val="19"/>
                <w:szCs w:val="19"/>
                <w:color w:val="auto"/>
              </w:rPr>
            </w:pPr>
          </w:p>
        </w:tc>
      </w:tr>
      <w:tr>
        <w:trPr>
          <w:trHeight w:val="22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(326)</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83.86</w:t>
            </w:r>
          </w:p>
        </w:tc>
        <w:tc>
          <w:tcPr>
            <w:tcW w:w="2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74.53</w:t>
            </w:r>
          </w:p>
        </w:tc>
        <w:tc>
          <w:tcPr>
            <w:tcW w:w="100" w:type="dxa"/>
            <w:vAlign w:val="bottom"/>
          </w:tcPr>
          <w:p>
            <w:pPr>
              <w:spacing w:after="0"/>
              <w:rPr>
                <w:sz w:val="19"/>
                <w:szCs w:val="19"/>
                <w:color w:val="auto"/>
              </w:rPr>
            </w:pPr>
          </w:p>
        </w:tc>
      </w:tr>
      <w:tr>
        <w:trPr>
          <w:trHeight w:val="219"/>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year-end</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85.04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Discounted Stock Purchase Plan</w:t>
      </w:r>
    </w:p>
    <w:p>
      <w:pPr>
        <w:spacing w:after="0" w:line="11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Under the terms of the DSPP, employees can choose to have a portion of their earnings withheld, subject to certain restrictions, to purchase Schlumberger common stock. The purchase price of the stock is 92.5% of the lower of the stock price at the beginning or end of the plan period at six-month intervals.</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fair value of the employees’ purchase rights under the DSPP was estimated using the Black-Scholes model with the following assumptions and resulting weighted average fair value per share: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5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1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2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2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fair value per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12.45</w:t>
            </w:r>
          </w:p>
        </w:tc>
        <w:tc>
          <w:tcPr>
            <w:tcW w:w="20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gridSpan w:val="3"/>
          </w:tcPr>
          <w:p>
            <w:pPr>
              <w:jc w:val="right"/>
              <w:ind w:right="8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1"/>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Stock-based Compensation Expense</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summarizes stock-based compensation expense recognized in income:</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6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654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19"/>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176</w:t>
            </w:r>
          </w:p>
        </w:tc>
        <w:tc>
          <w:tcPr>
            <w:tcW w:w="260" w:type="dxa"/>
            <w:vAlign w:val="bottom"/>
            <w:gridSpan w:val="2"/>
            <w:shd w:val="clear" w:color="auto" w:fill="CFF0FC"/>
          </w:tcPr>
          <w:p>
            <w:pPr>
              <w:spacing w:after="0"/>
              <w:rPr>
                <w:sz w:val="19"/>
                <w:szCs w:val="19"/>
                <w:color w:val="auto"/>
              </w:rPr>
            </w:pP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shd w:val="clear" w:color="auto" w:fill="CFF0FC"/>
          </w:tcPr>
          <w:p>
            <w:pPr>
              <w:spacing w:after="0"/>
              <w:rPr>
                <w:sz w:val="19"/>
                <w:szCs w:val="19"/>
                <w:color w:val="auto"/>
              </w:rPr>
            </w:pPr>
          </w:p>
        </w:tc>
        <w:tc>
          <w:tcPr>
            <w:tcW w:w="8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FF0FC"/>
          </w:tcPr>
          <w:p>
            <w:pPr>
              <w:spacing w:after="0"/>
              <w:rPr>
                <w:sz w:val="19"/>
                <w:szCs w:val="19"/>
                <w:color w:val="auto"/>
              </w:rPr>
            </w:pPr>
          </w:p>
        </w:tc>
      </w:tr>
      <w:tr>
        <w:trPr>
          <w:trHeight w:val="22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r>
      <w:tr>
        <w:trPr>
          <w:trHeight w:val="22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DSPP</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9"/>
                <w:szCs w:val="19"/>
                <w:color w:val="auto"/>
              </w:rPr>
            </w:pPr>
          </w:p>
        </w:tc>
      </w:tr>
      <w:tr>
        <w:trPr>
          <w:trHeight w:val="219"/>
        </w:trPr>
        <w:tc>
          <w:tcPr>
            <w:tcW w:w="6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326</w:t>
            </w:r>
          </w:p>
        </w:tc>
        <w:tc>
          <w:tcPr>
            <w:tcW w:w="260" w:type="dxa"/>
            <w:vAlign w:val="bottom"/>
            <w:gridSpan w:val="2"/>
          </w:tcPr>
          <w:p>
            <w:pPr>
              <w:spacing w:after="0"/>
              <w:rPr>
                <w:sz w:val="19"/>
                <w:szCs w:val="19"/>
                <w:color w:val="auto"/>
              </w:rPr>
            </w:pP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w:t>
            </w:r>
          </w:p>
        </w:tc>
        <w:tc>
          <w:tcPr>
            <w:tcW w:w="20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December 31, 2015, there was $480 million of total unrecognized compensation cost related to nonvested stock-based compensation arrangements, of which $215 million is expected to be recognized in 2016, $137 million in 2017, $80 million in 2018, $40 million in 2019 and $8 million in 2020.</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As of December 31, 2015, approximately 27 million shares of Schlumberger common stock were available for future grants under Schlumberger’s stock-based compensation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1" w:name="page52"/>
    <w:bookmarkEnd w:id="51"/>
    <w:p>
      <w:pPr>
        <w:ind w:left="320" w:hanging="314"/>
        <w:spacing w:after="0"/>
        <w:tabs>
          <w:tab w:leader="none" w:pos="3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operates in more than 100 tax jurisdictions, where statutory tax rates generally vary from 0% to 40%.</w:t>
      </w:r>
    </w:p>
    <w:p>
      <w:pPr>
        <w:spacing w:after="0" w:line="21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Income from continuing operations before taxes </w:t>
      </w:r>
      <w:r>
        <w:rPr>
          <w:rFonts w:ascii="Times New Roman" w:cs="Times New Roman" w:eastAsia="Times New Roman" w:hAnsi="Times New Roman"/>
          <w:sz w:val="18"/>
          <w:szCs w:val="18"/>
          <w:color w:val="auto"/>
        </w:rPr>
        <w:t>subject to United States and non-United States income taxes for each of the three years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3900" w:type="dxa"/>
            <w:vAlign w:val="bottom"/>
          </w:tcPr>
          <w:p>
            <w:pPr>
              <w:spacing w:after="0"/>
              <w:rPr>
                <w:sz w:val="24"/>
                <w:szCs w:val="24"/>
                <w:color w:val="auto"/>
              </w:rPr>
            </w:pP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2014</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4"/>
                <w:szCs w:val="24"/>
                <w:color w:val="auto"/>
              </w:rPr>
            </w:pPr>
          </w:p>
        </w:tc>
      </w:tr>
      <w:tr>
        <w:trPr>
          <w:trHeight w:val="219"/>
        </w:trPr>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3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(691)</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Outside United States</w:t>
            </w:r>
          </w:p>
        </w:tc>
        <w:tc>
          <w:tcPr>
            <w:tcW w:w="23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3,572</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100" w:type="dxa"/>
            <w:vAlign w:val="bottom"/>
            <w:tcBorders>
              <w:bottom w:val="single" w:sz="8" w:color="CFF0FC"/>
            </w:tcBorders>
          </w:tcPr>
          <w:p>
            <w:pPr>
              <w:spacing w:after="0"/>
              <w:rPr>
                <w:sz w:val="19"/>
                <w:szCs w:val="19"/>
                <w:color w:val="auto"/>
              </w:rPr>
            </w:pPr>
          </w:p>
        </w:tc>
      </w:tr>
      <w:tr>
        <w:trPr>
          <w:trHeight w:val="219"/>
        </w:trPr>
        <w:tc>
          <w:tcPr>
            <w:tcW w:w="3900" w:type="dxa"/>
            <w:vAlign w:val="bottom"/>
            <w:tcBorders>
              <w:bottom w:val="single" w:sz="8" w:color="CFF0FC"/>
            </w:tcBorders>
            <w:shd w:val="clear" w:color="auto" w:fill="CFF0FC"/>
          </w:tcPr>
          <w:p>
            <w:pPr>
              <w:spacing w:after="0"/>
              <w:rPr>
                <w:sz w:val="19"/>
                <w:szCs w:val="19"/>
                <w:color w:val="auto"/>
              </w:rPr>
            </w:pPr>
          </w:p>
        </w:tc>
        <w:tc>
          <w:tcPr>
            <w:tcW w:w="23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2,881</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 xml:space="preserve">Schlumberger recorded pretax charges of $2.575 billion in 2015 ($883 million in the US and $1.692 billion outside of the US). Schlumberger recorded pretax charges of $1.773 billion in 2014 ($289 million in the US and $1.484 billion outside the US) and net pretax credits of $420 million in 2013 ($53 million of charges in the US and $473 million of net credits outside the US). These charges and credits are included in the table above and are more fully described in Note 3 – </w:t>
      </w:r>
      <w:r>
        <w:rPr>
          <w:rFonts w:ascii="Times New Roman" w:cs="Times New Roman" w:eastAsia="Times New Roman" w:hAnsi="Times New Roman"/>
          <w:sz w:val="18"/>
          <w:szCs w:val="18"/>
          <w:i w:val="1"/>
          <w:iCs w:val="1"/>
          <w:color w:val="auto"/>
        </w:rPr>
        <w:t>Charges and Credits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deferred tax assets (liabilities)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7820" w:type="dxa"/>
            <w:vAlign w:val="bottom"/>
            <w:tcBorders>
              <w:bottom w:val="single" w:sz="8" w:color="CFF0FC"/>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FF0FC"/>
            </w:tcBorders>
          </w:tcPr>
          <w:p>
            <w:pPr>
              <w:spacing w:after="0"/>
              <w:rPr>
                <w:sz w:val="24"/>
                <w:szCs w:val="24"/>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Postretirement benefits</w:t>
            </w:r>
          </w:p>
        </w:tc>
        <w:tc>
          <w:tcPr>
            <w:tcW w:w="1040" w:type="dxa"/>
            <w:vAlign w:val="bottom"/>
            <w:shd w:val="clear" w:color="auto" w:fill="CFF0FC"/>
          </w:tcPr>
          <w:p>
            <w:pPr>
              <w:jc w:val="right"/>
              <w:ind w:right="8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(1,418)</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(1,435)</w:t>
            </w: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non-US subsidiaries</w:t>
            </w:r>
          </w:p>
        </w:tc>
        <w:tc>
          <w:tcPr>
            <w:tcW w:w="10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(152)</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0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(176)</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net</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(867)</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above deferred tax balances at December 31, 2015 and 2014 were net of valuation allowances relating to net operating losses in certain countries of $162 million and $190 million, respectively. Schlumberger generally does not provide income taxes relating to undistributed earnings, as the earnings either would not be taxable when remitted or are considered to be indefinitely reinvested.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Taxes on income</w:t>
      </w:r>
      <w:r>
        <w:rPr>
          <w:rFonts w:ascii="Times New Roman" w:cs="Times New Roman" w:eastAsia="Times New Roman" w:hAnsi="Times New Roman"/>
          <w:sz w:val="18"/>
          <w:szCs w:val="18"/>
          <w:color w:val="auto"/>
        </w:rPr>
        <w:t xml:space="preserve"> were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3"/>
        </w:trPr>
        <w:tc>
          <w:tcPr>
            <w:tcW w:w="3580" w:type="dxa"/>
            <w:vAlign w:val="bottom"/>
            <w:tcBorders>
              <w:bottom w:val="single" w:sz="8" w:color="CFF0FC"/>
            </w:tcBorders>
          </w:tcPr>
          <w:p>
            <w:pPr>
              <w:spacing w:after="0"/>
              <w:rPr>
                <w:sz w:val="24"/>
                <w:szCs w:val="24"/>
                <w:color w:val="auto"/>
              </w:rPr>
            </w:pPr>
          </w:p>
        </w:tc>
        <w:tc>
          <w:tcPr>
            <w:tcW w:w="268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8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2014</w:t>
            </w:r>
          </w:p>
        </w:tc>
        <w:tc>
          <w:tcPr>
            <w:tcW w:w="2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States-Federal</w:t>
            </w:r>
          </w:p>
        </w:tc>
        <w:tc>
          <w:tcPr>
            <w:tcW w:w="302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280" w:type="dxa"/>
            <w:vAlign w:val="bottom"/>
          </w:tcPr>
          <w:p>
            <w:pPr>
              <w:spacing w:after="0"/>
              <w:rPr>
                <w:sz w:val="19"/>
                <w:szCs w:val="19"/>
                <w:color w:val="auto"/>
              </w:rPr>
            </w:pP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80" w:type="dxa"/>
            <w:vAlign w:val="bottom"/>
          </w:tcPr>
          <w:p>
            <w:pPr>
              <w:spacing w:after="0"/>
              <w:rPr>
                <w:sz w:val="19"/>
                <w:szCs w:val="19"/>
                <w:color w:val="auto"/>
              </w:rPr>
            </w:pP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States-State</w:t>
            </w:r>
          </w:p>
        </w:tc>
        <w:tc>
          <w:tcPr>
            <w:tcW w:w="2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Outside United States</w:t>
            </w:r>
          </w:p>
        </w:tc>
        <w:tc>
          <w:tcPr>
            <w:tcW w:w="26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1,085</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19"/>
                <w:szCs w:val="19"/>
                <w:color w:val="auto"/>
              </w:rPr>
            </w:pPr>
          </w:p>
        </w:tc>
        <w:tc>
          <w:tcPr>
            <w:tcW w:w="26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1,187</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States-Federal</w:t>
            </w:r>
          </w:p>
        </w:tc>
        <w:tc>
          <w:tcPr>
            <w:tcW w:w="3020" w:type="dxa"/>
            <w:vAlign w:val="bottom"/>
            <w:gridSpan w:val="2"/>
            <w:shd w:val="clear" w:color="auto" w:fill="CFF0FC"/>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(356)</w:t>
            </w:r>
          </w:p>
        </w:tc>
        <w:tc>
          <w:tcPr>
            <w:tcW w:w="32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States-State</w:t>
            </w: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w:t>
            </w:r>
          </w:p>
        </w:tc>
        <w:tc>
          <w:tcPr>
            <w:tcW w:w="3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Outside United States</w:t>
            </w:r>
          </w:p>
        </w:tc>
        <w:tc>
          <w:tcPr>
            <w:tcW w:w="2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(52)</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w:t>
            </w:r>
          </w:p>
        </w:tc>
        <w:tc>
          <w:tcPr>
            <w:tcW w:w="3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tcBorders>
              <w:top w:val="single" w:sz="8" w:color="CFF0FC"/>
            </w:tcBorders>
            <w:shd w:val="clear" w:color="auto" w:fill="CFF0FC"/>
          </w:tcPr>
          <w:p>
            <w:pPr>
              <w:spacing w:after="0"/>
              <w:rPr>
                <w:sz w:val="19"/>
                <w:szCs w:val="19"/>
                <w:color w:val="auto"/>
              </w:rPr>
            </w:pPr>
          </w:p>
        </w:tc>
        <w:tc>
          <w:tcPr>
            <w:tcW w:w="26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746</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680" w:type="dxa"/>
            <w:vAlign w:val="bottom"/>
            <w:vMerge w:val="restart"/>
          </w:tcPr>
          <w:p>
            <w:pPr>
              <w:jc w:val="right"/>
              <w:ind w:right="371"/>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35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58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19" w:right="2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A reconciliation of the United States statutory federal tax rate (35%) to the consolidated effective tax rate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100" w:type="dxa"/>
            <w:vAlign w:val="bottom"/>
            <w:tcBorders>
              <w:bottom w:val="single" w:sz="8" w:color="CFF0FC"/>
            </w:tcBorders>
          </w:tcPr>
          <w:p>
            <w:pPr>
              <w:spacing w:after="0"/>
              <w:rPr>
                <w:sz w:val="20"/>
                <w:szCs w:val="20"/>
                <w:color w:val="auto"/>
              </w:rPr>
            </w:pPr>
          </w:p>
        </w:tc>
        <w:tc>
          <w:tcPr>
            <w:tcW w:w="14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2015</w:t>
            </w:r>
          </w:p>
        </w:tc>
        <w:tc>
          <w:tcPr>
            <w:tcW w:w="380" w:type="dxa"/>
            <w:vAlign w:val="bottom"/>
            <w:tcBorders>
              <w:bottom w:val="single" w:sz="8" w:color="CFF0FC"/>
            </w:tcBorders>
          </w:tcPr>
          <w:p>
            <w:pPr>
              <w:spacing w:after="0"/>
              <w:rPr>
                <w:sz w:val="20"/>
                <w:szCs w:val="20"/>
                <w:color w:val="auto"/>
              </w:rPr>
            </w:pPr>
          </w:p>
        </w:tc>
        <w:tc>
          <w:tcPr>
            <w:tcW w:w="14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2014</w:t>
            </w:r>
          </w:p>
        </w:tc>
        <w:tc>
          <w:tcPr>
            <w:tcW w:w="360" w:type="dxa"/>
            <w:vAlign w:val="bottom"/>
            <w:tcBorders>
              <w:bottom w:val="single" w:sz="8" w:color="CFF0FC"/>
            </w:tcBorders>
          </w:tcPr>
          <w:p>
            <w:pPr>
              <w:spacing w:after="0"/>
              <w:rPr>
                <w:sz w:val="20"/>
                <w:szCs w:val="20"/>
                <w:color w:val="auto"/>
              </w:rPr>
            </w:pPr>
          </w:p>
        </w:tc>
        <w:tc>
          <w:tcPr>
            <w:tcW w:w="14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2013</w:t>
            </w:r>
          </w:p>
        </w:tc>
        <w:tc>
          <w:tcPr>
            <w:tcW w:w="180" w:type="dxa"/>
            <w:vAlign w:val="bottom"/>
            <w:tcBorders>
              <w:bottom w:val="single" w:sz="8" w:color="CFF0FC"/>
            </w:tcBorders>
          </w:tcPr>
          <w:p>
            <w:pPr>
              <w:spacing w:after="0"/>
              <w:rPr>
                <w:sz w:val="20"/>
                <w:szCs w:val="20"/>
                <w:color w:val="auto"/>
              </w:rPr>
            </w:pPr>
          </w:p>
        </w:tc>
      </w:tr>
      <w:tr>
        <w:trPr>
          <w:trHeight w:val="219"/>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1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35%</w:t>
            </w: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2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Non-US income taxed at different rates</w:t>
            </w: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(13)</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r>
      <w:tr>
        <w:trPr>
          <w:trHeight w:val="22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Charges and credits (See Note 3)</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3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2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0"/>
        </w:trPr>
        <w:tc>
          <w:tcPr>
            <w:tcW w:w="610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9"/>
        </w:trPr>
        <w:tc>
          <w:tcPr>
            <w:tcW w:w="61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w:t>
            </w:r>
          </w:p>
        </w:tc>
        <w:tc>
          <w:tcPr>
            <w:tcW w:w="1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6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number of the jurisdictions in which Schlumberger operates have tax laws that are not fully defined and are evolving. Schlumberger’s tax filings are subject to regular audit by the tax authorities. These audits may result in assessments for additional taxes which are resolved with the authorities or, potentially, through the courts. Tax liabilities are recorded based on estimates of additional taxes that will be due upon the conclusion of these audits. Due to the uncertain and complex application of tax regulations, the ultimate resolution of audits may result in liabilities which could be materially different from these estimates.</w:t>
      </w:r>
    </w:p>
    <w:p>
      <w:pPr>
        <w:spacing w:after="0" w:line="1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 reconciliation of the beginning and ending amount of liabilities associated with uncertain tax positions for the years ended December 31, 2015, 2014 and 2013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548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491"/>
              <w:spacing w:after="0"/>
              <w:rPr>
                <w:sz w:val="20"/>
                <w:szCs w:val="20"/>
                <w:color w:val="auto"/>
              </w:rPr>
            </w:pPr>
            <w:r>
              <w:rPr>
                <w:rFonts w:ascii="Times New Roman" w:cs="Times New Roman" w:eastAsia="Times New Roman" w:hAnsi="Times New Roman"/>
                <w:sz w:val="18"/>
                <w:szCs w:val="18"/>
                <w:color w:val="auto"/>
              </w:rPr>
              <w:t>2014</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4"/>
                <w:szCs w:val="24"/>
                <w:color w:val="auto"/>
              </w:rPr>
            </w:pPr>
          </w:p>
        </w:tc>
      </w:tr>
      <w:tr>
        <w:trPr>
          <w:trHeight w:val="219"/>
        </w:trPr>
        <w:tc>
          <w:tcPr>
            <w:tcW w:w="5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7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1,402</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r>
      <w:tr>
        <w:trPr>
          <w:trHeight w:val="22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FF0FC"/>
          </w:tcPr>
          <w:p>
            <w:pPr>
              <w:spacing w:after="0"/>
              <w:rPr>
                <w:sz w:val="19"/>
                <w:szCs w:val="19"/>
                <w:color w:val="auto"/>
              </w:rPr>
            </w:pPr>
          </w:p>
        </w:tc>
      </w:tr>
      <w:tr>
        <w:trPr>
          <w:trHeight w:val="22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Additions related to acquisitions</w:t>
            </w: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Impact of changes in exchange rates</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(78)</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2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(99)</w:t>
            </w:r>
          </w:p>
        </w:tc>
        <w:tc>
          <w:tcPr>
            <w:tcW w:w="3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r>
      <w:tr>
        <w:trPr>
          <w:trHeight w:val="22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7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(203)</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2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Reductions due to the lapse of the applicable statute of limitations</w:t>
            </w: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w:t>
            </w:r>
          </w:p>
        </w:tc>
        <w:tc>
          <w:tcPr>
            <w:tcW w:w="3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19"/>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7"/>
          <w:szCs w:val="17"/>
          <w:color w:val="auto"/>
        </w:rPr>
        <w:t xml:space="preserve">The amounts above exclude accrued interest and penalties of $176 million, $243 million and $253 million at December 31, 2015, 2014 and 2013, respectively. Schlumberger classifies interest and penalties relating to uncertain tax positions within </w:t>
      </w:r>
      <w:r>
        <w:rPr>
          <w:rFonts w:ascii="Times New Roman" w:cs="Times New Roman" w:eastAsia="Times New Roman" w:hAnsi="Times New Roman"/>
          <w:sz w:val="17"/>
          <w:szCs w:val="17"/>
          <w:i w:val="1"/>
          <w:iCs w:val="1"/>
          <w:color w:val="auto"/>
        </w:rPr>
        <w:t>Taxes on income</w:t>
      </w:r>
      <w:r>
        <w:rPr>
          <w:rFonts w:ascii="Times New Roman" w:cs="Times New Roman" w:eastAsia="Times New Roman" w:hAnsi="Times New Roman"/>
          <w:sz w:val="17"/>
          <w:szCs w:val="17"/>
          <w:color w:val="auto"/>
        </w:rPr>
        <w:t xml:space="preserve"> in the </w:t>
      </w:r>
      <w:r>
        <w:rPr>
          <w:rFonts w:ascii="Times New Roman" w:cs="Times New Roman" w:eastAsia="Times New Roman" w:hAnsi="Times New Roman"/>
          <w:sz w:val="17"/>
          <w:szCs w:val="17"/>
          <w:i w:val="1"/>
          <w:iCs w:val="1"/>
          <w:color w:val="auto"/>
        </w:rPr>
        <w:t>Consolidated Statement of Income</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tax years that are either currently under audit or remain open and subject to examination by the tax authorities in the most significant jurisdictions in which Schlumberger operates: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Brazil</w:t>
            </w:r>
          </w:p>
        </w:tc>
        <w:tc>
          <w:tcPr>
            <w:tcW w:w="4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2010 - 2015</w:t>
            </w:r>
          </w:p>
        </w:tc>
      </w:tr>
      <w:tr>
        <w:trPr>
          <w:trHeight w:val="22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2008 - 2015</w:t>
            </w:r>
          </w:p>
        </w:tc>
      </w:tr>
      <w:tr>
        <w:trPr>
          <w:trHeight w:val="22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Ecuador</w:t>
            </w:r>
          </w:p>
        </w:tc>
        <w:tc>
          <w:tcPr>
            <w:tcW w:w="4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2012 - 2015</w:t>
            </w:r>
          </w:p>
        </w:tc>
      </w:tr>
      <w:tr>
        <w:trPr>
          <w:trHeight w:val="22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2007 - 2015</w:t>
            </w:r>
          </w:p>
        </w:tc>
      </w:tr>
      <w:tr>
        <w:trPr>
          <w:trHeight w:val="22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Norway</w:t>
            </w:r>
          </w:p>
        </w:tc>
        <w:tc>
          <w:tcPr>
            <w:tcW w:w="4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2013 - 2015</w:t>
            </w:r>
          </w:p>
        </w:tc>
      </w:tr>
      <w:tr>
        <w:trPr>
          <w:trHeight w:val="22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Russia</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2013 - 2015</w:t>
            </w:r>
          </w:p>
        </w:tc>
      </w:tr>
      <w:tr>
        <w:trPr>
          <w:trHeight w:val="22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4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2001 - 2015</w:t>
            </w:r>
          </w:p>
        </w:tc>
      </w:tr>
      <w:tr>
        <w:trPr>
          <w:trHeight w:val="22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2011 - 2015</w:t>
            </w:r>
          </w:p>
        </w:tc>
      </w:tr>
      <w:tr>
        <w:trPr>
          <w:trHeight w:val="22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2014 - 2015</w:t>
            </w:r>
          </w:p>
        </w:tc>
      </w:tr>
    </w:tbl>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certain of the jurisdictions noted above, Schlumberger operates through more than one legal entity, each of which may have different open years subject to examination. The table above presents the open years subject to examination for the most material of the legal entities in each jurisdiction. Additionally, it is important to note that tax years are technically not closed until the statute of limitations in each jurisdiction expires. In the jurisdictions noted above, the statute of limitations can extend beyond the open years subject to examination.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3" w:name="page54"/>
    <w:bookmarkEnd w:id="53"/>
    <w:p>
      <w:pPr>
        <w:ind w:left="280" w:hanging="274"/>
        <w:spacing w:after="0"/>
        <w:tabs>
          <w:tab w:leader="none" w:pos="2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Leases and Lease Commitments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rental expense was $1.6 billion in 2015, $2.1 billion in 2014, and $1.9 billion in 2013.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rental commitments under noncancelable operating leases for each of the next five years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210"/>
        </w:trPr>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2016</w:t>
            </w:r>
          </w:p>
        </w:tc>
        <w:tc>
          <w:tcPr>
            <w:tcW w:w="2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19"/>
                <w:szCs w:val="19"/>
                <w:color w:val="auto"/>
              </w:rPr>
            </w:pPr>
          </w:p>
        </w:tc>
      </w:t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r>
      <w:tr>
        <w:trPr>
          <w:trHeight w:val="22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FF0FC"/>
          </w:tcPr>
          <w:p>
            <w:pPr>
              <w:spacing w:after="0"/>
              <w:rPr>
                <w:sz w:val="19"/>
                <w:szCs w:val="19"/>
                <w:color w:val="auto"/>
              </w:rPr>
            </w:pPr>
          </w:p>
        </w:tc>
      </w:t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r>
      <w:tr>
        <w:trPr>
          <w:trHeight w:val="22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FF0FC"/>
          </w:tcPr>
          <w:p>
            <w:pPr>
              <w:spacing w:after="0"/>
              <w:rPr>
                <w:sz w:val="19"/>
                <w:szCs w:val="19"/>
                <w:color w:val="auto"/>
              </w:rPr>
            </w:pPr>
          </w:p>
        </w:tc>
      </w:tr>
      <w:tr>
        <w:trPr>
          <w:trHeight w:val="226"/>
        </w:trPr>
        <w:tc>
          <w:tcPr>
            <w:tcW w:w="7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bottom w:val="single" w:sz="8" w:color="CFF0FC"/>
            </w:tcBorders>
          </w:tcPr>
          <w:p>
            <w:pPr>
              <w:spacing w:after="0"/>
              <w:rPr>
                <w:sz w:val="19"/>
                <w:szCs w:val="19"/>
                <w:color w:val="auto"/>
              </w:rPr>
            </w:pPr>
          </w:p>
        </w:tc>
      </w:tr>
      <w:tr>
        <w:trPr>
          <w:trHeight w:val="219"/>
        </w:trPr>
        <w:tc>
          <w:tcPr>
            <w:tcW w:w="74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8" w:lineRule="exact"/>
        <w:rPr>
          <w:sz w:val="20"/>
          <w:szCs w:val="20"/>
          <w:color w:val="auto"/>
        </w:rPr>
      </w:pPr>
    </w:p>
    <w:p>
      <w:pPr>
        <w:ind w:left="280" w:hanging="274"/>
        <w:spacing w:after="0"/>
        <w:tabs>
          <w:tab w:leader="none" w:pos="2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Contingencies</w:t>
      </w:r>
    </w:p>
    <w:p>
      <w:pPr>
        <w:spacing w:after="0" w:line="114"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Schlumberger and its subsidiaries are party to various legal proceedings from time to time. A liability is accrued when a loss is both probable and can be reasonably estimated. Management believes that the probability of a material loss with respect to any pending legal proceeding is remote. However, litigation is inherently uncertain and it is not possible to predict the disposition of any of these proceedings.</w:t>
      </w:r>
    </w:p>
    <w:p>
      <w:pPr>
        <w:spacing w:after="0" w:line="362" w:lineRule="exact"/>
        <w:rPr>
          <w:sz w:val="20"/>
          <w:szCs w:val="20"/>
          <w:color w:val="auto"/>
        </w:rPr>
      </w:pPr>
    </w:p>
    <w:p>
      <w:pPr>
        <w:ind w:left="280" w:hanging="274"/>
        <w:spacing w:after="0"/>
        <w:tabs>
          <w:tab w:leader="none" w:pos="2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Schlumberger’s segments are as follows:</w:t>
      </w:r>
    </w:p>
    <w:p>
      <w:pPr>
        <w:spacing w:after="0" w:line="108" w:lineRule="exact"/>
        <w:rPr>
          <w:sz w:val="20"/>
          <w:szCs w:val="20"/>
          <w:color w:val="auto"/>
        </w:rPr>
      </w:pPr>
    </w:p>
    <w:p>
      <w:pPr>
        <w:ind w:left="760" w:right="80" w:hanging="382"/>
        <w:spacing w:after="0" w:line="279"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Reservoir Characterization Group </w:t>
      </w:r>
      <w:r>
        <w:rPr>
          <w:rFonts w:ascii="Times New Roman" w:cs="Times New Roman" w:eastAsia="Times New Roman" w:hAnsi="Times New Roman"/>
          <w:sz w:val="18"/>
          <w:szCs w:val="18"/>
          <w:color w:val="auto"/>
        </w:rPr>
        <w:t>– Consists of the principal Technologies involved in finding and defining hydrocarbon resources. These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WesternGeco, Wireline, Testing Services, Software Integrated Solutions and Integrated Services Management.</w:t>
      </w:r>
    </w:p>
    <w:p>
      <w:pPr>
        <w:spacing w:after="0" w:line="50" w:lineRule="exact"/>
        <w:rPr>
          <w:rFonts w:ascii="Times New Roman" w:cs="Times New Roman" w:eastAsia="Times New Roman" w:hAnsi="Times New Roman"/>
          <w:sz w:val="18"/>
          <w:szCs w:val="18"/>
          <w:color w:val="auto"/>
        </w:rPr>
      </w:pPr>
    </w:p>
    <w:p>
      <w:pPr>
        <w:ind w:left="760" w:right="60" w:hanging="382"/>
        <w:spacing w:after="0" w:line="279"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Drilling Group </w:t>
      </w:r>
      <w:r>
        <w:rPr>
          <w:rFonts w:ascii="Times New Roman" w:cs="Times New Roman" w:eastAsia="Times New Roman" w:hAnsi="Times New Roman"/>
          <w:sz w:val="18"/>
          <w:szCs w:val="18"/>
          <w:color w:val="auto"/>
        </w:rPr>
        <w:t>– Consists of the principal Technologies involved in the drilling and positioning of oil and gas wells. These include Bits &amp; Drilling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Tools, M-I SWACO, Drilling &amp; Measurements, Land Rigs and Integrated Drilling Services.</w:t>
      </w:r>
    </w:p>
    <w:p>
      <w:pPr>
        <w:spacing w:after="0" w:line="50" w:lineRule="exact"/>
        <w:rPr>
          <w:rFonts w:ascii="Times New Roman" w:cs="Times New Roman" w:eastAsia="Times New Roman" w:hAnsi="Times New Roman"/>
          <w:sz w:val="18"/>
          <w:szCs w:val="18"/>
          <w:color w:val="auto"/>
        </w:rPr>
      </w:pPr>
    </w:p>
    <w:p>
      <w:pPr>
        <w:ind w:left="760" w:right="60" w:hanging="382"/>
        <w:spacing w:after="0" w:line="310" w:lineRule="auto"/>
        <w:tabs>
          <w:tab w:leader="none" w:pos="7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Production Group </w:t>
      </w:r>
      <w:r>
        <w:rPr>
          <w:rFonts w:ascii="Times New Roman" w:cs="Times New Roman" w:eastAsia="Times New Roman" w:hAnsi="Times New Roman"/>
          <w:sz w:val="17"/>
          <w:szCs w:val="17"/>
          <w:color w:val="auto"/>
        </w:rPr>
        <w:t>– Consists of the principal Technologies involved in the lifetime production of oil and gas reservoirs. These include Well Services,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Completions, Artificial Lift, Well Intervention, Water Services, Integrated Production Services and Schlumberger Production Management.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the years ended December 31, 2015, 2014 and 2013, by segment, is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0" w:type="dxa"/>
            <w:vAlign w:val="bottom"/>
            <w:gridSpan w:val="5"/>
          </w:tcPr>
          <w:p>
            <w:pPr>
              <w:ind w:left="1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4"/>
        </w:trPr>
        <w:tc>
          <w:tcPr>
            <w:tcW w:w="5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Depreciation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6"/>
        </w:trPr>
        <w:tc>
          <w:tcPr>
            <w:tcW w:w="5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Income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center"/>
              <w:ind w:right="171"/>
              <w:spacing w:after="0"/>
              <w:rPr>
                <w:sz w:val="20"/>
                <w:szCs w:val="20"/>
                <w:color w:val="auto"/>
              </w:rPr>
            </w:pPr>
            <w:r>
              <w:rPr>
                <w:rFonts w:ascii="Times New Roman" w:cs="Times New Roman" w:eastAsia="Times New Roman" w:hAnsi="Times New Roman"/>
                <w:sz w:val="18"/>
                <w:szCs w:val="18"/>
                <w:color w:val="auto"/>
                <w:w w:val="99"/>
              </w:rPr>
              <w:t>and</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Capital</w:t>
            </w:r>
          </w:p>
        </w:tc>
      </w:tr>
      <w:tr>
        <w:trPr>
          <w:trHeight w:val="231"/>
        </w:trPr>
        <w:tc>
          <w:tcPr>
            <w:tcW w:w="5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Revenue</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before 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Assets</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Amortization</w:t>
            </w:r>
          </w:p>
        </w:tc>
        <w:tc>
          <w:tcPr>
            <w:tcW w:w="220" w:type="dxa"/>
            <w:vAlign w:val="bottom"/>
          </w:tcPr>
          <w:p>
            <w:pPr>
              <w:spacing w:after="0"/>
              <w:rPr>
                <w:sz w:val="20"/>
                <w:szCs w:val="20"/>
                <w:color w:val="auto"/>
              </w:rPr>
            </w:pPr>
          </w:p>
        </w:tc>
        <w:tc>
          <w:tcPr>
            <w:tcW w:w="11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Expenditures</w:t>
            </w:r>
          </w:p>
        </w:tc>
      </w:tr>
      <w:tr>
        <w:trPr>
          <w:trHeight w:val="219"/>
        </w:trPr>
        <w:tc>
          <w:tcPr>
            <w:tcW w:w="5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9,501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2,450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8,266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649</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r>
      <w:tr>
        <w:trPr>
          <w:trHeight w:val="22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8,535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12,548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9,937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825</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r>
      <w:tr>
        <w:trPr>
          <w:trHeight w:val="22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(137)</w:t>
            </w: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9"/>
        </w:trPr>
        <w:tc>
          <w:tcPr>
            <w:tcW w:w="526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Pretax operating income</w:t>
            </w: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6,510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r>
      <w:tr>
        <w:trPr>
          <w:trHeight w:val="22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assets</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2,262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r>
      <w:tr>
        <w:trPr>
          <w:trHeight w:val="22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16,764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r>
      <w:tr>
        <w:trPr>
          <w:trHeight w:val="22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Charges &amp; credits </w:t>
            </w:r>
            <w:r>
              <w:rPr>
                <w:rFonts w:ascii="Times New Roman" w:cs="Times New Roman" w:eastAsia="Times New Roman" w:hAnsi="Times New Roman"/>
                <w:sz w:val="15"/>
                <w:szCs w:val="15"/>
                <w:color w:val="auto"/>
              </w:rPr>
              <w:t>(4)</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(2,575)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r>
      <w:tr>
        <w:trPr>
          <w:trHeight w:val="219"/>
        </w:trPr>
        <w:tc>
          <w:tcPr>
            <w:tcW w:w="5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35,475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68,005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6"/>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5"/>
        </w:trPr>
        <w:tc>
          <w:tcPr>
            <w:tcW w:w="5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80"/>
          </w:cols>
          <w:pgMar w:left="240" w:top="119" w:right="17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6"/>
          </w:tcPr>
          <w:p>
            <w:pPr>
              <w:ind w:left="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3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2014</w:t>
            </w: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4"/>
        </w:trPr>
        <w:tc>
          <w:tcPr>
            <w:tcW w:w="3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w w:val="98"/>
              </w:rPr>
              <w:t>Depreciation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6"/>
        </w:trPr>
        <w:tc>
          <w:tcPr>
            <w:tcW w:w="3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Income</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and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Capital</w:t>
            </w:r>
          </w:p>
        </w:tc>
      </w:tr>
      <w:tr>
        <w:trPr>
          <w:trHeight w:val="231"/>
        </w:trPr>
        <w:tc>
          <w:tcPr>
            <w:tcW w:w="3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Revenue</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before taxes</w:t>
            </w:r>
          </w:p>
        </w:tc>
        <w:tc>
          <w:tcPr>
            <w:tcW w:w="180" w:type="dxa"/>
            <w:vAlign w:val="bottom"/>
          </w:tcPr>
          <w:p>
            <w:pPr>
              <w:spacing w:after="0"/>
              <w:rPr>
                <w:sz w:val="20"/>
                <w:szCs w:val="20"/>
                <w:color w:val="auto"/>
              </w:rPr>
            </w:pPr>
          </w:p>
        </w:tc>
        <w:tc>
          <w:tcPr>
            <w:tcW w:w="12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0"/>
                <w:szCs w:val="20"/>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Expenditures</w:t>
            </w:r>
          </w:p>
        </w:tc>
      </w:tr>
      <w:tr>
        <w:trPr>
          <w:trHeight w:val="219"/>
        </w:trPr>
        <w:tc>
          <w:tcPr>
            <w:tcW w:w="3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34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4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2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9"/>
        </w:trPr>
        <w:tc>
          <w:tcPr>
            <w:tcW w:w="346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Pretax operating income</w:t>
            </w:r>
          </w:p>
        </w:tc>
        <w:tc>
          <w:tcPr>
            <w:tcW w:w="12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2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20,141</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assets</w:t>
            </w: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Charges &amp; credits </w:t>
            </w:r>
            <w:r>
              <w:rPr>
                <w:rFonts w:ascii="Times New Roman" w:cs="Times New Roman" w:eastAsia="Times New Roman" w:hAnsi="Times New Roman"/>
                <w:sz w:val="15"/>
                <w:szCs w:val="15"/>
                <w:color w:val="auto"/>
              </w:rPr>
              <w:t>(4)</w:t>
            </w: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9"/>
        </w:trPr>
        <w:tc>
          <w:tcPr>
            <w:tcW w:w="3460" w:type="dxa"/>
            <w:vAlign w:val="bottom"/>
          </w:tcPr>
          <w:p>
            <w:pPr>
              <w:spacing w:after="0"/>
              <w:rPr>
                <w:sz w:val="19"/>
                <w:szCs w:val="19"/>
                <w:color w:val="auto"/>
              </w:rPr>
            </w:pPr>
          </w:p>
        </w:tc>
        <w:tc>
          <w:tcPr>
            <w:tcW w:w="13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66,904</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460"/>
        </w:trPr>
        <w:tc>
          <w:tcPr>
            <w:tcW w:w="3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3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4"/>
        </w:trPr>
        <w:tc>
          <w:tcPr>
            <w:tcW w:w="3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Depreciation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6"/>
        </w:trPr>
        <w:tc>
          <w:tcPr>
            <w:tcW w:w="3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Income</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2"/>
              </w:rPr>
              <w:t>and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Capital</w:t>
            </w:r>
          </w:p>
        </w:tc>
      </w:tr>
      <w:tr>
        <w:trPr>
          <w:trHeight w:val="231"/>
        </w:trPr>
        <w:tc>
          <w:tcPr>
            <w:tcW w:w="3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Revenue</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w w:val="95"/>
              </w:rPr>
              <w:t>before taxes</w:t>
            </w:r>
          </w:p>
        </w:tc>
        <w:tc>
          <w:tcPr>
            <w:tcW w:w="1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Amortization</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Expenditures</w:t>
            </w:r>
          </w:p>
        </w:tc>
      </w:tr>
      <w:tr>
        <w:trPr>
          <w:trHeight w:val="219"/>
        </w:trPr>
        <w:tc>
          <w:tcPr>
            <w:tcW w:w="3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13,050</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3,711</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9,316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1,361</w:t>
            </w:r>
          </w:p>
        </w:tc>
        <w:tc>
          <w:tcPr>
            <w:tcW w:w="60" w:type="dxa"/>
            <w:vAlign w:val="bottom"/>
            <w:tcBorders>
              <w:top w:val="single" w:sz="8" w:color="CFF0FC"/>
            </w:tcBorders>
            <w:shd w:val="clear" w:color="auto" w:fill="CFF0FC"/>
          </w:tcPr>
          <w:p>
            <w:pPr>
              <w:spacing w:after="0"/>
              <w:rPr>
                <w:sz w:val="19"/>
                <w:szCs w:val="19"/>
                <w:color w:val="auto"/>
              </w:rPr>
            </w:pPr>
          </w:p>
        </w:tc>
      </w:tr>
      <w:tr>
        <w:trPr>
          <w:trHeight w:val="22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16,792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1,289</w:t>
            </w:r>
          </w:p>
        </w:tc>
        <w:tc>
          <w:tcPr>
            <w:tcW w:w="60" w:type="dxa"/>
            <w:vAlign w:val="bottom"/>
          </w:tcPr>
          <w:p>
            <w:pPr>
              <w:spacing w:after="0"/>
              <w:rPr>
                <w:sz w:val="19"/>
                <w:szCs w:val="19"/>
                <w:color w:val="auto"/>
              </w:rPr>
            </w:pPr>
          </w:p>
        </w:tc>
      </w:tr>
      <w:tr>
        <w:trPr>
          <w:trHeight w:val="22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15,646</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2,624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1,126</w:t>
            </w:r>
          </w:p>
        </w:tc>
        <w:tc>
          <w:tcPr>
            <w:tcW w:w="60" w:type="dxa"/>
            <w:vAlign w:val="bottom"/>
            <w:shd w:val="clear" w:color="auto" w:fill="CFF0FC"/>
          </w:tcPr>
          <w:p>
            <w:pPr>
              <w:spacing w:after="0"/>
              <w:rPr>
                <w:sz w:val="19"/>
                <w:szCs w:val="19"/>
                <w:color w:val="auto"/>
              </w:rPr>
            </w:pPr>
          </w:p>
        </w:tc>
      </w:tr>
      <w:tr>
        <w:trPr>
          <w:trHeight w:val="22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tcPr>
          <w:p>
            <w:pPr>
              <w:spacing w:after="0"/>
              <w:rPr>
                <w:sz w:val="19"/>
                <w:szCs w:val="19"/>
                <w:color w:val="auto"/>
              </w:rPr>
            </w:pPr>
          </w:p>
        </w:tc>
      </w:tr>
      <w:tr>
        <w:trPr>
          <w:trHeight w:val="219"/>
        </w:trPr>
        <w:tc>
          <w:tcPr>
            <w:tcW w:w="346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Pretax operating income</w:t>
            </w:r>
          </w:p>
        </w:tc>
        <w:tc>
          <w:tcPr>
            <w:tcW w:w="12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9,344</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2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assets</w:t>
            </w: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(726)</w:t>
            </w:r>
          </w:p>
        </w:tc>
        <w:tc>
          <w:tcPr>
            <w:tcW w:w="1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Charges &amp; credits </w:t>
            </w:r>
            <w:r>
              <w:rPr>
                <w:rFonts w:ascii="Times New Roman" w:cs="Times New Roman" w:eastAsia="Times New Roman" w:hAnsi="Times New Roman"/>
                <w:sz w:val="15"/>
                <w:szCs w:val="15"/>
                <w:color w:val="auto"/>
              </w:rPr>
              <w:t>(4)</w:t>
            </w:r>
          </w:p>
        </w:tc>
        <w:tc>
          <w:tcPr>
            <w:tcW w:w="1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9"/>
        </w:trPr>
        <w:tc>
          <w:tcPr>
            <w:tcW w:w="3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45,266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8,691</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67,100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8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3,943</w:t>
            </w:r>
          </w:p>
        </w:tc>
        <w:tc>
          <w:tcPr>
            <w:tcW w:w="6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left="380" w:right="20" w:hanging="374"/>
        <w:spacing w:after="0" w:line="221" w:lineRule="auto"/>
        <w:tabs>
          <w:tab w:leader="none" w:pos="380" w:val="left"/>
        </w:tabs>
        <w:numPr>
          <w:ilvl w:val="0"/>
          <w:numId w:val="4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Comprised principally of certain corporate expenses not allocated to the segments, stock-based compensation costs, amortization expense associated with certain intangible assets, certain centrally managed initiatives and other nonoperating items. Corporate assets consist of cash, short-term investments, fixed income investments, held to maturity and investments in affiliates.</w:t>
      </w:r>
    </w:p>
    <w:p>
      <w:pPr>
        <w:spacing w:after="0" w:line="20" w:lineRule="exact"/>
        <w:rPr>
          <w:rFonts w:ascii="Times New Roman" w:cs="Times New Roman" w:eastAsia="Times New Roman" w:hAnsi="Times New Roman"/>
          <w:sz w:val="26"/>
          <w:szCs w:val="26"/>
          <w:color w:val="auto"/>
          <w:vertAlign w:val="superscript"/>
        </w:rPr>
      </w:pPr>
    </w:p>
    <w:p>
      <w:pPr>
        <w:ind w:left="380" w:hanging="374"/>
        <w:spacing w:after="0"/>
        <w:tabs>
          <w:tab w:leader="none" w:pos="380" w:val="left"/>
        </w:tabs>
        <w:numPr>
          <w:ilvl w:val="0"/>
          <w:numId w:val="4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Interest income excludes amounts which are included in the segments’ income (2015: $22 million; 2014: $20 million; 2013: $11 million).</w:t>
      </w:r>
    </w:p>
    <w:p>
      <w:pPr>
        <w:spacing w:after="0" w:line="107" w:lineRule="exact"/>
        <w:rPr>
          <w:rFonts w:ascii="Times New Roman" w:cs="Times New Roman" w:eastAsia="Times New Roman" w:hAnsi="Times New Roman"/>
          <w:sz w:val="26"/>
          <w:szCs w:val="26"/>
          <w:color w:val="auto"/>
          <w:vertAlign w:val="superscript"/>
        </w:rPr>
      </w:pPr>
    </w:p>
    <w:p>
      <w:pPr>
        <w:ind w:left="380" w:hanging="374"/>
        <w:spacing w:after="0" w:line="192" w:lineRule="auto"/>
        <w:tabs>
          <w:tab w:leader="none" w:pos="380"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Interest expense excludes amounts which are included in the segments’ income (2015: $30 million; 2014: $22 million; 2013: $22 million).</w:t>
      </w:r>
    </w:p>
    <w:p>
      <w:pPr>
        <w:spacing w:after="0" w:line="107" w:lineRule="exact"/>
        <w:rPr>
          <w:rFonts w:ascii="Times New Roman" w:cs="Times New Roman" w:eastAsia="Times New Roman" w:hAnsi="Times New Roman"/>
          <w:sz w:val="23"/>
          <w:szCs w:val="23"/>
          <w:color w:val="auto"/>
          <w:vertAlign w:val="superscript"/>
        </w:rPr>
      </w:pPr>
    </w:p>
    <w:p>
      <w:pPr>
        <w:ind w:left="380" w:hanging="374"/>
        <w:spacing w:after="0" w:line="192" w:lineRule="auto"/>
        <w:tabs>
          <w:tab w:leader="none" w:pos="380"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See Note 3 – </w:t>
      </w:r>
      <w:r>
        <w:rPr>
          <w:rFonts w:ascii="Times New Roman" w:cs="Times New Roman" w:eastAsia="Times New Roman" w:hAnsi="Times New Roman"/>
          <w:sz w:val="16"/>
          <w:szCs w:val="16"/>
          <w:i w:val="1"/>
          <w:iCs w:val="1"/>
          <w:color w:val="auto"/>
        </w:rPr>
        <w:t>Charges and Credits</w:t>
      </w:r>
      <w:r>
        <w:rPr>
          <w:rFonts w:ascii="Times New Roman" w:cs="Times New Roman" w:eastAsia="Times New Roman" w:hAnsi="Times New Roman"/>
          <w:sz w:val="16"/>
          <w:szCs w:val="16"/>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assets consist of receivables, inventories, fixed assets, multiclient seismic data and SPM investments.</w:t>
      </w:r>
    </w:p>
    <w:p>
      <w:pPr>
        <w:spacing w:after="0" w:line="21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Depreciation and amortization includes depreciation of property, plant and equipment and amortization of intangible assets, multiclient seismic data costs and SPM investments.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by geographic area for the years ended December 31, 2015, 2014 and 2013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6720" w:type="dxa"/>
            <w:vAlign w:val="bottom"/>
            <w:tcBorders>
              <w:bottom w:val="single" w:sz="8" w:color="CFF0FC"/>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FF0FC"/>
            </w:tcBorders>
          </w:tcPr>
          <w:p>
            <w:pPr>
              <w:spacing w:after="0"/>
              <w:rPr>
                <w:sz w:val="24"/>
                <w:szCs w:val="24"/>
                <w:color w:val="auto"/>
              </w:rPr>
            </w:pPr>
          </w:p>
        </w:tc>
      </w:tr>
      <w:tr>
        <w:trPr>
          <w:trHeight w:val="21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840" w:type="dxa"/>
            <w:vAlign w:val="bottom"/>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9,811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13,897</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6,014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9,284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9,898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8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468</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FF0FC"/>
          </w:tcPr>
          <w:p>
            <w:pPr>
              <w:spacing w:after="0"/>
              <w:rPr>
                <w:sz w:val="19"/>
                <w:szCs w:val="19"/>
                <w:color w:val="auto"/>
              </w:rPr>
            </w:pPr>
          </w:p>
        </w:tc>
      </w:tr>
      <w:tr>
        <w:trPr>
          <w:trHeight w:val="219"/>
        </w:trPr>
        <w:tc>
          <w:tcPr>
            <w:tcW w:w="6720" w:type="dxa"/>
            <w:vAlign w:val="bottom"/>
          </w:tcPr>
          <w:p>
            <w:pPr>
              <w:spacing w:after="0"/>
              <w:rPr>
                <w:sz w:val="19"/>
                <w:szCs w:val="19"/>
                <w:color w:val="auto"/>
              </w:rPr>
            </w:pPr>
          </w:p>
        </w:tc>
        <w:tc>
          <w:tcPr>
            <w:tcW w:w="8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35,475</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based on the location where services are provided.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each of the three years ended December 31, 2015, 2014 and 2013, no single customer exceeded 10% of consolidated revenue.</w:t>
      </w:r>
    </w:p>
    <w:p>
      <w:pPr>
        <w:spacing w:after="0" w:line="21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Schlumberger did not have revenue from third-party customers in its country of domicile during the last three years. Revenue in the United States in 2015, 2014 and 2013 was $8.5 billion, $14.0 billion and $12.0 billion,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Fixed Assets less accumulated depreciation </w:t>
      </w:r>
      <w:r>
        <w:rPr>
          <w:rFonts w:ascii="Times New Roman" w:cs="Times New Roman" w:eastAsia="Times New Roman" w:hAnsi="Times New Roman"/>
          <w:sz w:val="18"/>
          <w:szCs w:val="18"/>
          <w:color w:val="auto"/>
        </w:rPr>
        <w:t>by geographic area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6720" w:type="dxa"/>
            <w:vAlign w:val="bottom"/>
            <w:tcBorders>
              <w:bottom w:val="single" w:sz="8" w:color="CFF0FC"/>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FF0FC"/>
            </w:tcBorders>
          </w:tcPr>
          <w:p>
            <w:pPr>
              <w:spacing w:after="0"/>
              <w:rPr>
                <w:sz w:val="24"/>
                <w:szCs w:val="24"/>
                <w:color w:val="auto"/>
              </w:rPr>
            </w:pPr>
          </w:p>
        </w:tc>
      </w:tr>
      <w:tr>
        <w:trPr>
          <w:trHeight w:val="21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840" w:type="dxa"/>
            <w:vAlign w:val="bottom"/>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4,392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2,978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Unallocated </w:t>
            </w:r>
            <w:r>
              <w:rPr>
                <w:rFonts w:ascii="Times New Roman" w:cs="Times New Roman" w:eastAsia="Times New Roman" w:hAnsi="Times New Roman"/>
                <w:sz w:val="15"/>
                <w:szCs w:val="15"/>
                <w:color w:val="auto"/>
              </w:rPr>
              <w:t>(1)</w:t>
            </w:r>
          </w:p>
        </w:tc>
        <w:tc>
          <w:tcPr>
            <w:tcW w:w="8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1,239</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shd w:val="clear" w:color="auto" w:fill="CFF0FC"/>
          </w:tcPr>
          <w:p>
            <w:pPr>
              <w:spacing w:after="0"/>
              <w:rPr>
                <w:sz w:val="19"/>
                <w:szCs w:val="19"/>
                <w:color w:val="auto"/>
              </w:rPr>
            </w:pPr>
          </w:p>
        </w:tc>
      </w:tr>
      <w:tr>
        <w:trPr>
          <w:trHeight w:val="219"/>
        </w:trPr>
        <w:tc>
          <w:tcPr>
            <w:tcW w:w="6720" w:type="dxa"/>
            <w:vAlign w:val="bottom"/>
          </w:tcPr>
          <w:p>
            <w:pPr>
              <w:spacing w:after="0"/>
              <w:rPr>
                <w:sz w:val="19"/>
                <w:szCs w:val="19"/>
                <w:color w:val="auto"/>
              </w:rPr>
            </w:pPr>
          </w:p>
        </w:tc>
        <w:tc>
          <w:tcPr>
            <w:tcW w:w="8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13,415</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15,096</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380" w:hanging="374"/>
        <w:spacing w:after="0"/>
        <w:tabs>
          <w:tab w:leader="none" w:pos="380" w:val="left"/>
        </w:tabs>
        <w:numPr>
          <w:ilvl w:val="0"/>
          <w:numId w:val="4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Represents seismic vessels, including the related on-board equipment, which frequently transition between geographic areas.</w:t>
      </w:r>
    </w:p>
    <w:p>
      <w:pPr>
        <w:spacing w:after="0" w:line="311" w:lineRule="exact"/>
        <w:rPr>
          <w:sz w:val="20"/>
          <w:szCs w:val="20"/>
          <w:color w:val="auto"/>
        </w:rPr>
      </w:pPr>
    </w:p>
    <w:p>
      <w:pPr>
        <w:ind w:left="280" w:hanging="274"/>
        <w:spacing w:after="0"/>
        <w:tabs>
          <w:tab w:leader="none" w:pos="2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Pension and Other Benefit Plans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Plans</w:t>
      </w:r>
    </w:p>
    <w:p>
      <w:pPr>
        <w:spacing w:after="0" w:line="11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Schlumberger sponsors several defined benefit pension plans that cover substantially all US employees hired prior to October 1, 2004. The benefits are based on years of service and compensation, on a career-average pay basis.</w:t>
      </w:r>
    </w:p>
    <w:p>
      <w:pPr>
        <w:spacing w:after="0" w:line="16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7"/>
          <w:szCs w:val="17"/>
          <w:color w:val="auto"/>
        </w:rPr>
        <w:t>In addition to the United States defined benefit pension plans, Schlumberger sponsors several other international defined benefit pension plans. The most significant of these international plans are the International Staff Pension Plan and the UK pension plan (collectively, the “International plans”). The International Staff Pension Plan covers certain international employees hired prior to July 1, 2014 and is based on years of service and compensation on a career-average pay basis. The UK plan covers employees hired prior to April 1, 1999, and is based on years of service and compensation, on a final salary basis.</w:t>
      </w:r>
    </w:p>
    <w:p>
      <w:pPr>
        <w:spacing w:after="0" w:line="16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weighted-average assumed discount rate, compensation increases and the expected long-term rate of return on plan assets used to determine the net pension cost for the US and International plans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4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7"/>
              </w:rPr>
              <w:t>International</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9"/>
        </w:trPr>
        <w:tc>
          <w:tcPr>
            <w:tcW w:w="44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2014</w:t>
            </w:r>
          </w:p>
        </w:tc>
        <w:tc>
          <w:tcPr>
            <w:tcW w:w="2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2013</w:t>
            </w:r>
          </w:p>
        </w:tc>
        <w:tc>
          <w:tcPr>
            <w:tcW w:w="2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2014</w:t>
            </w:r>
          </w:p>
        </w:tc>
        <w:tc>
          <w:tcPr>
            <w:tcW w:w="2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2013</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4.15%</w:t>
            </w: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4.85%</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4.25%</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4.07%</w:t>
            </w:r>
          </w:p>
        </w:tc>
        <w:tc>
          <w:tcPr>
            <w:tcW w:w="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4.76%</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4.38%</w:t>
            </w:r>
          </w:p>
        </w:tc>
        <w:tc>
          <w:tcPr>
            <w:tcW w:w="20" w:type="dxa"/>
            <w:vAlign w:val="bottom"/>
          </w:tcPr>
          <w:p>
            <w:pPr>
              <w:spacing w:after="0"/>
              <w:rPr>
                <w:sz w:val="19"/>
                <w:szCs w:val="19"/>
                <w:color w:val="auto"/>
              </w:rPr>
            </w:pPr>
          </w:p>
        </w:tc>
      </w:tr>
      <w:tr>
        <w:trPr>
          <w:trHeight w:val="22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increases</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4.00%</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4.79%</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4.80%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Pr>
          <w:p>
            <w:pPr>
              <w:spacing w:after="0"/>
              <w:rPr>
                <w:sz w:val="19"/>
                <w:szCs w:val="19"/>
                <w:color w:val="auto"/>
              </w:rPr>
            </w:pPr>
          </w:p>
        </w:tc>
      </w:tr>
      <w:tr>
        <w:trPr>
          <w:trHeight w:val="22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Return on plan assets</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7.25%</w:t>
            </w:r>
          </w:p>
        </w:tc>
        <w:tc>
          <w:tcPr>
            <w:tcW w:w="12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7.25%</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7.50%</w:t>
            </w:r>
          </w:p>
        </w:tc>
        <w:tc>
          <w:tcPr>
            <w:tcW w:w="12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tcPr>
          <w:p>
            <w:pPr>
              <w:spacing w:after="0"/>
              <w:rPr>
                <w:sz w:val="19"/>
                <w:szCs w:val="19"/>
                <w:color w:val="auto"/>
              </w:rPr>
            </w:pPr>
          </w:p>
        </w:tc>
      </w:tr>
      <w:tr>
        <w:trPr>
          <w:trHeight w:val="639"/>
        </w:trPr>
        <w:tc>
          <w:tcPr>
            <w:tcW w:w="4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51"/>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5"/>
        </w:trPr>
        <w:tc>
          <w:tcPr>
            <w:tcW w:w="4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Net pension cost for 2015, 2014 and 2013 included the following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w w:val="98"/>
              </w:rPr>
              <w:t>(Stated in millions)</w:t>
            </w:r>
          </w:p>
        </w:tc>
      </w:tr>
      <w:tr>
        <w:trPr>
          <w:trHeight w:val="423"/>
        </w:trPr>
        <w:tc>
          <w:tcPr>
            <w:tcW w:w="4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47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2014</w:t>
            </w: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FF0FC"/>
            </w:tcBorders>
          </w:tcPr>
          <w:p>
            <w:pPr>
              <w:spacing w:after="0"/>
              <w:rPr>
                <w:sz w:val="19"/>
                <w:szCs w:val="19"/>
                <w:color w:val="auto"/>
              </w:rPr>
            </w:pPr>
          </w:p>
        </w:tc>
      </w:tr>
      <w:tr>
        <w:trPr>
          <w:trHeight w:val="21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 - benefits earned during the period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FF0FC"/>
          </w:tcPr>
          <w:p>
            <w:pPr>
              <w:spacing w:after="0"/>
              <w:rPr>
                <w:sz w:val="19"/>
                <w:szCs w:val="19"/>
                <w:color w:val="auto"/>
              </w:rPr>
            </w:pPr>
          </w:p>
        </w:tc>
      </w:tr>
      <w:tr>
        <w:trPr>
          <w:trHeight w:val="22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r>
      <w:tr>
        <w:trPr>
          <w:trHeight w:val="22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(229)</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(498)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(384)</w:t>
            </w:r>
          </w:p>
        </w:tc>
      </w:tr>
      <w:tr>
        <w:trPr>
          <w:trHeight w:val="22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r>
      <w:tr>
        <w:trPr>
          <w:trHeight w:val="22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19"/>
                <w:szCs w:val="19"/>
                <w:color w:val="auto"/>
              </w:rPr>
            </w:pPr>
          </w:p>
        </w:tc>
      </w:tr>
      <w:tr>
        <w:trPr>
          <w:trHeight w:val="219"/>
        </w:trPr>
        <w:tc>
          <w:tcPr>
            <w:tcW w:w="47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220" w:type="dxa"/>
            <w:vAlign w:val="bottom"/>
          </w:tcPr>
          <w:p>
            <w:pPr>
              <w:spacing w:after="0"/>
              <w:rPr>
                <w:sz w:val="19"/>
                <w:szCs w:val="19"/>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6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weighted-average assumed discount rate and compensation increases used to determine the projected benefit obligations for the US and International plans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right"/>
              <w:ind w:right="19"/>
              <w:spacing w:after="0"/>
              <w:rPr>
                <w:sz w:val="20"/>
                <w:szCs w:val="20"/>
                <w:color w:val="auto"/>
              </w:rPr>
            </w:pPr>
            <w:r>
              <w:rPr>
                <w:rFonts w:ascii="Times New Roman" w:cs="Times New Roman" w:eastAsia="Times New Roman" w:hAnsi="Times New Roman"/>
                <w:sz w:val="18"/>
                <w:szCs w:val="18"/>
                <w:color w:val="auto"/>
              </w:rPr>
              <w:t>International</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20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94"/>
              </w:rPr>
              <w:t>2014</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4.36%</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increases</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4.80%</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86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changes in the projected benefit obligation, plan assets and funded status of the plans were as follows: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7"/>
        </w:trPr>
        <w:tc>
          <w:tcPr>
            <w:tcW w:w="5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86"/>
              </w:rPr>
              <w:t>US</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International</w:t>
            </w: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20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Projected Benefit Obligations</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3,418</w:t>
            </w:r>
          </w:p>
        </w:tc>
        <w:tc>
          <w:tcPr>
            <w:tcW w:w="120" w:type="dxa"/>
            <w:vAlign w:val="bottom"/>
          </w:tcPr>
          <w:p>
            <w:pPr>
              <w:spacing w:after="0"/>
              <w:rPr>
                <w:sz w:val="19"/>
                <w:szCs w:val="19"/>
                <w:color w:val="auto"/>
              </w:rPr>
            </w:pPr>
          </w:p>
        </w:tc>
        <w:tc>
          <w:tcPr>
            <w:tcW w:w="3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7,249</w:t>
            </w:r>
          </w:p>
        </w:tc>
        <w:tc>
          <w:tcPr>
            <w:tcW w:w="200" w:type="dxa"/>
            <w:vAlign w:val="bottom"/>
          </w:tcPr>
          <w:p>
            <w:pPr>
              <w:spacing w:after="0"/>
              <w:rPr>
                <w:sz w:val="19"/>
                <w:szCs w:val="19"/>
                <w:color w:val="auto"/>
              </w:rPr>
            </w:pPr>
          </w:p>
        </w:tc>
        <w:tc>
          <w:tcPr>
            <w:tcW w:w="38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167</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Contribution by plan participants</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143</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(gains) losses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(203)</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effect</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(66)</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(247)</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68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4,025</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4,137</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7,340</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7,249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Plan Assets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 assets at fair value at beginning of year</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3,549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3,269</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6,830</w:t>
            </w: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effect</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(69)</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Company contributions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198</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Contributions by plan participants</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(248)</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 assets at fair value at end of year</w:t>
            </w:r>
          </w:p>
        </w:tc>
        <w:tc>
          <w:tcPr>
            <w:tcW w:w="68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3,467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6,832</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6,830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Unfunded Liability</w:t>
            </w:r>
          </w:p>
        </w:tc>
        <w:tc>
          <w:tcPr>
            <w:tcW w:w="680" w:type="dxa"/>
            <w:vAlign w:val="bottom"/>
            <w:tcBorders>
              <w:bottom w:val="single" w:sz="8" w:color="CFF0FC"/>
            </w:tcBorders>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(558)</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(508)</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Recognized in Balance Sheet</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Benefits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(558)</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(588)</w:t>
            </w:r>
          </w:p>
        </w:tc>
        <w:tc>
          <w:tcPr>
            <w:tcW w:w="3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(657)</w:t>
            </w:r>
          </w:p>
        </w:tc>
        <w:tc>
          <w:tcPr>
            <w:tcW w:w="38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149</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0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(558)</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(508)</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Recognized in Accumulated Other Comprehensive Loss</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losses</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1,104</w:t>
            </w:r>
          </w:p>
        </w:tc>
        <w:tc>
          <w:tcPr>
            <w:tcW w:w="120" w:type="dxa"/>
            <w:vAlign w:val="bottom"/>
          </w:tcPr>
          <w:p>
            <w:pPr>
              <w:spacing w:after="0"/>
              <w:rPr>
                <w:sz w:val="19"/>
                <w:szCs w:val="19"/>
                <w:color w:val="auto"/>
              </w:rPr>
            </w:pPr>
          </w:p>
        </w:tc>
        <w:tc>
          <w:tcPr>
            <w:tcW w:w="3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335</w:t>
            </w:r>
          </w:p>
        </w:tc>
        <w:tc>
          <w:tcPr>
            <w:tcW w:w="200" w:type="dxa"/>
            <w:vAlign w:val="bottom"/>
          </w:tcPr>
          <w:p>
            <w:pPr>
              <w:spacing w:after="0"/>
              <w:rPr>
                <w:sz w:val="19"/>
                <w:szCs w:val="19"/>
                <w:color w:val="auto"/>
              </w:rPr>
            </w:pPr>
          </w:p>
        </w:tc>
        <w:tc>
          <w:tcPr>
            <w:tcW w:w="38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0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1,062</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335</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680" w:type="dxa"/>
            <w:vAlign w:val="bottom"/>
            <w:tcBorders>
              <w:bottom w:val="single" w:sz="8" w:color="CFF0FC"/>
            </w:tcBorders>
            <w:gridSpan w:val="2"/>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3,763</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3,805</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6,913</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6,793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5200" w:type="dxa"/>
            <w:vAlign w:val="bottom"/>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5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61" w:right="219" w:bottom="1440" w:gutter="0" w:footer="0" w:header="0"/>
        </w:sectPr>
      </w:pPr>
    </w:p>
    <w:bookmarkStart w:id="57" w:name="page58"/>
    <w:bookmarkEnd w:id="57"/>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unfunded liability represents the difference between the plan assets and the projected benefit obligation (“PBO”). The PBO represents the actuarial present value of benefits based on employee service and compensation and includes an assumption about future compensation levels. The accumulated benefit obligation represents the actuarial present value of benefits based on employee service and compensation, but does not include an assumption about future compensation levels.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allocation of plan assets and the target allocations by asset category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4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International</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9"/>
        </w:trPr>
        <w:tc>
          <w:tcPr>
            <w:tcW w:w="44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Target</w:t>
            </w:r>
          </w:p>
        </w:tc>
        <w:tc>
          <w:tcPr>
            <w:tcW w:w="2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2015</w:t>
            </w:r>
          </w:p>
        </w:tc>
        <w:tc>
          <w:tcPr>
            <w:tcW w:w="3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2014</w:t>
            </w:r>
          </w:p>
        </w:tc>
        <w:tc>
          <w:tcPr>
            <w:tcW w:w="2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Target</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2015</w:t>
            </w:r>
          </w:p>
        </w:tc>
        <w:tc>
          <w:tcPr>
            <w:tcW w:w="3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Borders>
              <w:bottom w:val="single" w:sz="8" w:color="CFF0FC"/>
            </w:tcBorders>
          </w:tcPr>
          <w:p>
            <w:pPr>
              <w:spacing w:after="0"/>
              <w:rPr>
                <w:sz w:val="19"/>
                <w:szCs w:val="19"/>
                <w:color w:val="auto"/>
              </w:rPr>
            </w:pPr>
          </w:p>
        </w:tc>
      </w:tr>
      <w:tr>
        <w:trPr>
          <w:trHeight w:val="21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- 56%</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- 71%</w:t>
            </w:r>
          </w:p>
        </w:tc>
        <w:tc>
          <w:tcPr>
            <w:tcW w:w="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r>
      <w:tr>
        <w:trPr>
          <w:trHeight w:val="22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- 35</w:t>
            </w: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9"/>
                <w:szCs w:val="19"/>
                <w:color w:val="auto"/>
              </w:rPr>
            </w:pPr>
          </w:p>
        </w:tc>
      </w:tr>
      <w:tr>
        <w:trPr>
          <w:trHeight w:val="22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0"/>
              </w:rPr>
              <w:t>0 - 3</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0 - 5</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9"/>
                <w:szCs w:val="19"/>
                <w:color w:val="auto"/>
              </w:rPr>
            </w:pPr>
          </w:p>
        </w:tc>
      </w:tr>
      <w:tr>
        <w:trPr>
          <w:trHeight w:val="226"/>
        </w:trPr>
        <w:tc>
          <w:tcPr>
            <w:tcW w:w="4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Alternative investments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w:t>
            </w:r>
          </w:p>
        </w:tc>
        <w:tc>
          <w:tcPr>
            <w:tcW w:w="2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- 25</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FF0FC"/>
            </w:tcBorders>
          </w:tcPr>
          <w:p>
            <w:pPr>
              <w:spacing w:after="0"/>
              <w:rPr>
                <w:sz w:val="19"/>
                <w:szCs w:val="19"/>
                <w:color w:val="auto"/>
              </w:rPr>
            </w:pPr>
          </w:p>
        </w:tc>
      </w:tr>
      <w:tr>
        <w:trPr>
          <w:trHeight w:val="219"/>
        </w:trPr>
        <w:tc>
          <w:tcPr>
            <w:tcW w:w="44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21"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18"/>
          <w:szCs w:val="18"/>
          <w:color w:val="auto"/>
        </w:rPr>
        <w:t>Asset performance is monitored frequently with an overall expectation that plan assets will meet or exceed the weighted index of its target asset allocation and component benchmark over rolling five-year periods.</w:t>
      </w:r>
    </w:p>
    <w:p>
      <w:pPr>
        <w:spacing w:after="0" w:line="16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expected long-term rate of return on assets assumptions reflect the average rate of earnings expected on funds invested or to be invested. The assumptions have been determined based on expectations regarding future rates of return for the portfolio considering the asset allocation and related historical rates of return. The appropriateness of the assumptions is reviewed annually.</w:t>
      </w:r>
    </w:p>
    <w:p>
      <w:pPr>
        <w:spacing w:after="0" w:line="17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fair value of Schlumberger’s pension plan assets at December 31, 2015 and 2014, by asset category, is presented below and was determined based on valuation techniques categorized as follows:</w:t>
      </w:r>
    </w:p>
    <w:p>
      <w:pPr>
        <w:spacing w:after="0" w:line="57" w:lineRule="exact"/>
        <w:rPr>
          <w:sz w:val="20"/>
          <w:szCs w:val="20"/>
          <w:color w:val="auto"/>
        </w:rPr>
      </w:pPr>
    </w:p>
    <w:p>
      <w:pPr>
        <w:ind w:left="1020" w:hanging="376"/>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One: The use of quoted prices in active markets for identical instruments.</w:t>
      </w:r>
    </w:p>
    <w:p>
      <w:pPr>
        <w:spacing w:after="0" w:line="111" w:lineRule="exact"/>
        <w:rPr>
          <w:rFonts w:ascii="Times New Roman" w:cs="Times New Roman" w:eastAsia="Times New Roman" w:hAnsi="Times New Roman"/>
          <w:sz w:val="18"/>
          <w:szCs w:val="18"/>
          <w:color w:val="auto"/>
        </w:rPr>
      </w:pPr>
    </w:p>
    <w:p>
      <w:pPr>
        <w:ind w:left="1020" w:right="20" w:hanging="363"/>
        <w:spacing w:after="0" w:line="275"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Two: The use of quoted prices for similar instruments in active markets or quoted prices for identical or similar instruments in markets that are not active or other inputs that are observable in the market or can be corroborated by observable market data.</w:t>
      </w:r>
    </w:p>
    <w:p>
      <w:pPr>
        <w:spacing w:after="0" w:line="57" w:lineRule="exact"/>
        <w:rPr>
          <w:rFonts w:ascii="Times New Roman" w:cs="Times New Roman" w:eastAsia="Times New Roman" w:hAnsi="Times New Roman"/>
          <w:sz w:val="18"/>
          <w:szCs w:val="18"/>
          <w:color w:val="auto"/>
        </w:rPr>
      </w:pPr>
    </w:p>
    <w:p>
      <w:pPr>
        <w:ind w:left="1020" w:right="20" w:hanging="363"/>
        <w:spacing w:after="0" w:line="275" w:lineRule="auto"/>
        <w:tabs>
          <w:tab w:leader="none" w:pos="10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Three: The use of significant unobservable inputs that typically require the use of management’s estimates of assumptions that market participants would use in pricing.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5"/>
          </w:tcPr>
          <w:p>
            <w:pPr>
              <w:ind w:left="5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3"/>
        </w:trPr>
        <w:tc>
          <w:tcPr>
            <w:tcW w:w="3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color w:val="auto"/>
              </w:rPr>
              <w:t>US Plan Assets</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Level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Level</w:t>
            </w:r>
          </w:p>
        </w:tc>
        <w:tc>
          <w:tcPr>
            <w:tcW w:w="120" w:type="dxa"/>
            <w:vAlign w:val="bottom"/>
          </w:tcPr>
          <w:p>
            <w:pPr>
              <w:spacing w:after="0"/>
              <w:rPr>
                <w:sz w:val="18"/>
                <w:szCs w:val="18"/>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Level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Level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Level</w:t>
            </w:r>
          </w:p>
        </w:tc>
        <w:tc>
          <w:tcPr>
            <w:tcW w:w="120" w:type="dxa"/>
            <w:vAlign w:val="bottom"/>
          </w:tcPr>
          <w:p>
            <w:pPr>
              <w:spacing w:after="0"/>
              <w:rPr>
                <w:sz w:val="18"/>
                <w:szCs w:val="18"/>
                <w:color w:val="auto"/>
              </w:rPr>
            </w:pP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Level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6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One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Two</w:t>
            </w:r>
          </w:p>
        </w:tc>
        <w:tc>
          <w:tcPr>
            <w:tcW w:w="120" w:type="dxa"/>
            <w:vAlign w:val="bottom"/>
          </w:tcPr>
          <w:p>
            <w:pPr>
              <w:spacing w:after="0"/>
              <w:rPr>
                <w:sz w:val="20"/>
                <w:szCs w:val="20"/>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Three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6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One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0"/>
              </w:rPr>
              <w:t>Two</w:t>
            </w:r>
          </w:p>
        </w:tc>
        <w:tc>
          <w:tcPr>
            <w:tcW w:w="12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Three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US </w:t>
            </w:r>
            <w:r>
              <w:rPr>
                <w:rFonts w:ascii="Times New Roman" w:cs="Times New Roman" w:eastAsia="Times New Roman" w:hAnsi="Times New Roman"/>
                <w:sz w:val="15"/>
                <w:szCs w:val="15"/>
                <w:color w:val="auto"/>
              </w:rPr>
              <w:t>(a)</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15"/>
                <w:szCs w:val="15"/>
                <w:color w:val="auto"/>
              </w:rPr>
              <w:t>(b)</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15"/>
                <w:szCs w:val="15"/>
                <w:color w:val="auto"/>
              </w:rPr>
              <w:t>(c)</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and government-related debt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securities </w:t>
            </w:r>
            <w:r>
              <w:rPr>
                <w:rFonts w:ascii="Times New Roman" w:cs="Times New Roman" w:eastAsia="Times New Roman" w:hAnsi="Times New Roman"/>
                <w:sz w:val="15"/>
                <w:szCs w:val="15"/>
                <w:color w:val="auto"/>
              </w:rPr>
              <w:t>(d)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Collateralized mortgage obligations and mortgage</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backed securities </w:t>
            </w:r>
            <w:r>
              <w:rPr>
                <w:rFonts w:ascii="Times New Roman" w:cs="Times New Roman" w:eastAsia="Times New Roman" w:hAnsi="Times New Roman"/>
                <w:sz w:val="15"/>
                <w:szCs w:val="15"/>
                <w:color w:val="auto"/>
              </w:rPr>
              <w:t>(e)</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Alternative Investments: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Private equity </w:t>
            </w:r>
            <w:r>
              <w:rPr>
                <w:rFonts w:ascii="Times New Roman" w:cs="Times New Roman" w:eastAsia="Times New Roman" w:hAnsi="Times New Roman"/>
                <w:sz w:val="15"/>
                <w:szCs w:val="15"/>
                <w:color w:val="auto"/>
              </w:rPr>
              <w:t>(f)</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 xml:space="preserve">Real estate </w:t>
            </w:r>
            <w:r>
              <w:rPr>
                <w:rFonts w:ascii="Times New Roman" w:cs="Times New Roman" w:eastAsia="Times New Roman" w:hAnsi="Times New Roman"/>
                <w:sz w:val="15"/>
                <w:szCs w:val="15"/>
                <w:color w:val="auto"/>
              </w:rPr>
              <w:t>(g)</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3,467</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1,327</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1,812</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w w:val="99"/>
              </w:rPr>
              <w:t>58</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61" w:right="2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5"/>
          </w:tcPr>
          <w:p>
            <w:pPr>
              <w:ind w:left="50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23"/>
        </w:trPr>
        <w:tc>
          <w:tcPr>
            <w:tcW w:w="3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ind w:left="180"/>
              <w:spacing w:after="0"/>
              <w:rPr>
                <w:sz w:val="20"/>
                <w:szCs w:val="20"/>
                <w:color w:val="auto"/>
              </w:rPr>
            </w:pPr>
            <w:r>
              <w:rPr>
                <w:rFonts w:ascii="Times New Roman" w:cs="Times New Roman" w:eastAsia="Times New Roman" w:hAnsi="Times New Roman"/>
                <w:sz w:val="18"/>
                <w:szCs w:val="18"/>
                <w:color w:val="auto"/>
              </w:rPr>
              <w:t>International Plan Assets</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Level</w:t>
            </w:r>
          </w:p>
        </w:tc>
        <w:tc>
          <w:tcPr>
            <w:tcW w:w="120" w:type="dxa"/>
            <w:vAlign w:val="bottom"/>
          </w:tcPr>
          <w:p>
            <w:pPr>
              <w:spacing w:after="0"/>
              <w:rPr>
                <w:sz w:val="18"/>
                <w:szCs w:val="18"/>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Level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Level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Level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Level</w:t>
            </w:r>
          </w:p>
        </w:tc>
        <w:tc>
          <w:tcPr>
            <w:tcW w:w="120" w:type="dxa"/>
            <w:vAlign w:val="bottom"/>
          </w:tcPr>
          <w:p>
            <w:pPr>
              <w:spacing w:after="0"/>
              <w:rPr>
                <w:sz w:val="18"/>
                <w:szCs w:val="18"/>
                <w:color w:val="auto"/>
              </w:rPr>
            </w:pPr>
          </w:p>
        </w:tc>
        <w:tc>
          <w:tcPr>
            <w:tcW w:w="6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Level</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One</w:t>
            </w:r>
          </w:p>
        </w:tc>
        <w:tc>
          <w:tcPr>
            <w:tcW w:w="120" w:type="dxa"/>
            <w:vAlign w:val="bottom"/>
          </w:tcPr>
          <w:p>
            <w:pPr>
              <w:spacing w:after="0"/>
              <w:rPr>
                <w:sz w:val="20"/>
                <w:szCs w:val="20"/>
                <w:color w:val="auto"/>
              </w:rPr>
            </w:pPr>
          </w:p>
        </w:tc>
        <w:tc>
          <w:tcPr>
            <w:tcW w:w="6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Two</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Three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6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One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0"/>
              </w:rPr>
              <w:t>Two</w:t>
            </w:r>
          </w:p>
        </w:tc>
        <w:tc>
          <w:tcPr>
            <w:tcW w:w="12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Three</w:t>
            </w:r>
          </w:p>
        </w:tc>
        <w:tc>
          <w:tcPr>
            <w:tcW w:w="0" w:type="dxa"/>
            <w:vAlign w:val="bottom"/>
          </w:tcPr>
          <w:p>
            <w:pPr>
              <w:spacing w:after="0"/>
              <w:rPr>
                <w:sz w:val="1"/>
                <w:szCs w:val="1"/>
                <w:color w:val="auto"/>
              </w:rPr>
            </w:pPr>
          </w:p>
        </w:tc>
      </w:tr>
      <w:tr>
        <w:trPr>
          <w:trHeight w:val="219"/>
        </w:trPr>
        <w:tc>
          <w:tcPr>
            <w:tcW w:w="3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US </w:t>
            </w:r>
            <w:r>
              <w:rPr>
                <w:rFonts w:ascii="Times New Roman" w:cs="Times New Roman" w:eastAsia="Times New Roman" w:hAnsi="Times New Roman"/>
                <w:sz w:val="15"/>
                <w:szCs w:val="15"/>
                <w:color w:val="auto"/>
              </w:rPr>
              <w:t>(a)</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15"/>
                <w:szCs w:val="15"/>
                <w:color w:val="auto"/>
              </w:rPr>
              <w:t>(b)</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1,639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 Securities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15"/>
                <w:szCs w:val="15"/>
                <w:color w:val="auto"/>
              </w:rPr>
              <w:t>(c)</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and government-related debt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securities </w:t>
            </w:r>
            <w:r>
              <w:rPr>
                <w:rFonts w:ascii="Times New Roman" w:cs="Times New Roman" w:eastAsia="Times New Roman" w:hAnsi="Times New Roman"/>
                <w:sz w:val="15"/>
                <w:szCs w:val="15"/>
                <w:color w:val="auto"/>
              </w:rPr>
              <w:t>(d)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Collateralized mortgage obligations and mortgage</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backed securities </w:t>
            </w:r>
            <w:r>
              <w:rPr>
                <w:rFonts w:ascii="Times New Roman" w:cs="Times New Roman" w:eastAsia="Times New Roman" w:hAnsi="Times New Roman"/>
                <w:sz w:val="15"/>
                <w:szCs w:val="15"/>
                <w:color w:val="auto"/>
              </w:rPr>
              <w:t>(e)</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Alternative Investments: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Private equity </w:t>
            </w:r>
            <w:r>
              <w:rPr>
                <w:rFonts w:ascii="Times New Roman" w:cs="Times New Roman" w:eastAsia="Times New Roman" w:hAnsi="Times New Roman"/>
                <w:sz w:val="15"/>
                <w:szCs w:val="15"/>
                <w:color w:val="auto"/>
              </w:rPr>
              <w:t>(f)</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Real estate </w:t>
            </w:r>
            <w:r>
              <w:rPr>
                <w:rFonts w:ascii="Times New Roman" w:cs="Times New Roman" w:eastAsia="Times New Roman" w:hAnsi="Times New Roman"/>
                <w:sz w:val="15"/>
                <w:szCs w:val="15"/>
                <w:color w:val="auto"/>
              </w:rPr>
              <w:t>(g)</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6,832</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3,542</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2,807</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20" w:hanging="514"/>
        <w:spacing w:after="0" w:line="210" w:lineRule="auto"/>
        <w:tabs>
          <w:tab w:leader="none" w:pos="520" w:val="left"/>
        </w:tabs>
        <w:numPr>
          <w:ilvl w:val="0"/>
          <w:numId w:val="5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US equities include companies that are well diversified by industry sector and equity style (i.e., growth and value strategies). Active and passive management strategies are employed. Investments are primarily in large capitalization stocks and, to a lesser extent, mid- and small-cap stocks.</w:t>
      </w:r>
    </w:p>
    <w:p>
      <w:pPr>
        <w:spacing w:after="0" w:line="88" w:lineRule="exact"/>
        <w:rPr>
          <w:rFonts w:ascii="Times New Roman" w:cs="Times New Roman" w:eastAsia="Times New Roman" w:hAnsi="Times New Roman"/>
          <w:sz w:val="26"/>
          <w:szCs w:val="26"/>
          <w:color w:val="auto"/>
          <w:vertAlign w:val="superscript"/>
        </w:rPr>
      </w:pPr>
    </w:p>
    <w:p>
      <w:pPr>
        <w:jc w:val="both"/>
        <w:ind w:left="520" w:hanging="514"/>
        <w:spacing w:after="0" w:line="221" w:lineRule="auto"/>
        <w:tabs>
          <w:tab w:leader="none" w:pos="520" w:val="left"/>
        </w:tabs>
        <w:numPr>
          <w:ilvl w:val="0"/>
          <w:numId w:val="5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International equities are invested in companies that are traded on exchanges outside the US and are well diversified by industry sector, country and equity style. Active and passive strategies are employed. The vast majority of the investments are made in companies in developed markets with a small percentage in emerging markets.</w:t>
      </w:r>
    </w:p>
    <w:p>
      <w:pPr>
        <w:spacing w:after="0" w:line="20" w:lineRule="exact"/>
        <w:rPr>
          <w:rFonts w:ascii="Times New Roman" w:cs="Times New Roman" w:eastAsia="Times New Roman" w:hAnsi="Times New Roman"/>
          <w:sz w:val="26"/>
          <w:szCs w:val="26"/>
          <w:color w:val="auto"/>
          <w:vertAlign w:val="superscript"/>
        </w:rPr>
      </w:pPr>
    </w:p>
    <w:p>
      <w:pPr>
        <w:ind w:left="520" w:hanging="514"/>
        <w:spacing w:after="0"/>
        <w:tabs>
          <w:tab w:leader="none" w:pos="520" w:val="left"/>
        </w:tabs>
        <w:numPr>
          <w:ilvl w:val="0"/>
          <w:numId w:val="5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Corporate bonds consist primarily of investment grade bonds from diversified industries.</w:t>
      </w:r>
    </w:p>
    <w:p>
      <w:pPr>
        <w:spacing w:after="0" w:line="107" w:lineRule="exact"/>
        <w:rPr>
          <w:rFonts w:ascii="Times New Roman" w:cs="Times New Roman" w:eastAsia="Times New Roman" w:hAnsi="Times New Roman"/>
          <w:sz w:val="26"/>
          <w:szCs w:val="26"/>
          <w:color w:val="auto"/>
          <w:vertAlign w:val="superscript"/>
        </w:rPr>
      </w:pPr>
    </w:p>
    <w:p>
      <w:pPr>
        <w:ind w:left="520" w:hanging="514"/>
        <w:spacing w:after="0" w:line="201" w:lineRule="auto"/>
        <w:tabs>
          <w:tab w:leader="none" w:pos="520" w:val="left"/>
        </w:tabs>
        <w:numPr>
          <w:ilvl w:val="0"/>
          <w:numId w:val="5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Government and government-related debt securities are comprised primarily of inflation-protected US treasuries and, to a lesser extent, other government-related securities.</w:t>
      </w:r>
    </w:p>
    <w:p>
      <w:pPr>
        <w:spacing w:after="0" w:line="87" w:lineRule="exact"/>
        <w:rPr>
          <w:rFonts w:ascii="Times New Roman" w:cs="Times New Roman" w:eastAsia="Times New Roman" w:hAnsi="Times New Roman"/>
          <w:sz w:val="26"/>
          <w:szCs w:val="26"/>
          <w:color w:val="auto"/>
          <w:vertAlign w:val="superscript"/>
        </w:rPr>
      </w:pPr>
    </w:p>
    <w:p>
      <w:pPr>
        <w:jc w:val="both"/>
        <w:ind w:left="520" w:hanging="514"/>
        <w:spacing w:after="0" w:line="221" w:lineRule="auto"/>
        <w:tabs>
          <w:tab w:leader="none" w:pos="520" w:val="left"/>
        </w:tabs>
        <w:numPr>
          <w:ilvl w:val="0"/>
          <w:numId w:val="5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Collateralized mortgage obligations and mortgage backed-securities are debt obligations that represent claims to the cash flows from pools of mortgage loans, which are purchased from banks, mortgage companies, and other originators and then assembled into pools by governmental, quasi-governmental and private entities.</w:t>
      </w:r>
    </w:p>
    <w:p>
      <w:pPr>
        <w:spacing w:after="0" w:line="20" w:lineRule="exact"/>
        <w:rPr>
          <w:rFonts w:ascii="Times New Roman" w:cs="Times New Roman" w:eastAsia="Times New Roman" w:hAnsi="Times New Roman"/>
          <w:sz w:val="26"/>
          <w:szCs w:val="26"/>
          <w:color w:val="auto"/>
          <w:vertAlign w:val="superscript"/>
        </w:rPr>
      </w:pPr>
    </w:p>
    <w:p>
      <w:pPr>
        <w:ind w:left="520" w:hanging="514"/>
        <w:spacing w:after="0"/>
        <w:tabs>
          <w:tab w:leader="none" w:pos="520" w:val="left"/>
        </w:tabs>
        <w:numPr>
          <w:ilvl w:val="0"/>
          <w:numId w:val="5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Private equity includes investments in several fund of funds limited partnerships.</w:t>
      </w:r>
    </w:p>
    <w:p>
      <w:pPr>
        <w:spacing w:after="0" w:line="107" w:lineRule="exact"/>
        <w:rPr>
          <w:rFonts w:ascii="Times New Roman" w:cs="Times New Roman" w:eastAsia="Times New Roman" w:hAnsi="Times New Roman"/>
          <w:sz w:val="26"/>
          <w:szCs w:val="26"/>
          <w:color w:val="auto"/>
          <w:vertAlign w:val="superscript"/>
        </w:rPr>
      </w:pPr>
    </w:p>
    <w:p>
      <w:pPr>
        <w:ind w:left="520" w:hanging="514"/>
        <w:spacing w:after="0" w:line="192" w:lineRule="auto"/>
        <w:tabs>
          <w:tab w:leader="none" w:pos="520"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Real estate primarily includes investments in real estate limited partnerships, concentrated in commercial real estate.</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Schlumberger’s funding policy is to annually contribute amounts that are based upon a number of factors including the actuarial accrued liability, amounts that are deductible for income tax purposes, legal funding requirements and available cash flow. Schlumberger currently anticipates contributing approximately $350 million to its postretirement benefit plans in 2016, subject to market and business conditions.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Postretirement Benefits Other Than Pensions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Schlumberger provides certain healthcare benefits to certain former US employees who have retired. During the fourth quarter of 2014 Schlumberger announced that, effective April 1, 2015, it will change the way it provides healthcare coverage to certain retirees who are age 65 and over. Under the amended plan, these retirees transferred to individual coverage under the Medicare Exchange. Schlumberger will subsidize the cost of the program by providing these retirees with a Health Reimbursement Account. The annual subsidy may be increased based on medical cost inflation, but it will not be increased more than 5% in any given year.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 w:name="page60"/>
    <w:bookmarkEnd w:id="59"/>
    <w:p>
      <w:pPr>
        <w:spacing w:after="0" w:line="275" w:lineRule="auto"/>
        <w:rPr>
          <w:sz w:val="20"/>
          <w:szCs w:val="20"/>
          <w:color w:val="auto"/>
        </w:rPr>
      </w:pPr>
      <w:r>
        <w:rPr>
          <w:rFonts w:ascii="Times New Roman" w:cs="Times New Roman" w:eastAsia="Times New Roman" w:hAnsi="Times New Roman"/>
          <w:sz w:val="18"/>
          <w:szCs w:val="18"/>
          <w:color w:val="auto"/>
        </w:rPr>
        <w:t>The actuarial assumptions used to determine the accumulated postretirement benefit obligation and net periodic benefit cost for the US postretirement medical plan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80" w:type="dxa"/>
            <w:vAlign w:val="bottom"/>
          </w:tcPr>
          <w:p>
            <w:pPr>
              <w:spacing w:after="0"/>
              <w:rPr>
                <w:sz w:val="19"/>
                <w:szCs w:val="19"/>
                <w:color w:val="auto"/>
              </w:rPr>
            </w:pPr>
          </w:p>
        </w:tc>
        <w:tc>
          <w:tcPr>
            <w:tcW w:w="262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color w:val="auto"/>
                <w:w w:val="98"/>
              </w:rPr>
              <w:t>Benefit Obligations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8"/>
          </w:tcPr>
          <w:p>
            <w:pPr>
              <w:jc w:val="center"/>
              <w:spacing w:after="0"/>
              <w:rPr>
                <w:sz w:val="20"/>
                <w:szCs w:val="20"/>
                <w:color w:val="auto"/>
              </w:rPr>
            </w:pPr>
            <w:r>
              <w:rPr>
                <w:rFonts w:ascii="Times New Roman" w:cs="Times New Roman" w:eastAsia="Times New Roman" w:hAnsi="Times New Roman"/>
                <w:sz w:val="18"/>
                <w:szCs w:val="18"/>
                <w:color w:val="auto"/>
                <w:w w:val="97"/>
              </w:rPr>
              <w:t>Net Periodic Benefit</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4980" w:type="dxa"/>
            <w:vAlign w:val="bottom"/>
          </w:tcPr>
          <w:p>
            <w:pPr>
              <w:spacing w:after="0"/>
              <w:rPr>
                <w:sz w:val="20"/>
                <w:szCs w:val="20"/>
                <w:color w:val="auto"/>
              </w:rPr>
            </w:pPr>
          </w:p>
        </w:tc>
        <w:tc>
          <w:tcPr>
            <w:tcW w:w="262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color w:val="auto"/>
                <w:w w:val="97"/>
              </w:rPr>
              <w:t>At December 31,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7"/>
          </w:tcPr>
          <w:p>
            <w:pPr>
              <w:jc w:val="center"/>
              <w:ind w:right="77"/>
              <w:spacing w:after="0"/>
              <w:rPr>
                <w:sz w:val="20"/>
                <w:szCs w:val="20"/>
                <w:color w:val="auto"/>
              </w:rPr>
            </w:pPr>
            <w:r>
              <w:rPr>
                <w:rFonts w:ascii="Times New Roman" w:cs="Times New Roman" w:eastAsia="Times New Roman" w:hAnsi="Times New Roman"/>
                <w:sz w:val="18"/>
                <w:szCs w:val="18"/>
                <w:color w:val="auto"/>
                <w:w w:val="99"/>
              </w:rPr>
              <w:t>Cost for the year</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498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2015</w:t>
            </w:r>
          </w:p>
        </w:tc>
        <w:tc>
          <w:tcPr>
            <w:tcW w:w="320" w:type="dxa"/>
            <w:vAlign w:val="bottom"/>
            <w:tcBorders>
              <w:top w:val="single" w:sz="8" w:color="auto"/>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257"/>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2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center"/>
              <w:ind w:left="151"/>
              <w:spacing w:after="0"/>
              <w:rPr>
                <w:sz w:val="20"/>
                <w:szCs w:val="20"/>
                <w:color w:val="auto"/>
              </w:rPr>
            </w:pPr>
            <w:r>
              <w:rPr>
                <w:rFonts w:ascii="Times New Roman" w:cs="Times New Roman" w:eastAsia="Times New Roman" w:hAnsi="Times New Roman"/>
                <w:sz w:val="18"/>
                <w:szCs w:val="18"/>
                <w:color w:val="auto"/>
                <w:w w:val="99"/>
              </w:rPr>
              <w:t>2014</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1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4.50%</w:t>
            </w: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120" w:type="dxa"/>
            <w:vAlign w:val="bottom"/>
            <w:shd w:val="clear" w:color="auto" w:fill="CFF0FC"/>
          </w:tcPr>
          <w:p>
            <w:pPr>
              <w:spacing w:after="0"/>
              <w:rPr>
                <w:sz w:val="19"/>
                <w:szCs w:val="19"/>
                <w:color w:val="auto"/>
              </w:rPr>
            </w:pPr>
          </w:p>
        </w:tc>
        <w:tc>
          <w:tcPr>
            <w:tcW w:w="1240" w:type="dxa"/>
            <w:vAlign w:val="bottom"/>
            <w:gridSpan w:val="6"/>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r>
      <w:tr>
        <w:trPr>
          <w:trHeight w:val="22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Return on plan assets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13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7.00%</w:t>
            </w:r>
          </w:p>
        </w:tc>
      </w:tr>
      <w:tr>
        <w:trPr>
          <w:trHeight w:val="22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medical cost trend rate</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7.00%</w:t>
            </w: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1360" w:type="dxa"/>
            <w:vAlign w:val="bottom"/>
            <w:gridSpan w:val="7"/>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r>
      <w:tr>
        <w:trPr>
          <w:trHeight w:val="22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Ultimate medical cost trend rate</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5.00%</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3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r>
        <w:trPr>
          <w:trHeight w:val="22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shd w:val="clear" w:color="auto" w:fill="CFF0FC"/>
          </w:tcPr>
          <w:p>
            <w:pPr>
              <w:spacing w:after="0"/>
              <w:rPr>
                <w:sz w:val="19"/>
                <w:szCs w:val="19"/>
                <w:color w:val="auto"/>
              </w:rPr>
            </w:pPr>
          </w:p>
        </w:tc>
        <w:tc>
          <w:tcPr>
            <w:tcW w:w="112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466"/>
        </w:trPr>
        <w:tc>
          <w:tcPr>
            <w:tcW w:w="7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net periodic benefit cost for the US postretirement medical plan included the following components: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4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23"/>
        </w:trPr>
        <w:tc>
          <w:tcPr>
            <w:tcW w:w="4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w w:val="94"/>
              </w:rPr>
              <w:t>2014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351"/>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4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r>
      <w:tr>
        <w:trPr>
          <w:trHeight w:val="22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(52)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gridSpan w:val="5"/>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22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(32)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5"/>
          </w:tcPr>
          <w:p>
            <w:pPr>
              <w:jc w:val="right"/>
              <w:ind w:right="97"/>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2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9"/>
                <w:szCs w:val="19"/>
                <w:color w:val="auto"/>
              </w:rPr>
            </w:pPr>
          </w:p>
        </w:tc>
      </w:tr>
      <w:tr>
        <w:trPr>
          <w:trHeight w:val="219"/>
        </w:trPr>
        <w:tc>
          <w:tcPr>
            <w:tcW w:w="4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r>
      <w:tr>
        <w:trPr>
          <w:trHeight w:val="20"/>
        </w:trPr>
        <w:tc>
          <w:tcPr>
            <w:tcW w:w="6720" w:type="dxa"/>
            <w:vAlign w:val="bottom"/>
            <w:gridSpan w:val="4"/>
          </w:tcPr>
          <w:p>
            <w:pPr>
              <w:spacing w:after="0" w:line="20" w:lineRule="exact"/>
              <w:rPr>
                <w:sz w:val="1"/>
                <w:szCs w:val="1"/>
                <w:color w:val="auto"/>
              </w:rPr>
            </w:pPr>
          </w:p>
        </w:tc>
        <w:tc>
          <w:tcPr>
            <w:tcW w:w="1100" w:type="dxa"/>
            <w:vAlign w:val="bottom"/>
            <w:tcBorders>
              <w:bottom w:val="single" w:sz="8" w:color="auto"/>
            </w:tcBorders>
            <w:gridSpan w:val="4"/>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8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changes in the accumulated postretirement benefit obligation, plan assets and funded status were as follows: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4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23"/>
        </w:trPr>
        <w:tc>
          <w:tcPr>
            <w:tcW w:w="4980" w:type="dxa"/>
            <w:vAlign w:val="bottom"/>
            <w:tcBorders>
              <w:bottom w:val="single" w:sz="8" w:color="CFF0FC"/>
            </w:tcBorders>
          </w:tcPr>
          <w:p>
            <w:pPr>
              <w:spacing w:after="0"/>
              <w:rPr>
                <w:sz w:val="24"/>
                <w:szCs w:val="24"/>
                <w:color w:val="auto"/>
              </w:rPr>
            </w:pPr>
          </w:p>
        </w:tc>
        <w:tc>
          <w:tcPr>
            <w:tcW w:w="100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420" w:type="dxa"/>
            <w:vAlign w:val="bottom"/>
            <w:tcBorders>
              <w:bottom w:val="single" w:sz="8" w:color="CFF0FC"/>
            </w:tcBorders>
          </w:tcPr>
          <w:p>
            <w:pPr>
              <w:spacing w:after="0"/>
              <w:rPr>
                <w:sz w:val="24"/>
                <w:szCs w:val="24"/>
                <w:color w:val="auto"/>
              </w:rPr>
            </w:pPr>
          </w:p>
        </w:tc>
        <w:tc>
          <w:tcPr>
            <w:tcW w:w="60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471"/>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1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Projected Benefit Obligations</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1,221</w:t>
            </w:r>
          </w:p>
        </w:tc>
        <w:tc>
          <w:tcPr>
            <w:tcW w:w="280" w:type="dxa"/>
            <w:vAlign w:val="bottom"/>
          </w:tcPr>
          <w:p>
            <w:pPr>
              <w:spacing w:after="0"/>
              <w:rPr>
                <w:sz w:val="19"/>
                <w:szCs w:val="19"/>
                <w:color w:val="auto"/>
              </w:rPr>
            </w:pPr>
          </w:p>
        </w:tc>
        <w:tc>
          <w:tcPr>
            <w:tcW w:w="240" w:type="dxa"/>
            <w:vAlign w:val="bottom"/>
            <w:gridSpan w:val="2"/>
          </w:tcPr>
          <w:p>
            <w:pPr>
              <w:jc w:val="right"/>
              <w:ind w:right="57"/>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Pr>
          <w:p>
            <w:pPr>
              <w:spacing w:after="0"/>
              <w:rPr>
                <w:sz w:val="19"/>
                <w:szCs w:val="19"/>
                <w:color w:val="auto"/>
              </w:rPr>
            </w:pPr>
          </w:p>
        </w:tc>
      </w:tr>
      <w:tr>
        <w:trPr>
          <w:trHeight w:val="22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9"/>
                <w:szCs w:val="19"/>
                <w:color w:val="auto"/>
              </w:rPr>
            </w:pPr>
          </w:p>
        </w:tc>
      </w:tr>
      <w:tr>
        <w:trPr>
          <w:trHeight w:val="22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r>
      <w:tr>
        <w:trPr>
          <w:trHeight w:val="22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Contribution by plan participants</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r>
      <w:tr>
        <w:trPr>
          <w:trHeight w:val="22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(gains) losses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r>
      <w:tr>
        <w:trPr>
          <w:trHeight w:val="22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2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Plan amendments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(299)</w:t>
            </w:r>
          </w:p>
        </w:tc>
      </w:tr>
      <w:tr>
        <w:trPr>
          <w:trHeight w:val="219"/>
        </w:trPr>
        <w:tc>
          <w:tcPr>
            <w:tcW w:w="4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0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Borders>
              <w:top w:val="single" w:sz="8" w:color="CFF0FC"/>
            </w:tcBorders>
            <w:shd w:val="clear" w:color="auto" w:fill="CFF0FC"/>
          </w:tcPr>
          <w:p>
            <w:pPr>
              <w:spacing w:after="0"/>
              <w:rPr>
                <w:sz w:val="19"/>
                <w:szCs w:val="19"/>
                <w:color w:val="auto"/>
              </w:rPr>
            </w:pPr>
          </w:p>
        </w:tc>
      </w:tr>
      <w:tr>
        <w:trPr>
          <w:trHeight w:val="219"/>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Plan Assets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Plan assets at fair value at beginning of year</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854</w:t>
            </w:r>
          </w:p>
        </w:tc>
        <w:tc>
          <w:tcPr>
            <w:tcW w:w="2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FF0FC"/>
          </w:tcPr>
          <w:p>
            <w:pPr>
              <w:spacing w:after="0"/>
              <w:rPr>
                <w:sz w:val="19"/>
                <w:szCs w:val="19"/>
                <w:color w:val="auto"/>
              </w:rPr>
            </w:pPr>
          </w:p>
        </w:tc>
      </w:tr>
      <w:tr>
        <w:trPr>
          <w:trHeight w:val="22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Company contributions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r>
      <w:tr>
        <w:trPr>
          <w:trHeight w:val="22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Contributions by plan participants</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r>
      <w:tr>
        <w:trPr>
          <w:trHeight w:val="22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2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FF0FC"/>
          </w:tcPr>
          <w:p>
            <w:pPr>
              <w:spacing w:after="0"/>
              <w:rPr>
                <w:sz w:val="19"/>
                <w:szCs w:val="19"/>
                <w:color w:val="auto"/>
              </w:rPr>
            </w:pPr>
          </w:p>
        </w:tc>
      </w:tr>
      <w:tr>
        <w:trPr>
          <w:trHeight w:val="219"/>
        </w:trPr>
        <w:tc>
          <w:tcPr>
            <w:tcW w:w="4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Plan assets at fair value at end of year</w:t>
            </w:r>
          </w:p>
        </w:tc>
        <w:tc>
          <w:tcPr>
            <w:tcW w:w="100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884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FF0FC"/>
            </w:tcBorders>
          </w:tcPr>
          <w:p>
            <w:pPr>
              <w:spacing w:after="0"/>
              <w:rPr>
                <w:sz w:val="19"/>
                <w:szCs w:val="19"/>
                <w:color w:val="auto"/>
              </w:rPr>
            </w:pPr>
          </w:p>
        </w:tc>
      </w:tr>
      <w:tr>
        <w:trPr>
          <w:trHeight w:val="21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Unfunded Liability</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FF0FC"/>
          </w:tcPr>
          <w:p>
            <w:pPr>
              <w:spacing w:after="0"/>
              <w:rPr>
                <w:sz w:val="19"/>
                <w:szCs w:val="19"/>
                <w:color w:val="auto"/>
              </w:rPr>
            </w:pPr>
          </w:p>
        </w:tc>
      </w:tr>
      <w:tr>
        <w:trPr>
          <w:trHeight w:val="219"/>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Recognized in Accumulated Other Comprehensive Loss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Actuarial losses</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2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19"/>
                <w:szCs w:val="19"/>
                <w:color w:val="auto"/>
              </w:rPr>
            </w:pPr>
          </w:p>
        </w:tc>
      </w:tr>
      <w:tr>
        <w:trPr>
          <w:trHeight w:val="22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r>
      <w:tr>
        <w:trPr>
          <w:trHeight w:val="219"/>
        </w:trPr>
        <w:tc>
          <w:tcPr>
            <w:tcW w:w="49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unfunded liability is included in </w:t>
      </w:r>
      <w:r>
        <w:rPr>
          <w:rFonts w:ascii="Times New Roman" w:cs="Times New Roman" w:eastAsia="Times New Roman" w:hAnsi="Times New Roman"/>
          <w:sz w:val="18"/>
          <w:szCs w:val="18"/>
          <w:i w:val="1"/>
          <w:iCs w:val="1"/>
          <w:color w:val="auto"/>
        </w:rPr>
        <w:t>Postretirement Benefits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assets of the US postretirement medical plan are invested 60% in equity securities and 40% in debt securities at December 31, 2015. The fair value of these assets was primarily determined based on Level Two valuation techniques.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0" w:name="page61"/>
    <w:bookmarkEnd w:id="60"/>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Assumed health care cost trend rates have a significant effect on the amounts reported for the US postretirement medical plan. A one percentage point change in assumed health care cost trend rates would have the following effects: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18"/>
        </w:trPr>
        <w:tc>
          <w:tcPr>
            <w:tcW w:w="78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One percentage</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One percentage</w:t>
            </w:r>
          </w:p>
        </w:tc>
      </w:tr>
      <w:tr>
        <w:trPr>
          <w:trHeight w:val="231"/>
        </w:trPr>
        <w:tc>
          <w:tcPr>
            <w:tcW w:w="7820" w:type="dxa"/>
            <w:vAlign w:val="bottom"/>
            <w:tcBorders>
              <w:bottom w:val="single" w:sz="8" w:color="CFF0FC"/>
            </w:tcBorders>
          </w:tcPr>
          <w:p>
            <w:pPr>
              <w:spacing w:after="0"/>
              <w:rPr>
                <w:sz w:val="20"/>
                <w:szCs w:val="20"/>
                <w:color w:val="auto"/>
              </w:rPr>
            </w:pPr>
          </w:p>
        </w:tc>
        <w:tc>
          <w:tcPr>
            <w:tcW w:w="13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point increase</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point decrease</w:t>
            </w:r>
          </w:p>
        </w:tc>
        <w:tc>
          <w:tcPr>
            <w:tcW w:w="100" w:type="dxa"/>
            <w:vAlign w:val="bottom"/>
            <w:tcBorders>
              <w:bottom w:val="single" w:sz="8" w:color="CFF0FC"/>
            </w:tcBorders>
          </w:tcPr>
          <w:p>
            <w:pPr>
              <w:spacing w:after="0"/>
              <w:rPr>
                <w:sz w:val="20"/>
                <w:szCs w:val="20"/>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on total service and interest cost components</w:t>
            </w:r>
          </w:p>
        </w:tc>
        <w:tc>
          <w:tcPr>
            <w:tcW w:w="1380" w:type="dxa"/>
            <w:vAlign w:val="bottom"/>
            <w:shd w:val="clear" w:color="auto" w:fill="CFF0FC"/>
          </w:tcPr>
          <w:p>
            <w:pPr>
              <w:jc w:val="right"/>
              <w:ind w:right="121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32"/>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Effect on accumulated postretirement benefit obligation</w:t>
            </w:r>
          </w:p>
        </w:tc>
        <w:tc>
          <w:tcPr>
            <w:tcW w:w="1380" w:type="dxa"/>
            <w:vAlign w:val="bottom"/>
          </w:tcPr>
          <w:p>
            <w:pPr>
              <w:jc w:val="right"/>
              <w:ind w:right="121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benefits to be paid under the US and International pension plans as well as the postretirement medical plan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23"/>
        </w:trPr>
        <w:tc>
          <w:tcPr>
            <w:tcW w:w="67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811"/>
              <w:spacing w:after="0"/>
              <w:rPr>
                <w:sz w:val="20"/>
                <w:szCs w:val="20"/>
                <w:color w:val="auto"/>
              </w:rPr>
            </w:pPr>
            <w:r>
              <w:rPr>
                <w:rFonts w:ascii="Times New Roman" w:cs="Times New Roman" w:eastAsia="Times New Roman" w:hAnsi="Times New Roman"/>
                <w:sz w:val="18"/>
                <w:szCs w:val="18"/>
                <w:color w:val="auto"/>
              </w:rPr>
              <w:t>Pension Benefits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Postretirement</w:t>
            </w:r>
          </w:p>
        </w:tc>
      </w:tr>
      <w:tr>
        <w:trPr>
          <w:trHeight w:val="219"/>
        </w:trPr>
        <w:tc>
          <w:tcPr>
            <w:tcW w:w="6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Medical Plan</w:t>
            </w:r>
          </w:p>
        </w:tc>
      </w:tr>
      <w:tr>
        <w:trPr>
          <w:trHeight w:val="219"/>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2016</w:t>
            </w:r>
          </w:p>
        </w:tc>
        <w:tc>
          <w:tcPr>
            <w:tcW w:w="840" w:type="dxa"/>
            <w:vAlign w:val="bottom"/>
            <w:tcBorders>
              <w:top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840" w:type="dxa"/>
            <w:vAlign w:val="bottom"/>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w:t>
            </w:r>
          </w:p>
        </w:tc>
        <w:tc>
          <w:tcPr>
            <w:tcW w:w="84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840" w:type="dxa"/>
            <w:vAlign w:val="bottom"/>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w:t>
            </w:r>
          </w:p>
        </w:tc>
        <w:tc>
          <w:tcPr>
            <w:tcW w:w="84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9"/>
                <w:szCs w:val="19"/>
                <w:color w:val="auto"/>
              </w:rPr>
            </w:pPr>
          </w:p>
        </w:tc>
      </w:tr>
      <w:tr>
        <w:trPr>
          <w:trHeight w:val="232"/>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2021-2025</w:t>
            </w:r>
          </w:p>
        </w:tc>
        <w:tc>
          <w:tcPr>
            <w:tcW w:w="840" w:type="dxa"/>
            <w:vAlign w:val="bottom"/>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0"/>
                <w:szCs w:val="20"/>
                <w:color w:val="auto"/>
              </w:rPr>
            </w:pPr>
          </w:p>
        </w:tc>
      </w:tr>
    </w:tbl>
    <w:p>
      <w:pPr>
        <w:spacing w:after="0" w:line="21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at December 31, 2015 are non-cash pretax charges which have not yet been recognized in net periodic benefit cost. The estimated portion of each component of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which is expected to be recognized as a component of net periodic benefit cost during the year ending December 31, 2016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18"/>
        </w:trPr>
        <w:tc>
          <w:tcPr>
            <w:tcW w:w="7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Postretirement</w:t>
            </w:r>
          </w:p>
        </w:tc>
      </w:tr>
      <w:tr>
        <w:trPr>
          <w:trHeight w:val="231"/>
        </w:trPr>
        <w:tc>
          <w:tcPr>
            <w:tcW w:w="7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Pension Plans</w:t>
            </w:r>
          </w:p>
        </w:tc>
        <w:tc>
          <w:tcPr>
            <w:tcW w:w="200" w:type="dxa"/>
            <w:vAlign w:val="bottom"/>
          </w:tcPr>
          <w:p>
            <w:pPr>
              <w:spacing w:after="0"/>
              <w:rPr>
                <w:sz w:val="20"/>
                <w:szCs w:val="20"/>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Medical Plan</w:t>
            </w:r>
          </w:p>
        </w:tc>
      </w:tr>
      <w:tr>
        <w:trPr>
          <w:trHeight w:val="219"/>
        </w:trPr>
        <w:tc>
          <w:tcPr>
            <w:tcW w:w="7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actuarial losses</w:t>
            </w:r>
          </w:p>
        </w:tc>
        <w:tc>
          <w:tcPr>
            <w:tcW w:w="20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2"/>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 (credit)</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bl>
    <w:p>
      <w:pPr>
        <w:spacing w:after="0" w:line="22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addition to providing defined pension benefits and a postretirement medical plan, Schlumberger and its subsidiaries have other deferred benefit programs, primarily profit sharing and defined contribution pension plans. Expenses for these programs were $565 million, $749 million and $671 million in 2015, 2014 and 2013, respectively.</w:t>
      </w:r>
    </w:p>
    <w:p>
      <w:pPr>
        <w:spacing w:after="0" w:line="322" w:lineRule="exact"/>
        <w:rPr>
          <w:sz w:val="20"/>
          <w:szCs w:val="20"/>
          <w:color w:val="auto"/>
        </w:rPr>
      </w:pPr>
    </w:p>
    <w:p>
      <w:pPr>
        <w:ind w:left="280" w:hanging="274"/>
        <w:spacing w:after="0"/>
        <w:tabs>
          <w:tab w:leader="none" w:pos="2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Supplementary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and income taxes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20" w:type="dxa"/>
            <w:vAlign w:val="bottom"/>
          </w:tcPr>
          <w:p>
            <w:pPr>
              <w:spacing w:after="0"/>
              <w:rPr>
                <w:sz w:val="16"/>
                <w:szCs w:val="16"/>
                <w:color w:val="auto"/>
              </w:rPr>
            </w:pPr>
          </w:p>
        </w:tc>
      </w:tr>
      <w:tr>
        <w:trPr>
          <w:trHeight w:val="423"/>
        </w:trPr>
        <w:tc>
          <w:tcPr>
            <w:tcW w:w="3220" w:type="dxa"/>
            <w:vAlign w:val="bottom"/>
            <w:tcBorders>
              <w:bottom w:val="single" w:sz="8" w:color="CFF0FC"/>
            </w:tcBorders>
          </w:tcPr>
          <w:p>
            <w:pPr>
              <w:spacing w:after="0"/>
              <w:rPr>
                <w:sz w:val="24"/>
                <w:szCs w:val="24"/>
                <w:color w:val="auto"/>
              </w:rPr>
            </w:pPr>
          </w:p>
        </w:tc>
        <w:tc>
          <w:tcPr>
            <w:tcW w:w="350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FF0FC"/>
            </w:tcBorders>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35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378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1,567</w:t>
            </w:r>
          </w:p>
        </w:tc>
        <w:tc>
          <w:tcPr>
            <w:tcW w:w="540" w:type="dxa"/>
            <w:vAlign w:val="bottom"/>
            <w:gridSpan w:val="2"/>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44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31"/>
        </w:trPr>
        <w:tc>
          <w:tcPr>
            <w:tcW w:w="3220" w:type="dxa"/>
            <w:vAlign w:val="bottom"/>
          </w:tcPr>
          <w:p>
            <w:pPr>
              <w:spacing w:after="0"/>
              <w:rPr>
                <w:sz w:val="24"/>
                <w:szCs w:val="24"/>
                <w:color w:val="auto"/>
              </w:rPr>
            </w:pPr>
          </w:p>
        </w:tc>
        <w:tc>
          <w:tcPr>
            <w:tcW w:w="3500" w:type="dxa"/>
            <w:vAlign w:val="bottom"/>
          </w:tcPr>
          <w:p>
            <w:pPr>
              <w:jc w:val="right"/>
              <w:ind w:right="831"/>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5"/>
        </w:trPr>
        <w:tc>
          <w:tcPr>
            <w:tcW w:w="32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61" w:name="page62"/>
    <w:bookmarkEnd w:id="61"/>
    <w:p>
      <w:pPr>
        <w:ind w:right="600"/>
        <w:spacing w:after="0" w:line="275" w:lineRule="auto"/>
        <w:rPr>
          <w:sz w:val="20"/>
          <w:szCs w:val="20"/>
          <w:color w:val="auto"/>
        </w:rPr>
      </w:pPr>
      <w:r>
        <w:rPr>
          <w:rFonts w:ascii="Times New Roman" w:cs="Times New Roman" w:eastAsia="Times New Roman" w:hAnsi="Times New Roman"/>
          <w:sz w:val="18"/>
          <w:szCs w:val="18"/>
          <w:color w:val="auto"/>
        </w:rPr>
        <w:t>During the fourth quarter of 2015, Schlumberger entered into an agreement with one of its customers to receive certain fixed assets in lieu of payment of approximately $200 million of accounts receivable.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and other income </w:t>
      </w:r>
      <w:r>
        <w:rPr>
          <w:rFonts w:ascii="Times New Roman" w:cs="Times New Roman" w:eastAsia="Times New Roman" w:hAnsi="Times New Roman"/>
          <w:sz w:val="18"/>
          <w:szCs w:val="18"/>
          <w:color w:val="auto"/>
        </w:rPr>
        <w:t>includes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23"/>
        </w:trPr>
        <w:tc>
          <w:tcPr>
            <w:tcW w:w="67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94"/>
              </w:rPr>
              <w:t>2014</w:t>
            </w: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1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Earnings of equity method investments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1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The change in </w:t>
            </w:r>
            <w:r>
              <w:rPr>
                <w:rFonts w:ascii="Times New Roman" w:cs="Times New Roman" w:eastAsia="Times New Roman" w:hAnsi="Times New Roman"/>
                <w:sz w:val="18"/>
                <w:szCs w:val="18"/>
                <w:i w:val="1"/>
                <w:iCs w:val="1"/>
                <w:color w:val="auto"/>
              </w:rPr>
              <w:t>Allowance for doubtful accounts</w:t>
            </w:r>
            <w:r>
              <w:rPr>
                <w:rFonts w:ascii="Times New Roman" w:cs="Times New Roman" w:eastAsia="Times New Roman" w:hAnsi="Times New Roman"/>
                <w:sz w:val="18"/>
                <w:szCs w:val="18"/>
                <w:color w:val="auto"/>
              </w:rPr>
              <w:t xml:space="preserve"> is as follows:</w:t>
            </w: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23"/>
        </w:trPr>
        <w:tc>
          <w:tcPr>
            <w:tcW w:w="67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94"/>
              </w:rPr>
              <w:t>2014</w:t>
            </w: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1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written off</w:t>
            </w:r>
          </w:p>
        </w:tc>
        <w:tc>
          <w:tcPr>
            <w:tcW w:w="2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gridSpan w:val="4"/>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xml:space="preserve">Accounts payable and accrued liabilities </w:t>
            </w:r>
            <w:r>
              <w:rPr>
                <w:rFonts w:ascii="Times New Roman" w:cs="Times New Roman" w:eastAsia="Times New Roman" w:hAnsi="Times New Roman"/>
                <w:sz w:val="18"/>
                <w:szCs w:val="18"/>
                <w:color w:val="auto"/>
              </w:rPr>
              <w:t>are summarized as follows:</w:t>
            </w: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23"/>
        </w:trPr>
        <w:tc>
          <w:tcPr>
            <w:tcW w:w="6720" w:type="dxa"/>
            <w:vAlign w:val="bottom"/>
            <w:tcBorders>
              <w:bottom w:val="single" w:sz="8" w:color="CFF0FC"/>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82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vacation and employee benefits</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Trade</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7,727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ind w:left="280" w:hanging="274"/>
        <w:spacing w:after="0"/>
        <w:tabs>
          <w:tab w:leader="none" w:pos="2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Discontinued Operations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During the second quarter of 2013, Schlumberger completed the wind down of its operations in Iran and, therefore, classified the historical results of this business as a discontinued operation.</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2009, the US Department of Justice began an investigation into past violations of US sanctions regarding Schlumberger’s historical operations in Iran and Sudan that occurred between 2004 and 2010. During the second quarter of 2014, Schlumberger increased its accrual for this contingency. Accordingly, Schlumberger recorded a $205 million charge, which was reflected within </w:t>
      </w:r>
      <w:r>
        <w:rPr>
          <w:rFonts w:ascii="Times New Roman" w:cs="Times New Roman" w:eastAsia="Times New Roman" w:hAnsi="Times New Roman"/>
          <w:sz w:val="18"/>
          <w:szCs w:val="18"/>
          <w:i w:val="1"/>
          <w:iCs w:val="1"/>
          <w:color w:val="auto"/>
        </w:rPr>
        <w:t>Loss from discontinued operations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xml:space="preserve"> during the second quarter of 2014.</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During 2015, Schlumberger resolved this investigation and a non-US subsidiary of Schlumberger pleaded guilty to one criminal count of conspiracy to violate the International Emergency Economic Powers Act. Under the terms of the plea agreement, Schlumberger paid approximately $233 million in fines, penalties and assessments during the second quarter of 2015, which had been previously accrued. This payment is reflected within </w:t>
      </w:r>
      <w:r>
        <w:rPr>
          <w:rFonts w:ascii="Times New Roman" w:cs="Times New Roman" w:eastAsia="Times New Roman" w:hAnsi="Times New Roman"/>
          <w:sz w:val="18"/>
          <w:szCs w:val="18"/>
          <w:i w:val="1"/>
          <w:iCs w:val="1"/>
          <w:color w:val="auto"/>
        </w:rPr>
        <w:t>Cash flows used in discontinued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 operating activities </w:t>
      </w:r>
      <w:r>
        <w:rPr>
          <w:rFonts w:ascii="Times New Roman" w:cs="Times New Roman" w:eastAsia="Times New Roman" w:hAnsi="Times New Roman"/>
          <w:sz w:val="18"/>
          <w:szCs w:val="18"/>
          <w:color w:val="auto"/>
        </w:rPr>
        <w:t>in Schlumberger’s</w:t>
      </w:r>
      <w:r>
        <w:rPr>
          <w:rFonts w:ascii="Times New Roman" w:cs="Times New Roman" w:eastAsia="Times New Roman" w:hAnsi="Times New Roman"/>
          <w:sz w:val="18"/>
          <w:szCs w:val="18"/>
          <w:i w:val="1"/>
          <w:iCs w:val="1"/>
          <w:color w:val="auto"/>
        </w:rPr>
        <w:t xml:space="preserve"> Consolidated Statement of Cash Flows.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The following table summarizes the results of these discontinued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23"/>
        </w:trPr>
        <w:tc>
          <w:tcPr>
            <w:tcW w:w="7820" w:type="dxa"/>
            <w:vAlign w:val="bottom"/>
            <w:tcBorders>
              <w:bottom w:val="single" w:sz="8" w:color="CFF0FC"/>
            </w:tcBorders>
          </w:tcPr>
          <w:p>
            <w:pPr>
              <w:spacing w:after="0"/>
              <w:rPr>
                <w:sz w:val="24"/>
                <w:szCs w:val="24"/>
                <w:color w:val="auto"/>
              </w:rPr>
            </w:pPr>
          </w:p>
        </w:tc>
        <w:tc>
          <w:tcPr>
            <w:tcW w:w="11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2014</w:t>
            </w: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FF0FC"/>
            </w:tcBorders>
          </w:tcPr>
          <w:p>
            <w:pPr>
              <w:spacing w:after="0"/>
              <w:rPr>
                <w:sz w:val="24"/>
                <w:szCs w:val="24"/>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tcBorders>
              <w:bottom w:val="single" w:sz="8" w:color="auto"/>
            </w:tcBorders>
            <w:shd w:val="clear" w:color="auto" w:fill="CFF0FC"/>
          </w:tcPr>
          <w:p>
            <w:pPr>
              <w:jc w:val="right"/>
              <w:ind w:right="9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19"/>
                <w:szCs w:val="19"/>
                <w:color w:val="auto"/>
              </w:rPr>
            </w:pPr>
          </w:p>
        </w:tc>
      </w:tr>
      <w:tr>
        <w:trPr>
          <w:trHeight w:val="21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120" w:type="dxa"/>
            <w:vAlign w:val="bottom"/>
          </w:tcPr>
          <w:p>
            <w:pPr>
              <w:jc w:val="right"/>
              <w:ind w:right="9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expense</w:t>
            </w:r>
          </w:p>
        </w:tc>
        <w:tc>
          <w:tcPr>
            <w:tcW w:w="1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120" w:type="dxa"/>
            <w:vAlign w:val="bottom"/>
            <w:tcBorders>
              <w:top w:val="single" w:sz="8" w:color="auto"/>
              <w:bottom w:val="single" w:sz="8" w:color="auto"/>
            </w:tcBorders>
          </w:tcPr>
          <w:p>
            <w:pPr>
              <w:jc w:val="right"/>
              <w:ind w:right="9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759"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Schlumberger management is responsible for establishing and maintaining adequate internal control over financial reporting as defined in Rule 13a–15(f) of the Securities Exchange Act of 1934, as amended. Schlumberger’s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Schlumberger management assessed the effectiveness of its internal control over financial reporting as of December 31, 2015. In making this assessment, it used the criteria set forth in 2013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Based on this assessment Schlumberger’s management has concluded that, as of December 31, 2015, its internal control over financial reporting is effective based on those criteria.</w:t>
      </w:r>
    </w:p>
    <w:p>
      <w:pPr>
        <w:spacing w:after="0" w:line="1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effectiveness of Schlumberger’s internal control over financial reporting as of December 31, 2015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Schlumberger Limited</w:t>
      </w:r>
    </w:p>
    <w:p>
      <w:pPr>
        <w:spacing w:after="0" w:line="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In our opinion, the accompanying consolidated balance sheets and the related consolidated statements of income, of comprehensive income, of stockholders’ equity and of cash flows present fairly, in all material respects, the financial position of Schlumberger Limited and its subsidiaries at December 31, 2015 and 2014, and the results of their operations and their cash flows for each of the three years in the period ended December 31, 2015 in conformity with accounting principles generally accepted in the United States of America. Also in our opinion, the Company maintained, in all material respects, effective internal control over financial reporting as of December 31, 2015, based on criteria established in </w:t>
      </w:r>
      <w:r>
        <w:rPr>
          <w:rFonts w:ascii="Times New Roman" w:cs="Times New Roman" w:eastAsia="Times New Roman" w:hAnsi="Times New Roman"/>
          <w:sz w:val="17"/>
          <w:szCs w:val="17"/>
          <w:i w:val="1"/>
          <w:iCs w:val="1"/>
          <w:color w:val="auto"/>
        </w:rPr>
        <w:t>Internal Control—Integrated Framework</w:t>
      </w:r>
      <w:r>
        <w:rPr>
          <w:rFonts w:ascii="Times New Roman" w:cs="Times New Roman" w:eastAsia="Times New Roman" w:hAnsi="Times New Roman"/>
          <w:sz w:val="17"/>
          <w:szCs w:val="17"/>
          <w:color w:val="auto"/>
        </w:rPr>
        <w:t xml:space="preserve"> issued by the Committee of Sponsoring Organizations of the Treadway Commission in 2013.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9025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27,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auto"/>
        </w:rPr>
        <w:t>Quarterly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Schlumberger’s results by quarter for the years ended December 31, 2015 and 2014.</w:t>
      </w:r>
    </w:p>
    <w:p>
      <w:pPr>
        <w:spacing w:after="0" w:line="225"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Net income (loss)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Earnings per share of</w:t>
            </w:r>
          </w:p>
        </w:tc>
      </w:tr>
      <w:tr>
        <w:trPr>
          <w:trHeight w:val="238"/>
        </w:trPr>
        <w:tc>
          <w:tcPr>
            <w:tcW w:w="3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Gross</w:t>
            </w:r>
          </w:p>
        </w:tc>
        <w:tc>
          <w:tcPr>
            <w:tcW w:w="16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attributable to</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8"/>
                <w:szCs w:val="18"/>
                <w:color w:val="auto"/>
              </w:rPr>
              <w:t xml:space="preserve">Schlumberger </w:t>
            </w:r>
            <w:r>
              <w:rPr>
                <w:rFonts w:ascii="Times New Roman" w:cs="Times New Roman" w:eastAsia="Times New Roman" w:hAnsi="Times New Roman"/>
                <w:sz w:val="15"/>
                <w:szCs w:val="15"/>
                <w:color w:val="auto"/>
              </w:rPr>
              <w:t>(2)</w:t>
            </w:r>
          </w:p>
        </w:tc>
        <w:tc>
          <w:tcPr>
            <w:tcW w:w="80" w:type="dxa"/>
            <w:vAlign w:val="bottom"/>
          </w:tcPr>
          <w:p>
            <w:pPr>
              <w:spacing w:after="0"/>
              <w:rPr>
                <w:sz w:val="20"/>
                <w:szCs w:val="20"/>
                <w:color w:val="auto"/>
              </w:rPr>
            </w:pPr>
          </w:p>
        </w:tc>
      </w:tr>
      <w:tr>
        <w:trPr>
          <w:trHeight w:val="232"/>
        </w:trPr>
        <w:tc>
          <w:tcPr>
            <w:tcW w:w="3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6"/>
              </w:rPr>
              <w:t xml:space="preserve">Revenue </w:t>
            </w:r>
            <w:r>
              <w:rPr>
                <w:rFonts w:ascii="Times New Roman" w:cs="Times New Roman" w:eastAsia="Times New Roman" w:hAnsi="Times New Roman"/>
                <w:sz w:val="15"/>
                <w:szCs w:val="15"/>
                <w:color w:val="auto"/>
                <w:w w:val="96"/>
              </w:rPr>
              <w:t>(2)</w:t>
            </w:r>
          </w:p>
        </w:tc>
        <w:tc>
          <w:tcPr>
            <w:tcW w:w="200" w:type="dxa"/>
            <w:vAlign w:val="bottom"/>
          </w:tcPr>
          <w:p>
            <w:pPr>
              <w:spacing w:after="0"/>
              <w:rPr>
                <w:sz w:val="20"/>
                <w:szCs w:val="20"/>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Margin </w:t>
            </w:r>
            <w:r>
              <w:rPr>
                <w:rFonts w:ascii="Times New Roman" w:cs="Times New Roman" w:eastAsia="Times New Roman" w:hAnsi="Times New Roman"/>
                <w:sz w:val="15"/>
                <w:szCs w:val="15"/>
                <w:color w:val="auto"/>
                <w:w w:val="99"/>
              </w:rPr>
              <w:t>(1)</w:t>
            </w:r>
            <w:r>
              <w:rPr>
                <w:rFonts w:ascii="Times New Roman" w:cs="Times New Roman" w:eastAsia="Times New Roman" w:hAnsi="Times New Roman"/>
                <w:sz w:val="15"/>
                <w:szCs w:val="15"/>
                <w:u w:val="single" w:color="auto"/>
                <w:color w:val="auto"/>
                <w:w w:val="99"/>
              </w:rPr>
              <w:t>,</w:t>
            </w: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5"/>
                <w:szCs w:val="15"/>
                <w:color w:val="auto"/>
                <w:w w:val="99"/>
              </w:rPr>
              <w:t>(2)</w:t>
            </w:r>
          </w:p>
        </w:tc>
        <w:tc>
          <w:tcPr>
            <w:tcW w:w="15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7"/>
              </w:rPr>
              <w:t xml:space="preserve">Schlumberger </w:t>
            </w:r>
            <w:r>
              <w:rPr>
                <w:rFonts w:ascii="Times New Roman" w:cs="Times New Roman" w:eastAsia="Times New Roman" w:hAnsi="Times New Roman"/>
                <w:sz w:val="15"/>
                <w:szCs w:val="15"/>
                <w:color w:val="auto"/>
                <w:w w:val="97"/>
              </w:rPr>
              <w:t>(2)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Diluted</w:t>
            </w:r>
          </w:p>
        </w:tc>
      </w:tr>
      <w:tr>
        <w:trPr>
          <w:trHeight w:val="219"/>
        </w:trPr>
        <w:tc>
          <w:tcPr>
            <w:tcW w:w="3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Quarters 2015</w:t>
            </w:r>
          </w:p>
        </w:tc>
        <w:tc>
          <w:tcPr>
            <w:tcW w:w="20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6"/>
        </w:trPr>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5"/>
                <w:szCs w:val="15"/>
                <w:b w:val="1"/>
                <w:bCs w:val="1"/>
                <w:color w:val="auto"/>
              </w:rPr>
              <w:t>(3)</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10,248</w:t>
            </w:r>
          </w:p>
        </w:tc>
        <w:tc>
          <w:tcPr>
            <w:tcW w:w="4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975</w:t>
            </w:r>
          </w:p>
        </w:tc>
        <w:tc>
          <w:tcPr>
            <w:tcW w:w="140" w:type="dxa"/>
            <w:vAlign w:val="bottom"/>
          </w:tcPr>
          <w:p>
            <w:pPr>
              <w:spacing w:after="0"/>
              <w:rPr>
                <w:sz w:val="19"/>
                <w:szCs w:val="19"/>
                <w:color w:val="auto"/>
              </w:rPr>
            </w:pPr>
          </w:p>
        </w:tc>
        <w:tc>
          <w:tcPr>
            <w:tcW w:w="26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0.76</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0.76</w:t>
            </w:r>
          </w:p>
        </w:tc>
        <w:tc>
          <w:tcPr>
            <w:tcW w:w="80" w:type="dxa"/>
            <w:vAlign w:val="bottom"/>
          </w:tcPr>
          <w:p>
            <w:pPr>
              <w:spacing w:after="0"/>
              <w:rPr>
                <w:sz w:val="19"/>
                <w:szCs w:val="19"/>
                <w:color w:val="auto"/>
              </w:rPr>
            </w:pPr>
          </w:p>
        </w:tc>
      </w:tr>
      <w:tr>
        <w:trPr>
          <w:trHeight w:val="226"/>
        </w:trPr>
        <w:tc>
          <w:tcPr>
            <w:tcW w:w="3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2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9,010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0.89</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0.88</w:t>
            </w:r>
          </w:p>
        </w:tc>
        <w:tc>
          <w:tcPr>
            <w:tcW w:w="80" w:type="dxa"/>
            <w:vAlign w:val="bottom"/>
            <w:shd w:val="clear" w:color="auto" w:fill="CFF0FC"/>
          </w:tcPr>
          <w:p>
            <w:pPr>
              <w:spacing w:after="0"/>
              <w:rPr>
                <w:sz w:val="19"/>
                <w:szCs w:val="19"/>
                <w:color w:val="auto"/>
              </w:rPr>
            </w:pPr>
          </w:p>
        </w:tc>
      </w:tr>
      <w:tr>
        <w:trPr>
          <w:trHeight w:val="226"/>
        </w:trPr>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0.78</w:t>
            </w:r>
          </w:p>
        </w:tc>
        <w:tc>
          <w:tcPr>
            <w:tcW w:w="80" w:type="dxa"/>
            <w:vAlign w:val="bottom"/>
          </w:tcPr>
          <w:p>
            <w:pPr>
              <w:spacing w:after="0"/>
              <w:rPr>
                <w:sz w:val="19"/>
                <w:szCs w:val="19"/>
                <w:color w:val="auto"/>
              </w:rPr>
            </w:pPr>
          </w:p>
        </w:tc>
      </w:tr>
      <w:tr>
        <w:trPr>
          <w:trHeight w:val="226"/>
        </w:trPr>
        <w:tc>
          <w:tcPr>
            <w:tcW w:w="3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5"/>
                <w:szCs w:val="15"/>
                <w:b w:val="1"/>
                <w:bCs w:val="1"/>
                <w:color w:val="auto"/>
              </w:rPr>
              <w:t>(4)</w:t>
            </w:r>
          </w:p>
        </w:tc>
        <w:tc>
          <w:tcPr>
            <w:tcW w:w="2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7,744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(1,016)</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(0.81)</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(0.81)</w:t>
            </w:r>
          </w:p>
        </w:tc>
      </w:tr>
      <w:tr>
        <w:trPr>
          <w:trHeight w:val="259"/>
        </w:trPr>
        <w:tc>
          <w:tcPr>
            <w:tcW w:w="3140" w:type="dxa"/>
            <w:vAlign w:val="bottom"/>
            <w:tcBorders>
              <w:bottom w:val="single" w:sz="8" w:color="CFF0FC"/>
            </w:tcBorders>
          </w:tcPr>
          <w:p>
            <w:pPr>
              <w:spacing w:after="0"/>
              <w:rPr>
                <w:sz w:val="22"/>
                <w:szCs w:val="22"/>
                <w:color w:val="auto"/>
              </w:rPr>
            </w:pPr>
          </w:p>
        </w:tc>
        <w:tc>
          <w:tcPr>
            <w:tcW w:w="20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35,475</w:t>
            </w:r>
          </w:p>
        </w:tc>
        <w:tc>
          <w:tcPr>
            <w:tcW w:w="2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7,154</w:t>
            </w:r>
          </w:p>
        </w:tc>
        <w:tc>
          <w:tcPr>
            <w:tcW w:w="1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2,072</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80" w:type="dxa"/>
            <w:vAlign w:val="bottom"/>
            <w:tcBorders>
              <w:bottom w:val="single" w:sz="8" w:color="CFF0FC"/>
            </w:tcBorders>
          </w:tcPr>
          <w:p>
            <w:pPr>
              <w:spacing w:after="0"/>
              <w:rPr>
                <w:sz w:val="22"/>
                <w:szCs w:val="22"/>
                <w:color w:val="auto"/>
              </w:rPr>
            </w:pPr>
          </w:p>
        </w:tc>
      </w:tr>
      <w:tr>
        <w:trPr>
          <w:trHeight w:val="206"/>
        </w:trPr>
        <w:tc>
          <w:tcPr>
            <w:tcW w:w="3140" w:type="dxa"/>
            <w:vAlign w:val="bottom"/>
            <w:shd w:val="clear" w:color="auto" w:fill="CFF0FC"/>
          </w:tcPr>
          <w:p>
            <w:pPr>
              <w:spacing w:after="0" w:line="206" w:lineRule="exact"/>
              <w:rPr>
                <w:sz w:val="20"/>
                <w:szCs w:val="20"/>
                <w:color w:val="auto"/>
              </w:rPr>
            </w:pPr>
            <w:r>
              <w:rPr>
                <w:rFonts w:ascii="Times New Roman" w:cs="Times New Roman" w:eastAsia="Times New Roman" w:hAnsi="Times New Roman"/>
                <w:sz w:val="18"/>
                <w:szCs w:val="18"/>
                <w:color w:val="auto"/>
              </w:rPr>
              <w:t>Quarters 2014</w:t>
            </w: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26"/>
        </w:trPr>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40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40" w:type="dxa"/>
            <w:vAlign w:val="bottom"/>
          </w:tcPr>
          <w:p>
            <w:pPr>
              <w:spacing w:after="0"/>
              <w:rPr>
                <w:sz w:val="19"/>
                <w:szCs w:val="19"/>
                <w:color w:val="auto"/>
              </w:rPr>
            </w:pPr>
          </w:p>
        </w:tc>
        <w:tc>
          <w:tcPr>
            <w:tcW w:w="26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r>
      <w:tr>
        <w:trPr>
          <w:trHeight w:val="226"/>
        </w:trPr>
        <w:tc>
          <w:tcPr>
            <w:tcW w:w="3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Second</w:t>
            </w:r>
          </w:p>
        </w:tc>
        <w:tc>
          <w:tcPr>
            <w:tcW w:w="2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FF0FC"/>
          </w:tcPr>
          <w:p>
            <w:pPr>
              <w:spacing w:after="0"/>
              <w:rPr>
                <w:sz w:val="19"/>
                <w:szCs w:val="19"/>
                <w:color w:val="auto"/>
              </w:rPr>
            </w:pPr>
          </w:p>
        </w:tc>
      </w:tr>
      <w:tr>
        <w:trPr>
          <w:trHeight w:val="226"/>
        </w:trPr>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Third</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9"/>
                <w:szCs w:val="19"/>
                <w:color w:val="auto"/>
              </w:rPr>
            </w:pPr>
          </w:p>
        </w:tc>
      </w:tr>
      <w:tr>
        <w:trPr>
          <w:trHeight w:val="226"/>
        </w:trPr>
        <w:tc>
          <w:tcPr>
            <w:tcW w:w="3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 xml:space="preserve">Fourth </w:t>
            </w:r>
            <w:r>
              <w:rPr>
                <w:rFonts w:ascii="Times New Roman" w:cs="Times New Roman" w:eastAsia="Times New Roman" w:hAnsi="Times New Roman"/>
                <w:sz w:val="15"/>
                <w:szCs w:val="15"/>
                <w:color w:val="auto"/>
              </w:rPr>
              <w:t>(5)</w:t>
            </w:r>
          </w:p>
        </w:tc>
        <w:tc>
          <w:tcPr>
            <w:tcW w:w="20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shd w:val="clear" w:color="auto" w:fill="CFF0FC"/>
          </w:tcPr>
          <w:p>
            <w:pPr>
              <w:spacing w:after="0"/>
              <w:rPr>
                <w:sz w:val="19"/>
                <w:szCs w:val="19"/>
                <w:color w:val="auto"/>
              </w:rPr>
            </w:pPr>
          </w:p>
        </w:tc>
      </w:tr>
      <w:tr>
        <w:trPr>
          <w:trHeight w:val="219"/>
        </w:trPr>
        <w:tc>
          <w:tcPr>
            <w:tcW w:w="3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48,580</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380" w:hanging="374"/>
        <w:spacing w:after="0"/>
        <w:tabs>
          <w:tab w:leader="none" w:pos="380" w:val="left"/>
        </w:tabs>
        <w:numPr>
          <w:ilvl w:val="0"/>
          <w:numId w:val="5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 xml:space="preserve">Gross margin equals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less </w:t>
      </w: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w:t>
      </w:r>
    </w:p>
    <w:p>
      <w:pPr>
        <w:ind w:left="380" w:hanging="374"/>
        <w:spacing w:after="0" w:line="192" w:lineRule="auto"/>
        <w:tabs>
          <w:tab w:leader="none" w:pos="380"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Amounts may not add due to rounding.</w:t>
      </w:r>
    </w:p>
    <w:p>
      <w:pPr>
        <w:spacing w:after="0" w:line="40" w:lineRule="exact"/>
        <w:rPr>
          <w:rFonts w:ascii="Times New Roman" w:cs="Times New Roman" w:eastAsia="Times New Roman" w:hAnsi="Times New Roman"/>
          <w:sz w:val="23"/>
          <w:szCs w:val="23"/>
          <w:color w:val="auto"/>
          <w:vertAlign w:val="superscript"/>
        </w:rPr>
      </w:pPr>
    </w:p>
    <w:p>
      <w:pPr>
        <w:ind w:left="380" w:hanging="374"/>
        <w:spacing w:after="0" w:line="192" w:lineRule="auto"/>
        <w:tabs>
          <w:tab w:leader="none" w:pos="380"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Net income in the first quarter of 2015 includes after-tax charges of $383 million.</w:t>
      </w:r>
    </w:p>
    <w:p>
      <w:pPr>
        <w:spacing w:after="0" w:line="40" w:lineRule="exact"/>
        <w:rPr>
          <w:rFonts w:ascii="Times New Roman" w:cs="Times New Roman" w:eastAsia="Times New Roman" w:hAnsi="Times New Roman"/>
          <w:sz w:val="23"/>
          <w:szCs w:val="23"/>
          <w:color w:val="auto"/>
          <w:vertAlign w:val="superscript"/>
        </w:rPr>
      </w:pPr>
    </w:p>
    <w:p>
      <w:pPr>
        <w:ind w:left="380" w:hanging="374"/>
        <w:spacing w:after="0" w:line="192" w:lineRule="auto"/>
        <w:tabs>
          <w:tab w:leader="none" w:pos="380"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Net income in the fourth quarter of 2015 includes after-tax charges of $1.835 billion.</w:t>
      </w:r>
    </w:p>
    <w:p>
      <w:pPr>
        <w:spacing w:after="0" w:line="40" w:lineRule="exact"/>
        <w:rPr>
          <w:rFonts w:ascii="Times New Roman" w:cs="Times New Roman" w:eastAsia="Times New Roman" w:hAnsi="Times New Roman"/>
          <w:sz w:val="23"/>
          <w:szCs w:val="23"/>
          <w:color w:val="auto"/>
          <w:vertAlign w:val="superscript"/>
        </w:rPr>
      </w:pPr>
    </w:p>
    <w:p>
      <w:pPr>
        <w:ind w:left="380" w:hanging="374"/>
        <w:spacing w:after="0" w:line="192" w:lineRule="auto"/>
        <w:tabs>
          <w:tab w:leader="none" w:pos="380"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Net income in the fourth quarter of 2014 includes after-tax charges of $1.639 billion.</w:t>
      </w:r>
    </w:p>
    <w:p>
      <w:pPr>
        <w:spacing w:after="0" w:line="200" w:lineRule="exact"/>
        <w:rPr>
          <w:sz w:val="20"/>
          <w:szCs w:val="20"/>
          <w:color w:val="auto"/>
        </w:rPr>
      </w:pPr>
    </w:p>
    <w:p>
      <w:pPr>
        <w:spacing w:after="0" w:line="206" w:lineRule="exact"/>
        <w:rPr>
          <w:sz w:val="20"/>
          <w:szCs w:val="20"/>
          <w:color w:val="auto"/>
        </w:rPr>
      </w:pPr>
    </w:p>
    <w:p>
      <w:pPr>
        <w:ind w:left="320" w:hanging="301"/>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of Schlumberger</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 Changes in and Disagreements with Accountants on Accounting and Financial Disclosure.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11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7"/>
          <w:szCs w:val="17"/>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so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fourth quarter of 2015 that has materially affected, or is reasonably likely to materially affect, Schlumberger’s internal control over financial reporting.</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20"/>
          </w:cols>
          <w:pgMar w:left="240" w:top="119" w:right="1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Executive Officers and Corporate Governance of Schlumberger.</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See “Item 1. Business – Executive Officers of Schlumberger” of this Report for Item 10 information regarding executive officers of Schlumberger. The information under the captions “Election of Directors,” “Section 16(a) Beneficial Ownership Reporting Compliance,” “Corporate Governance – Director Nominations” and “Corporate Governance – Board Committees – Audit Committee” in Schlumberger’s 2016 Proxy Statement is incorporated herein by reference.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Schlumberger has a Code of Conduct that applies to all of its directors, officers and employees, including its principal executive, financial and accounting officers, or persons performing similar functions. Schlumberger’s Code of Conduct is posted on its website at </w:t>
      </w:r>
      <w:r>
        <w:rPr>
          <w:rFonts w:ascii="Times New Roman" w:cs="Times New Roman" w:eastAsia="Times New Roman" w:hAnsi="Times New Roman"/>
          <w:sz w:val="18"/>
          <w:szCs w:val="18"/>
          <w:u w:val="single" w:color="auto"/>
          <w:color w:val="auto"/>
        </w:rPr>
        <w:t>www.slb.com/about/codeofconduct.aspx</w:t>
      </w:r>
      <w:r>
        <w:rPr>
          <w:rFonts w:ascii="Times New Roman" w:cs="Times New Roman" w:eastAsia="Times New Roman" w:hAnsi="Times New Roman"/>
          <w:sz w:val="18"/>
          <w:szCs w:val="18"/>
          <w:color w:val="auto"/>
        </w:rPr>
        <w:t xml:space="preserve">. Schlumberger intends to disclose future amendments to the Code of Conduct and any grant of a waiver from a provision of the Code of Conduct requiring disclosure under applicable SEC rules at </w:t>
      </w:r>
      <w:r>
        <w:rPr>
          <w:rFonts w:ascii="Times New Roman" w:cs="Times New Roman" w:eastAsia="Times New Roman" w:hAnsi="Times New Roman"/>
          <w:sz w:val="18"/>
          <w:szCs w:val="18"/>
          <w:u w:val="single" w:color="auto"/>
          <w:color w:val="auto"/>
        </w:rPr>
        <w:t>www.slb.com/about/codeofconduct.aspx</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information set forth under the captions “Compensation Discussion and Analysis,” “Executive Compensation Tables and Accompanying Narrative,” “Compensation Committee Report” and “Director Compensation in Fiscal Year 2015” in Schlumberger’s 2016 Proxy Statement is incorporated herein by reference.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12. Security Ownership of Certain Beneficial Owners and Management and Related Stockholder Matters.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information under the captions “Stock Ownership Information—Security Ownership by Certain Beneficial Owners,” “Stock Ownership Information— Security Ownership by Management” and “Equity Compensation Plan Information” in Schlumberger’s 2016 Proxy Statement is incorporated herein by reference.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13. Certain Relationships and Related Transactions, and Director Independence.</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information under the captions “Corporate Governance—Board Independence” and “Corporate Governance—Policies and Procedures for Approval of Related Person Transactions” in Schlumberger’s 2016 Proxy Statement is incorporated herein by reference.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14. Principal Accounting Fees and Services.</w:t>
      </w:r>
    </w:p>
    <w:p>
      <w:pPr>
        <w:spacing w:after="0" w:line="11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information under the caption “Appointment of Independent Registered Public Accounting Firm” in Schlumberger’s 2016 Proxy Statement is incorporated herein by reference.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88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40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Item 15. Exhibits and Financial Statement Schedules.</w:t>
            </w:r>
          </w:p>
        </w:tc>
        <w:tc>
          <w:tcPr>
            <w:tcW w:w="4800" w:type="dxa"/>
            <w:vAlign w:val="bottom"/>
            <w:gridSpan w:val="8"/>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52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360" w:type="dxa"/>
            <w:vAlign w:val="bottom"/>
          </w:tcPr>
          <w:p>
            <w:pPr>
              <w:spacing w:after="0"/>
              <w:rPr>
                <w:sz w:val="24"/>
                <w:szCs w:val="24"/>
                <w:color w:val="auto"/>
              </w:rPr>
            </w:pPr>
          </w:p>
        </w:tc>
        <w:tc>
          <w:tcPr>
            <w:tcW w:w="8520" w:type="dxa"/>
            <w:vAlign w:val="bottom"/>
            <w:gridSpan w:val="11"/>
            <w:vMerge w:val="restart"/>
          </w:tcPr>
          <w:p>
            <w:pPr>
              <w:ind w:left="560"/>
              <w:spacing w:after="0"/>
              <w:rPr>
                <w:sz w:val="20"/>
                <w:szCs w:val="20"/>
                <w:color w:val="auto"/>
              </w:rPr>
            </w:pPr>
            <w:r>
              <w:rPr>
                <w:rFonts w:ascii="Times New Roman" w:cs="Times New Roman" w:eastAsia="Times New Roman" w:hAnsi="Times New Roman"/>
                <w:sz w:val="18"/>
                <w:szCs w:val="18"/>
                <w:color w:val="auto"/>
              </w:rPr>
              <w:t>(1)  Financial Statements</w:t>
            </w:r>
          </w:p>
        </w:tc>
        <w:tc>
          <w:tcPr>
            <w:tcW w:w="1460" w:type="dxa"/>
            <w:vAlign w:val="bottom"/>
          </w:tcPr>
          <w:p>
            <w:pPr>
              <w:jc w:val="center"/>
              <w:ind w:left="673"/>
              <w:spacing w:after="0"/>
              <w:rPr>
                <w:sz w:val="20"/>
                <w:szCs w:val="20"/>
                <w:color w:val="auto"/>
              </w:rPr>
            </w:pPr>
            <w:r>
              <w:rPr>
                <w:rFonts w:ascii="Times New Roman" w:cs="Times New Roman" w:eastAsia="Times New Roman" w:hAnsi="Times New Roman"/>
                <w:sz w:val="14"/>
                <w:szCs w:val="14"/>
                <w:color w:val="auto"/>
                <w:w w:val="99"/>
              </w:rPr>
              <w:t>Page(s)</w:t>
            </w:r>
          </w:p>
        </w:tc>
        <w:tc>
          <w:tcPr>
            <w:tcW w:w="0" w:type="dxa"/>
            <w:vAlign w:val="bottom"/>
          </w:tcPr>
          <w:p>
            <w:pPr>
              <w:spacing w:after="0"/>
              <w:rPr>
                <w:sz w:val="1"/>
                <w:szCs w:val="1"/>
                <w:color w:val="auto"/>
              </w:rPr>
            </w:pPr>
          </w:p>
        </w:tc>
      </w:tr>
      <w:tr>
        <w:trPr>
          <w:trHeight w:val="179"/>
        </w:trPr>
        <w:tc>
          <w:tcPr>
            <w:tcW w:w="360" w:type="dxa"/>
            <w:vAlign w:val="bottom"/>
          </w:tcPr>
          <w:p>
            <w:pPr>
              <w:spacing w:after="0"/>
              <w:rPr>
                <w:sz w:val="15"/>
                <w:szCs w:val="15"/>
                <w:color w:val="auto"/>
              </w:rPr>
            </w:pPr>
          </w:p>
        </w:tc>
        <w:tc>
          <w:tcPr>
            <w:tcW w:w="8520" w:type="dxa"/>
            <w:vAlign w:val="bottom"/>
            <w:gridSpan w:val="11"/>
            <w:vMerge w:val="continue"/>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20" w:type="dxa"/>
            <w:vAlign w:val="bottom"/>
            <w:gridSpan w:val="10"/>
          </w:tcPr>
          <w:p>
            <w:pPr>
              <w:spacing w:after="0" w:line="191"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Consolidated Statement of Income for the three years ended December 31, 2015</w:t>
              </w:r>
            </w:hyperlink>
          </w:p>
        </w:tc>
        <w:tc>
          <w:tcPr>
            <w:tcW w:w="1460" w:type="dxa"/>
            <w:vAlign w:val="bottom"/>
          </w:tcPr>
          <w:p>
            <w:pPr>
              <w:jc w:val="center"/>
              <w:ind w:left="673"/>
              <w:spacing w:after="0" w:line="191" w:lineRule="exact"/>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40" w:type="dxa"/>
            <w:vAlign w:val="bottom"/>
            <w:tcBorders>
              <w:bottom w:val="single" w:sz="8" w:color="0000EE"/>
            </w:tcBorders>
            <w:gridSpan w:val="9"/>
          </w:tcPr>
          <w:p>
            <w:pPr>
              <w:spacing w:after="0" w:line="193" w:lineRule="exact"/>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Consolidated Statement of Comprehensive Income for the three years ended December 31, 2015</w:t>
              </w:r>
            </w:hyperlink>
          </w:p>
        </w:tc>
        <w:tc>
          <w:tcPr>
            <w:tcW w:w="780" w:type="dxa"/>
            <w:vAlign w:val="bottom"/>
          </w:tcPr>
          <w:p>
            <w:pPr>
              <w:spacing w:after="0"/>
              <w:rPr>
                <w:sz w:val="16"/>
                <w:szCs w:val="16"/>
                <w:color w:val="auto"/>
              </w:rPr>
            </w:pPr>
          </w:p>
        </w:tc>
        <w:tc>
          <w:tcPr>
            <w:tcW w:w="1460" w:type="dxa"/>
            <w:vAlign w:val="bottom"/>
          </w:tcPr>
          <w:p>
            <w:pPr>
              <w:jc w:val="center"/>
              <w:ind w:left="673"/>
              <w:spacing w:after="0" w:line="193"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20" w:type="dxa"/>
            <w:vAlign w:val="bottom"/>
            <w:gridSpan w:val="10"/>
          </w:tcPr>
          <w:p>
            <w:pPr>
              <w:spacing w:after="0" w:line="193"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Consolidated Balance Sheet at December 31, 2015 and 2014</w:t>
              </w:r>
            </w:hyperlink>
          </w:p>
        </w:tc>
        <w:tc>
          <w:tcPr>
            <w:tcW w:w="1460" w:type="dxa"/>
            <w:vAlign w:val="bottom"/>
          </w:tcPr>
          <w:p>
            <w:pPr>
              <w:jc w:val="center"/>
              <w:ind w:left="673"/>
              <w:spacing w:after="0" w:line="193" w:lineRule="exact"/>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20" w:type="dxa"/>
            <w:vAlign w:val="bottom"/>
            <w:gridSpan w:val="10"/>
          </w:tcPr>
          <w:p>
            <w:pPr>
              <w:spacing w:after="0" w:line="193"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Consolidated Statement of Cash Flows for the three years ended December 31, 2015</w:t>
              </w:r>
            </w:hyperlink>
          </w:p>
        </w:tc>
        <w:tc>
          <w:tcPr>
            <w:tcW w:w="1460" w:type="dxa"/>
            <w:vAlign w:val="bottom"/>
          </w:tcPr>
          <w:p>
            <w:pPr>
              <w:jc w:val="center"/>
              <w:ind w:left="673"/>
              <w:spacing w:after="0" w:line="193"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60" w:type="dxa"/>
            <w:vAlign w:val="bottom"/>
            <w:tcBorders>
              <w:bottom w:val="single" w:sz="8" w:color="0000EE"/>
            </w:tcBorders>
            <w:gridSpan w:val="8"/>
          </w:tcPr>
          <w:p>
            <w:pPr>
              <w:spacing w:after="0" w:line="193" w:lineRule="exact"/>
              <w:rPr>
                <w:rFonts w:ascii="Times New Roman" w:cs="Times New Roman" w:eastAsia="Times New Roman" w:hAnsi="Times New Roman"/>
                <w:sz w:val="18"/>
                <w:szCs w:val="18"/>
                <w:color w:val="0000EE"/>
                <w:w w:val="98"/>
              </w:rPr>
            </w:pPr>
            <w:hyperlink w:anchor="page36">
              <w:r>
                <w:rPr>
                  <w:rFonts w:ascii="Times New Roman" w:cs="Times New Roman" w:eastAsia="Times New Roman" w:hAnsi="Times New Roman"/>
                  <w:sz w:val="18"/>
                  <w:szCs w:val="18"/>
                  <w:color w:val="0000EE"/>
                  <w:w w:val="98"/>
                </w:rPr>
                <w:t>Consolidated Statement of Stockholders’ Equity for the three years ended December 31, 2015</w:t>
              </w:r>
            </w:hyperlink>
          </w:p>
        </w:tc>
        <w:tc>
          <w:tcPr>
            <w:tcW w:w="960" w:type="dxa"/>
            <w:vAlign w:val="bottom"/>
            <w:gridSpan w:val="2"/>
          </w:tcPr>
          <w:p>
            <w:pPr>
              <w:spacing w:after="0"/>
              <w:rPr>
                <w:sz w:val="16"/>
                <w:szCs w:val="16"/>
                <w:color w:val="auto"/>
              </w:rPr>
            </w:pPr>
          </w:p>
        </w:tc>
        <w:tc>
          <w:tcPr>
            <w:tcW w:w="1460" w:type="dxa"/>
            <w:vAlign w:val="bottom"/>
          </w:tcPr>
          <w:p>
            <w:pPr>
              <w:jc w:val="center"/>
              <w:ind w:left="673"/>
              <w:spacing w:after="0" w:line="193" w:lineRule="exact"/>
              <w:rPr>
                <w:sz w:val="20"/>
                <w:szCs w:val="20"/>
                <w:color w:val="auto"/>
              </w:rPr>
            </w:pPr>
            <w:r>
              <w:rPr>
                <w:rFonts w:ascii="Times New Roman" w:cs="Times New Roman" w:eastAsia="Times New Roman" w:hAnsi="Times New Roman"/>
                <w:sz w:val="18"/>
                <w:szCs w:val="18"/>
                <w:color w:val="auto"/>
                <w:w w:val="98"/>
              </w:rPr>
              <w:t>36 and 37</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100" w:type="dxa"/>
            <w:vAlign w:val="bottom"/>
            <w:tcBorders>
              <w:bottom w:val="single" w:sz="8" w:color="0000EE"/>
            </w:tcBorders>
            <w:gridSpan w:val="3"/>
          </w:tcPr>
          <w:p>
            <w:pPr>
              <w:spacing w:after="0" w:line="193" w:lineRule="exact"/>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Notes to Consolidated Financial Statements</w:t>
              </w:r>
            </w:hyperlink>
          </w:p>
        </w:tc>
        <w:tc>
          <w:tcPr>
            <w:tcW w:w="4520" w:type="dxa"/>
            <w:vAlign w:val="bottom"/>
            <w:gridSpan w:val="7"/>
          </w:tcPr>
          <w:p>
            <w:pPr>
              <w:spacing w:after="0"/>
              <w:rPr>
                <w:sz w:val="16"/>
                <w:szCs w:val="16"/>
                <w:color w:val="auto"/>
              </w:rPr>
            </w:pPr>
          </w:p>
        </w:tc>
        <w:tc>
          <w:tcPr>
            <w:tcW w:w="1460" w:type="dxa"/>
            <w:vAlign w:val="bottom"/>
          </w:tcPr>
          <w:p>
            <w:pPr>
              <w:jc w:val="center"/>
              <w:ind w:left="673"/>
              <w:spacing w:after="0" w:line="193" w:lineRule="exact"/>
              <w:rPr>
                <w:sz w:val="20"/>
                <w:szCs w:val="20"/>
                <w:color w:val="auto"/>
              </w:rPr>
            </w:pPr>
            <w:r>
              <w:rPr>
                <w:rFonts w:ascii="Times New Roman" w:cs="Times New Roman" w:eastAsia="Times New Roman" w:hAnsi="Times New Roman"/>
                <w:sz w:val="18"/>
                <w:szCs w:val="18"/>
                <w:color w:val="auto"/>
                <w:w w:val="98"/>
              </w:rPr>
              <w:t>38 to 63</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20" w:type="dxa"/>
            <w:vAlign w:val="bottom"/>
            <w:gridSpan w:val="10"/>
          </w:tcPr>
          <w:p>
            <w:pPr>
              <w:spacing w:after="0" w:line="193"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Report of Independent Registered Public Accounting Firm</w:t>
              </w:r>
            </w:hyperlink>
          </w:p>
        </w:tc>
        <w:tc>
          <w:tcPr>
            <w:tcW w:w="1460" w:type="dxa"/>
            <w:vAlign w:val="bottom"/>
          </w:tcPr>
          <w:p>
            <w:pPr>
              <w:jc w:val="center"/>
              <w:ind w:left="673"/>
              <w:spacing w:after="0" w:line="193" w:lineRule="exact"/>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193"/>
        </w:trPr>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40" w:type="dxa"/>
            <w:vAlign w:val="bottom"/>
            <w:tcBorders>
              <w:top w:val="single" w:sz="8" w:color="0000EE"/>
              <w:bottom w:val="single" w:sz="8" w:color="0000EE"/>
            </w:tcBorders>
          </w:tcPr>
          <w:p>
            <w:pPr>
              <w:spacing w:after="0" w:line="193" w:lineRule="exact"/>
              <w:rPr>
                <w:rFonts w:ascii="Times New Roman" w:cs="Times New Roman" w:eastAsia="Times New Roman" w:hAnsi="Times New Roman"/>
                <w:sz w:val="18"/>
                <w:szCs w:val="18"/>
                <w:color w:val="0000EE"/>
                <w:w w:val="97"/>
              </w:rPr>
            </w:pPr>
            <w:hyperlink w:anchor="page66">
              <w:r>
                <w:rPr>
                  <w:rFonts w:ascii="Times New Roman" w:cs="Times New Roman" w:eastAsia="Times New Roman" w:hAnsi="Times New Roman"/>
                  <w:sz w:val="18"/>
                  <w:szCs w:val="18"/>
                  <w:color w:val="0000EE"/>
                  <w:w w:val="97"/>
                </w:rPr>
                <w:t>Quarterly Results (Unaudited)</w:t>
              </w:r>
            </w:hyperlink>
          </w:p>
        </w:tc>
        <w:tc>
          <w:tcPr>
            <w:tcW w:w="2000" w:type="dxa"/>
            <w:vAlign w:val="bottom"/>
            <w:tcBorders>
              <w:top w:val="single" w:sz="8" w:color="0000EE"/>
            </w:tcBorders>
            <w:gridSpan w:val="3"/>
          </w:tcPr>
          <w:p>
            <w:pPr>
              <w:spacing w:after="0"/>
              <w:rPr>
                <w:sz w:val="16"/>
                <w:szCs w:val="16"/>
                <w:color w:val="auto"/>
              </w:rPr>
            </w:pPr>
          </w:p>
        </w:tc>
        <w:tc>
          <w:tcPr>
            <w:tcW w:w="3480" w:type="dxa"/>
            <w:vAlign w:val="bottom"/>
            <w:gridSpan w:val="6"/>
          </w:tcPr>
          <w:p>
            <w:pPr>
              <w:spacing w:after="0"/>
              <w:rPr>
                <w:sz w:val="16"/>
                <w:szCs w:val="16"/>
                <w:color w:val="auto"/>
              </w:rPr>
            </w:pPr>
          </w:p>
        </w:tc>
        <w:tc>
          <w:tcPr>
            <w:tcW w:w="1460" w:type="dxa"/>
            <w:vAlign w:val="bottom"/>
          </w:tcPr>
          <w:p>
            <w:pPr>
              <w:jc w:val="center"/>
              <w:ind w:left="673"/>
              <w:spacing w:after="0" w:line="193" w:lineRule="exact"/>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Financial statements of companies accounted for under the equity method and unconsolidated subsidiaries have been omitted because they do not meet the materiality tests for assets or income.</w:t>
      </w:r>
    </w:p>
    <w:p>
      <w:pPr>
        <w:spacing w:after="0" w:line="190" w:lineRule="exact"/>
        <w:rPr>
          <w:sz w:val="20"/>
          <w:szCs w:val="20"/>
          <w:color w:val="auto"/>
        </w:rPr>
      </w:pPr>
    </w:p>
    <w:p>
      <w:pPr>
        <w:ind w:left="1260" w:hanging="337"/>
        <w:spacing w:after="0"/>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not required</w:t>
      </w:r>
    </w:p>
    <w:p>
      <w:pPr>
        <w:spacing w:after="0" w:line="24" w:lineRule="exact"/>
        <w:rPr>
          <w:rFonts w:ascii="Times New Roman" w:cs="Times New Roman" w:eastAsia="Times New Roman" w:hAnsi="Times New Roman"/>
          <w:sz w:val="18"/>
          <w:szCs w:val="18"/>
          <w:color w:val="auto"/>
        </w:rPr>
      </w:pPr>
    </w:p>
    <w:p>
      <w:pPr>
        <w:ind w:left="1260" w:right="2100" w:hanging="337"/>
        <w:spacing w:after="0" w:line="253" w:lineRule="auto"/>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in the accompanying “Index to Exhibits” are filed or incorporated by reference as part of this Form 10-K.</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4" w:lineRule="exact"/>
        <w:rPr>
          <w:sz w:val="20"/>
          <w:szCs w:val="20"/>
          <w:color w:val="auto"/>
        </w:rPr>
      </w:pPr>
    </w:p>
    <w:p>
      <w:pPr>
        <w:spacing w:after="0"/>
        <w:tabs>
          <w:tab w:leader="none" w:pos="540" w:val="left"/>
          <w:tab w:leader="none" w:pos="7220" w:val="left"/>
        </w:tabs>
        <w:rPr>
          <w:sz w:val="20"/>
          <w:szCs w:val="20"/>
          <w:color w:val="auto"/>
        </w:rPr>
      </w:pPr>
      <w:r>
        <w:rPr>
          <w:rFonts w:ascii="Times New Roman" w:cs="Times New Roman" w:eastAsia="Times New Roman" w:hAnsi="Times New Roman"/>
          <w:sz w:val="18"/>
          <w:szCs w:val="18"/>
          <w:color w:val="auto"/>
        </w:rPr>
        <w:t>Date:</w:t>
        <w:tab/>
        <w:t>January 27, 2016</w:t>
      </w:r>
      <w:r>
        <w:rPr>
          <w:sz w:val="20"/>
          <w:szCs w:val="20"/>
          <w:color w:val="auto"/>
        </w:rPr>
        <w:tab/>
      </w:r>
      <w:r>
        <w:rPr>
          <w:rFonts w:ascii="Times New Roman" w:cs="Times New Roman" w:eastAsia="Times New Roman" w:hAnsi="Times New Roman"/>
          <w:sz w:val="18"/>
          <w:szCs w:val="18"/>
          <w:color w:val="auto"/>
        </w:rPr>
        <w:t>S</w:t>
      </w:r>
      <w:r>
        <w:rPr>
          <w:rFonts w:ascii="Times New Roman" w:cs="Times New Roman" w:eastAsia="Times New Roman" w:hAnsi="Times New Roman"/>
          <w:sz w:val="13"/>
          <w:szCs w:val="13"/>
          <w:color w:val="auto"/>
        </w:rPr>
        <w:t>CHLUMBERGER</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3"/>
          <w:szCs w:val="13"/>
          <w:color w:val="auto"/>
        </w:rPr>
        <w:t>IMITED</w:t>
      </w:r>
    </w:p>
    <w:p>
      <w:pPr>
        <w:spacing w:after="0" w:line="218" w:lineRule="exact"/>
        <w:rPr>
          <w:sz w:val="20"/>
          <w:szCs w:val="20"/>
          <w:color w:val="auto"/>
        </w:rPr>
      </w:pPr>
    </w:p>
    <w:p>
      <w:pPr>
        <w:jc w:val="center"/>
        <w:ind w:left="6760"/>
        <w:spacing w:after="0"/>
        <w:tabs>
          <w:tab w:leader="none" w:pos="200" w:val="left"/>
        </w:tabs>
        <w:rPr>
          <w:sz w:val="20"/>
          <w:szCs w:val="20"/>
          <w:color w:val="auto"/>
        </w:rPr>
      </w:pPr>
      <w:r>
        <w:rPr>
          <w:rFonts w:ascii="Times New Roman" w:cs="Times New Roman" w:eastAsia="Times New Roman" w:hAnsi="Times New Roman"/>
          <w:sz w:val="18"/>
          <w:szCs w:val="18"/>
          <w:color w:val="auto"/>
        </w:rPr>
        <w:t>By:</w:t>
        <w:tab/>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H</w:t>
      </w:r>
      <w:r>
        <w:rPr>
          <w:rFonts w:ascii="Times New Roman" w:cs="Times New Roman" w:eastAsia="Times New Roman" w:hAnsi="Times New Roman"/>
          <w:sz w:val="13"/>
          <w:szCs w:val="13"/>
          <w:color w:val="auto"/>
        </w:rPr>
        <w:t>OWARD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3"/>
          <w:szCs w:val="13"/>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4603115</wp:posOffset>
            </wp:positionH>
            <wp:positionV relativeFrom="paragraph">
              <wp:posOffset>15240</wp:posOffset>
            </wp:positionV>
            <wp:extent cx="26498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49855" cy="8255"/>
                    </a:xfrm>
                    <a:prstGeom prst="rect">
                      <a:avLst/>
                    </a:prstGeom>
                    <a:noFill/>
                  </pic:spPr>
                </pic:pic>
              </a:graphicData>
            </a:graphic>
          </wp:anchor>
        </w:drawing>
      </w:r>
    </w:p>
    <w:p>
      <w:pPr>
        <w:ind w:left="7240"/>
        <w:spacing w:after="0"/>
        <w:rPr>
          <w:sz w:val="20"/>
          <w:szCs w:val="20"/>
          <w:color w:val="auto"/>
        </w:rPr>
      </w:pPr>
      <w:r>
        <w:rPr>
          <w:rFonts w:ascii="Times New Roman" w:cs="Times New Roman" w:eastAsia="Times New Roman" w:hAnsi="Times New Roman"/>
          <w:sz w:val="14"/>
          <w:szCs w:val="14"/>
          <w:b w:val="1"/>
          <w:bCs w:val="1"/>
          <w:color w:val="auto"/>
        </w:rPr>
        <w:t>Howard Guild</w:t>
      </w:r>
    </w:p>
    <w:p>
      <w:pPr>
        <w:ind w:left="7240"/>
        <w:spacing w:after="0"/>
        <w:rPr>
          <w:sz w:val="20"/>
          <w:szCs w:val="20"/>
          <w:color w:val="auto"/>
        </w:rPr>
      </w:pPr>
      <w:r>
        <w:rPr>
          <w:rFonts w:ascii="Times New Roman" w:cs="Times New Roman" w:eastAsia="Times New Roman" w:hAnsi="Times New Roman"/>
          <w:sz w:val="14"/>
          <w:szCs w:val="14"/>
          <w:b w:val="1"/>
          <w:bCs w:val="1"/>
          <w:color w:val="auto"/>
        </w:rPr>
        <w:t>Chief Accounting Officer</w:t>
      </w:r>
    </w:p>
    <w:p>
      <w:pPr>
        <w:spacing w:after="0" w:line="22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2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0"/>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Paal Kibsgaard</w:t>
            </w:r>
          </w:p>
        </w:tc>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06"/>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t>
            </w:r>
            <w:r>
              <w:rPr>
                <w:rFonts w:ascii="Times New Roman" w:cs="Times New Roman" w:eastAsia="Times New Roman" w:hAnsi="Times New Roman"/>
                <w:sz w:val="13"/>
                <w:szCs w:val="13"/>
                <w:color w:val="auto"/>
                <w:w w:val="97"/>
              </w:rPr>
              <w:t>S</w:t>
            </w:r>
            <w:r>
              <w:rPr>
                <w:rFonts w:ascii="Times New Roman" w:cs="Times New Roman" w:eastAsia="Times New Roman" w:hAnsi="Times New Roman"/>
                <w:sz w:val="18"/>
                <w:szCs w:val="18"/>
                <w:color w:val="auto"/>
                <w:w w:val="97"/>
              </w:rPr>
              <w:t>/ S</w:t>
            </w:r>
            <w:r>
              <w:rPr>
                <w:rFonts w:ascii="Times New Roman" w:cs="Times New Roman" w:eastAsia="Times New Roman" w:hAnsi="Times New Roman"/>
                <w:sz w:val="13"/>
                <w:szCs w:val="13"/>
                <w:color w:val="auto"/>
                <w:w w:val="97"/>
              </w:rPr>
              <w:t>IMON</w:t>
            </w:r>
            <w:r>
              <w:rPr>
                <w:rFonts w:ascii="Times New Roman" w:cs="Times New Roman" w:eastAsia="Times New Roman" w:hAnsi="Times New Roman"/>
                <w:sz w:val="18"/>
                <w:szCs w:val="18"/>
                <w:color w:val="auto"/>
                <w:w w:val="97"/>
              </w:rPr>
              <w:t xml:space="preserve"> A</w:t>
            </w:r>
            <w:r>
              <w:rPr>
                <w:rFonts w:ascii="Times New Roman" w:cs="Times New Roman" w:eastAsia="Times New Roman" w:hAnsi="Times New Roman"/>
                <w:sz w:val="13"/>
                <w:szCs w:val="13"/>
                <w:color w:val="auto"/>
                <w:w w:val="97"/>
              </w:rPr>
              <w:t>YAT</w:t>
            </w:r>
          </w:p>
        </w:tc>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Executive Vice President and Chief Financial Officer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Simon Ayat</w:t>
            </w:r>
          </w:p>
        </w:tc>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06"/>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3"/>
                <w:szCs w:val="13"/>
                <w:color w:val="auto"/>
                <w:w w:val="99"/>
              </w:rPr>
              <w:t>S</w:t>
            </w:r>
            <w:r>
              <w:rPr>
                <w:rFonts w:ascii="Times New Roman" w:cs="Times New Roman" w:eastAsia="Times New Roman" w:hAnsi="Times New Roman"/>
                <w:sz w:val="18"/>
                <w:szCs w:val="18"/>
                <w:color w:val="auto"/>
                <w:w w:val="99"/>
              </w:rPr>
              <w:t>/ H</w:t>
            </w:r>
            <w:r>
              <w:rPr>
                <w:rFonts w:ascii="Times New Roman" w:cs="Times New Roman" w:eastAsia="Times New Roman" w:hAnsi="Times New Roman"/>
                <w:sz w:val="13"/>
                <w:szCs w:val="13"/>
                <w:color w:val="auto"/>
                <w:w w:val="99"/>
              </w:rPr>
              <w:t>OWARD</w:t>
            </w:r>
            <w:r>
              <w:rPr>
                <w:rFonts w:ascii="Times New Roman" w:cs="Times New Roman" w:eastAsia="Times New Roman" w:hAnsi="Times New Roman"/>
                <w:sz w:val="18"/>
                <w:szCs w:val="18"/>
                <w:color w:val="auto"/>
                <w:w w:val="99"/>
              </w:rPr>
              <w:t xml:space="preserve"> G</w:t>
            </w:r>
            <w:r>
              <w:rPr>
                <w:rFonts w:ascii="Times New Roman" w:cs="Times New Roman" w:eastAsia="Times New Roman" w:hAnsi="Times New Roman"/>
                <w:sz w:val="13"/>
                <w:szCs w:val="13"/>
                <w:color w:val="auto"/>
                <w:w w:val="99"/>
              </w:rPr>
              <w:t>UILD</w:t>
            </w:r>
          </w:p>
        </w:tc>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Howard Guild</w:t>
            </w:r>
          </w:p>
        </w:tc>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06"/>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Peter L.S. Currie</w:t>
            </w:r>
          </w:p>
        </w:tc>
        <w:tc>
          <w:tcPr>
            <w:tcW w:w="4020" w:type="dxa"/>
            <w:vAlign w:val="bottom"/>
          </w:tcPr>
          <w:p>
            <w:pPr>
              <w:spacing w:after="0"/>
              <w:rPr>
                <w:sz w:val="19"/>
                <w:szCs w:val="19"/>
                <w:color w:val="auto"/>
              </w:rPr>
            </w:pPr>
          </w:p>
        </w:tc>
      </w:tr>
      <w:tr>
        <w:trPr>
          <w:trHeight w:val="406"/>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Maureen Kempston Darkes</w:t>
            </w:r>
          </w:p>
        </w:tc>
        <w:tc>
          <w:tcPr>
            <w:tcW w:w="4020" w:type="dxa"/>
            <w:vAlign w:val="bottom"/>
          </w:tcPr>
          <w:p>
            <w:pPr>
              <w:spacing w:after="0"/>
              <w:rPr>
                <w:sz w:val="19"/>
                <w:szCs w:val="19"/>
                <w:color w:val="auto"/>
              </w:rPr>
            </w:pPr>
          </w:p>
        </w:tc>
      </w:tr>
      <w:tr>
        <w:trPr>
          <w:trHeight w:val="406"/>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Nikolay Kudryavtsev</w:t>
            </w:r>
          </w:p>
        </w:tc>
        <w:tc>
          <w:tcPr>
            <w:tcW w:w="4020" w:type="dxa"/>
            <w:vAlign w:val="bottom"/>
          </w:tcPr>
          <w:p>
            <w:pPr>
              <w:spacing w:after="0"/>
              <w:rPr>
                <w:sz w:val="19"/>
                <w:szCs w:val="19"/>
                <w:color w:val="auto"/>
              </w:rPr>
            </w:pPr>
          </w:p>
        </w:tc>
      </w:tr>
      <w:tr>
        <w:trPr>
          <w:trHeight w:val="406"/>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E. Marks</w:t>
            </w:r>
          </w:p>
        </w:tc>
        <w:tc>
          <w:tcPr>
            <w:tcW w:w="4020" w:type="dxa"/>
            <w:vAlign w:val="bottom"/>
          </w:tcPr>
          <w:p>
            <w:pPr>
              <w:spacing w:after="0"/>
              <w:rPr>
                <w:sz w:val="19"/>
                <w:szCs w:val="19"/>
                <w:color w:val="auto"/>
              </w:rPr>
            </w:pPr>
          </w:p>
        </w:tc>
      </w:tr>
      <w:tr>
        <w:trPr>
          <w:trHeight w:val="406"/>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Indra K. Nooyi</w:t>
            </w:r>
          </w:p>
        </w:tc>
        <w:tc>
          <w:tcPr>
            <w:tcW w:w="4020" w:type="dxa"/>
            <w:vAlign w:val="bottom"/>
          </w:tcPr>
          <w:p>
            <w:pPr>
              <w:spacing w:after="0"/>
              <w:rPr>
                <w:sz w:val="19"/>
                <w:szCs w:val="19"/>
                <w:color w:val="auto"/>
              </w:rPr>
            </w:pPr>
          </w:p>
        </w:tc>
      </w:tr>
      <w:tr>
        <w:trPr>
          <w:trHeight w:val="406"/>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Lubna S. Olayan</w:t>
            </w:r>
          </w:p>
        </w:tc>
        <w:tc>
          <w:tcPr>
            <w:tcW w:w="4020" w:type="dxa"/>
            <w:vAlign w:val="bottom"/>
          </w:tcPr>
          <w:p>
            <w:pPr>
              <w:spacing w:after="0"/>
              <w:rPr>
                <w:sz w:val="19"/>
                <w:szCs w:val="19"/>
                <w:color w:val="auto"/>
              </w:rPr>
            </w:pPr>
          </w:p>
        </w:tc>
      </w:tr>
      <w:tr>
        <w:trPr>
          <w:trHeight w:val="406"/>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Leo Rafael Reif</w:t>
            </w:r>
          </w:p>
        </w:tc>
        <w:tc>
          <w:tcPr>
            <w:tcW w:w="4020" w:type="dxa"/>
            <w:vAlign w:val="bottom"/>
          </w:tcPr>
          <w:p>
            <w:pPr>
              <w:spacing w:after="0"/>
              <w:rPr>
                <w:sz w:val="19"/>
                <w:szCs w:val="19"/>
                <w:color w:val="auto"/>
              </w:rPr>
            </w:pPr>
          </w:p>
        </w:tc>
      </w:tr>
      <w:tr>
        <w:trPr>
          <w:trHeight w:val="406"/>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Tore Sandvold</w:t>
            </w:r>
          </w:p>
        </w:tc>
        <w:tc>
          <w:tcPr>
            <w:tcW w:w="4020" w:type="dxa"/>
            <w:vAlign w:val="bottom"/>
          </w:tcPr>
          <w:p>
            <w:pPr>
              <w:spacing w:after="0"/>
              <w:rPr>
                <w:sz w:val="19"/>
                <w:szCs w:val="19"/>
                <w:color w:val="auto"/>
              </w:rPr>
            </w:pPr>
          </w:p>
        </w:tc>
      </w:tr>
      <w:tr>
        <w:trPr>
          <w:trHeight w:val="406"/>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Henri Seydoux</w:t>
            </w:r>
          </w:p>
        </w:tc>
        <w:tc>
          <w:tcPr>
            <w:tcW w:w="4020" w:type="dxa"/>
            <w:vAlign w:val="bottom"/>
          </w:tcPr>
          <w:p>
            <w:pPr>
              <w:spacing w:after="0"/>
              <w:rPr>
                <w:sz w:val="19"/>
                <w:szCs w:val="19"/>
                <w:color w:val="auto"/>
              </w:rPr>
            </w:pPr>
          </w:p>
        </w:tc>
      </w:tr>
      <w:tr>
        <w:trPr>
          <w:trHeight w:val="406"/>
        </w:trPr>
        <w:tc>
          <w:tcPr>
            <w:tcW w:w="5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3"/>
                <w:szCs w:val="13"/>
                <w:color w:val="auto"/>
              </w:rPr>
              <w:t>LEXANDER</w:t>
            </w:r>
            <w:r>
              <w:rPr>
                <w:rFonts w:ascii="Times New Roman" w:cs="Times New Roman" w:eastAsia="Times New Roman" w:hAnsi="Times New Roman"/>
                <w:sz w:val="18"/>
                <w:szCs w:val="18"/>
                <w:color w:val="auto"/>
              </w:rPr>
              <w:t xml:space="preserve"> C. J</w:t>
            </w:r>
            <w:r>
              <w:rPr>
                <w:rFonts w:ascii="Times New Roman" w:cs="Times New Roman" w:eastAsia="Times New Roman" w:hAnsi="Times New Roman"/>
                <w:sz w:val="13"/>
                <w:szCs w:val="13"/>
                <w:color w:val="auto"/>
              </w:rPr>
              <w:t>UDEN</w:t>
            </w:r>
          </w:p>
        </w:tc>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January 27, 2016</w:t>
            </w:r>
          </w:p>
        </w:tc>
      </w:tr>
      <w:tr>
        <w:trPr>
          <w:trHeight w:val="225"/>
        </w:trPr>
        <w:tc>
          <w:tcPr>
            <w:tcW w:w="5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*By Alexander C. Juden Attorney-in-Fact</w:t>
            </w:r>
          </w:p>
        </w:tc>
        <w:tc>
          <w:tcPr>
            <w:tcW w:w="40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60" w:type="dxa"/>
            <w:vAlign w:val="bottom"/>
          </w:tcPr>
          <w:p>
            <w:pPr>
              <w:spacing w:after="0"/>
              <w:rPr>
                <w:sz w:val="13"/>
                <w:szCs w:val="13"/>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 and Plan of Merger dated August 25, 2015, among Schlumberger Holdings Corporation, Rain Merger Sub LLC, Schlumberger</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 and Cameron International Corporation, dated August 25, 2015 (incorporated by reference to Exhibit 2.1 to Schlumberger’s Current</w:t>
            </w:r>
          </w:p>
        </w:tc>
        <w:tc>
          <w:tcPr>
            <w:tcW w:w="980" w:type="dxa"/>
            <w:vAlign w:val="bottom"/>
          </w:tcPr>
          <w:p>
            <w:pPr>
              <w:spacing w:after="0"/>
              <w:rPr>
                <w:sz w:val="18"/>
                <w:szCs w:val="18"/>
                <w:color w:val="auto"/>
              </w:rPr>
            </w:pP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on Form 8-K filed on August 26, 2015)</w:t>
            </w:r>
          </w:p>
        </w:tc>
        <w:tc>
          <w:tcPr>
            <w:tcW w:w="980" w:type="dxa"/>
            <w:vAlign w:val="bottom"/>
          </w:tcPr>
          <w:p>
            <w:pPr>
              <w:spacing w:after="0"/>
              <w:rPr>
                <w:sz w:val="20"/>
                <w:szCs w:val="20"/>
                <w:color w:val="auto"/>
              </w:rPr>
            </w:pPr>
          </w:p>
        </w:tc>
      </w:tr>
      <w:tr>
        <w:trPr>
          <w:trHeight w:val="406"/>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Articles of Incorporation of Schlumberger Limited (Schlumberger N.V.), as last amended on April 6, 2011 (incorporated by reference to Exhibit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to Schlumberger’s Current Report on Form 8-K filed on April 7, 2011)</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By-Laws of Schlumberger Limited (Schlumberger N.V.), as last amended on May 12, 2015 (incorporated by reference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Exhibit 3.1 to Schlumberger’s Current Report on Form 8-K filed on May 12, 2015)</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Indenture dated as of December 3, 2013, by and among Schlumberger Investment SA, as issuer, Schlumberger Limited, as guarantor, and The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of New York Mellon Trust Company, N.A., as trustee (incorporated by reference to Exhibit 4.1 to Schlumberger’s Current Report on</w:t>
            </w:r>
          </w:p>
        </w:tc>
        <w:tc>
          <w:tcPr>
            <w:tcW w:w="980" w:type="dxa"/>
            <w:vAlign w:val="bottom"/>
          </w:tcPr>
          <w:p>
            <w:pPr>
              <w:spacing w:after="0"/>
              <w:rPr>
                <w:sz w:val="18"/>
                <w:szCs w:val="18"/>
                <w:color w:val="auto"/>
              </w:rPr>
            </w:pP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8-K filed on December 3, 2013)</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Supplemental Indenture dated as of December 3, 2013, by and among Schlumberger Investment SA, as issuer, Schlumberger Limited, as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guarantor, and The Bank of New York Mellon Trust Company, N.A., as trustee (including form of global notes representing 3.650% Senior</w:t>
            </w:r>
          </w:p>
        </w:tc>
        <w:tc>
          <w:tcPr>
            <w:tcW w:w="980" w:type="dxa"/>
            <w:vAlign w:val="bottom"/>
          </w:tcPr>
          <w:p>
            <w:pPr>
              <w:spacing w:after="0"/>
              <w:rPr>
                <w:sz w:val="18"/>
                <w:szCs w:val="18"/>
                <w:color w:val="auto"/>
              </w:rPr>
            </w:pP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2023) (incorporated by reference to Exhibit 4.2 to Schlumberger’s Current Report on Form 8-K filed on December 3, 2013)</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Schlumberger Limited Supplementary Benefit Plan, as conformed to include amendments through January 1, 2009 (incorporated by reference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Exhibit 10.2 to Schlumberger’s Annual Report on Form 10-K for the year ended December 31, 2008)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Schlumberger Limited Restoration Savings Plan, as conformed to include amendments through January 1, 2009 (incorporated by reference to</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10.3 to Schlumberger’s Annual Report on Form 10-K for the year ended December 31, 2008)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Schlumberger Limited Restoration Savings Plan (incorporated by reference to Exhibit 10.3 to Schlumberger’s Quarterly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on Form 10-Q for the quarter ended March 31, 2013)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Schlumberger 1998 Stock Option Plan, as conformed to include amendments through January 1, 2009 (incorporated by reference to Exhibit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 to Schlumberger’s Annual Report on Form 10-K for the year ended December 31, 2008)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Amendment to Schlumberger 1998 Stock Option Plan (incorporated by reference to Exhibit 10.4 to Schlumberger’s Quarterly Report 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10-Q for the quarter ended June 30, 2013)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Schlumberger 2001 Stock Option Plan, as conformed to include amendments through January 1, 2009 (incorporated by reference to Exhibit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 to Schlumberger’s Annual Report on Form 10-K for the year ended December 31, 2008)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Amendment to Schlumberger 2001 Stock Option Plan (incorporated by reference to Exhibit 10.5 to Schlumberger’s Quarterly Report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Form 10-Q for the quarter ended June 30, 2013)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Schlumberger Limited 2004 Stock and Deferral Plan for Non-Employee Directors, amended and restated effective January 19, 2012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 to Schlumberger’s Current Report on Form 8-K filed on April 11, 2012.)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Schlumberger 2005 Stock Incentive Plan, as conformed to include amendments through January 1, 2009 (incorporated by reference to Exhibit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 to Schlumberger’s Annual Report on Form 10-K for the year ended December 31, 2008)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Amendment to Schlumberger 2005 Stock Incentive Plan (incorporated by reference to Exhibit 10.6 to Schlumberger’s Quarterly Report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Form 10-Q for the quarter ended June 30, 2013)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Schlumberger 2008 Stock Incentive Plan, as conformed to include amendments through January 1, 2009 (incorporated by reference to Exhibit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 to Schlumberger’s Annual Report on Form 10-K for the year ended December 31, 2008)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Amendment to Schlumberger 2008 Stock Incentive Plan (incorporated by reference to Exhibit 10.7 to Schlumberger’s Quarterly Report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Form 10-Q for the quarter ended June 30, 2013)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Schlumberger 2010 Omnibus Stock Incentive Plan (incorporated by reference to Exhibit 10.1 to Schlumberger’s Current Report on Form 8-K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on April 9, 2010) (+)</w:t>
            </w:r>
          </w:p>
        </w:tc>
        <w:tc>
          <w:tcPr>
            <w:tcW w:w="980" w:type="dxa"/>
            <w:vAlign w:val="bottom"/>
          </w:tcPr>
          <w:p>
            <w:pPr>
              <w:spacing w:after="0"/>
              <w:rPr>
                <w:sz w:val="20"/>
                <w:szCs w:val="20"/>
                <w:color w:val="auto"/>
              </w:rPr>
            </w:pPr>
          </w:p>
        </w:tc>
      </w:tr>
      <w:tr>
        <w:trPr>
          <w:trHeight w:val="545"/>
        </w:trPr>
        <w:tc>
          <w:tcPr>
            <w:tcW w:w="1046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70</w:t>
            </w:r>
          </w:p>
        </w:tc>
        <w:tc>
          <w:tcPr>
            <w:tcW w:w="980" w:type="dxa"/>
            <w:vAlign w:val="bottom"/>
          </w:tcPr>
          <w:p>
            <w:pPr>
              <w:spacing w:after="0"/>
              <w:rPr>
                <w:sz w:val="24"/>
                <w:szCs w:val="24"/>
                <w:color w:val="auto"/>
              </w:rPr>
            </w:pPr>
          </w:p>
        </w:tc>
      </w:tr>
      <w:tr>
        <w:trPr>
          <w:trHeight w:val="125"/>
        </w:trPr>
        <w:tc>
          <w:tcPr>
            <w:tcW w:w="10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19" w:right="2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10460" w:type="dxa"/>
            <w:vAlign w:val="bottom"/>
          </w:tcPr>
          <w:p>
            <w:pPr>
              <w:spacing w:after="0"/>
              <w:rPr>
                <w:sz w:val="13"/>
                <w:szCs w:val="13"/>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Schlumberger 2010 Omnibus Stock Incentive Plan (incorporated by reference to Exhibit 10.8 to Schlumberger’s Quarterly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on Form 10-Q for the quarter ended June 30, 2013) (+)</w:t>
            </w:r>
          </w:p>
        </w:tc>
        <w:tc>
          <w:tcPr>
            <w:tcW w:w="980" w:type="dxa"/>
            <w:vAlign w:val="bottom"/>
          </w:tcPr>
          <w:p>
            <w:pPr>
              <w:spacing w:after="0"/>
              <w:rPr>
                <w:sz w:val="20"/>
                <w:szCs w:val="20"/>
                <w:color w:val="auto"/>
              </w:rPr>
            </w:pPr>
          </w:p>
        </w:tc>
      </w:tr>
      <w:tr>
        <w:trPr>
          <w:trHeight w:val="526"/>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2013 Three Year Performance Share Unit Award Agreement under Schlumberger 2010 Omnibus Stock Incentive Plan (incorporated by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to Exhibit 10.6 to Schlumberger’s Quarterly Report on Form 10-Q for the quarter ended March 31, 2013)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2014 Three Year Performance Share Unit Award Agreement under Schlumberger 2013 Omnibus Stock Incentive Plan (incorporated by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to Exhibit 10.1 to Schlumberger’s Quarterly Report on Form 10-Q for the quarter ended March 31, 2014)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French Sub-Plan of Schlumberger 2010 Omnibus Stock Incentive Plan for Employees in France (incorporated by reference to Exhibit 10.7 to</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Schlumberger’s Quarterly Report on Form 10-Q for the quarter ended March 31, 2013)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Option Agreement (Employees in France), Incentive Stock Option, under Schlumberger 2010 Omnibus Stock Incentive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10.10 to Schlumberger’s Quarterly Report on Form 10-Q for the quarter ended June 30, 2013)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Option Agreement (Employees in France), Non-Qualified Stock Option, under Schlumberger 2010 Omnibus Stock Incentive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10.11 to Schlumberger’s Quarterly Report on Form 10-Q for the quarter ended June 30, 2013)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Restricted Stock Unit Award Agreement (Employees in France) under Schlumberger 2010 Omnibus Stock Incentive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10.12 to Schlumberger’s Quarterly Report on Form 10-Q for the quarter ended June 30, 2013)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2013 One Year Performance Share Unit Award Agreement (Employees in France) under Schlumberger 2010 Omnibus Stock Incentive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(incorporated by reference to Exhibit 10.1 to Schlumberger’s Quarterly Report on Form 10-Q for the quarter ended September 30, 2013)</w:t>
            </w:r>
          </w:p>
        </w:tc>
        <w:tc>
          <w:tcPr>
            <w:tcW w:w="980" w:type="dxa"/>
            <w:vAlign w:val="bottom"/>
          </w:tcPr>
          <w:p>
            <w:pPr>
              <w:spacing w:after="0"/>
              <w:rPr>
                <w:sz w:val="18"/>
                <w:szCs w:val="18"/>
                <w:color w:val="auto"/>
              </w:rPr>
            </w:pP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Schlumberger 2013 Omnibus Stock Incentive Plan (incorporated by reference to Appendix A to Schlumberger’s Definitive Proxy Statement 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Schedule 14A filed on March 1, 2013)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Schlumberger 2013 Omnibus Stock Incentive Plan (incorporated by reference to Exhibit 10.9 to Schlumberger’s Quarterly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on Form 10-Q for the quarter ended June 30, 2013)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Option Agreement, Incentive Stock Option, under Schlumberger 2013 Omnibus Stock Incentive Plan (incorporated by reference to</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Schlumberger’s Quarterly Report on Form 10-Q for the quarter ended in June 30, 2015)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Option Agreement, Non-Qualified Stock Option, under Schlumberger 2013 Omnibus Stock Incentive Plan (incorporated by reference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Exhibit 10.2 to Schlumberger’s Quarterly Report on Form 10-Q for the quarter ended June 30, 2015)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Restricted Stock Unit Award Agreement under Schlumberger 2013 Omnibus Stock Incentive Plan (incorporated by reference to</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10.3 to Schlumberger’s Quarterly Report on Form 10-Q for the quarter ended June 30, 2015)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Schlumberger Discounted Stock Purchase Plan, as amended and restated effective as of January 1, 2013 (incorporated by reference to</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Appendix B to Schlumberger’s Definitive Proxy Statement on Schedule 14A filed on March 1, 2013)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Option Agreement, Capped Incentive Stock Option (incorporated by reference to Exhibit 10.1 to Schlumberger’s Current Report 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8-K filed on January 19, 2006)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Option Agreement, Capped Non-Qualified Stock Option (incorporated by reference to Exhibit 10.2 to Schlumberger’s Current Report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Form 8-K filed on January 19, 2006)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Option Agreement, Uncapped Incentive Stock Option (for 2001, 2005 and 2008 stock plans) (incorporated by reference to Exhibit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 to Schlumberger’s Annual Report on Form 10-K for the year ended December 31, 2009) (+)</w:t>
            </w:r>
          </w:p>
        </w:tc>
        <w:tc>
          <w:tcPr>
            <w:tcW w:w="980" w:type="dxa"/>
            <w:vAlign w:val="bottom"/>
          </w:tcPr>
          <w:p>
            <w:pPr>
              <w:spacing w:after="0"/>
              <w:rPr>
                <w:sz w:val="20"/>
                <w:szCs w:val="20"/>
                <w:color w:val="auto"/>
              </w:rPr>
            </w:pPr>
          </w:p>
        </w:tc>
      </w:tr>
      <w:tr>
        <w:trPr>
          <w:trHeight w:val="313"/>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Option Agreement, Uncapped Non-Qualified Stock Option (for 2001, 2005 and 2008 stock plans) (incorporated by reference to</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32"/>
        </w:trPr>
        <w:tc>
          <w:tcPr>
            <w:tcW w:w="10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10.12 to Schlumberger’s Annual Report on Form 10-K for the year ended December 31, 2009) (+)</w:t>
            </w:r>
          </w:p>
        </w:tc>
        <w:tc>
          <w:tcPr>
            <w:tcW w:w="980" w:type="dxa"/>
            <w:vAlign w:val="bottom"/>
          </w:tcPr>
          <w:p>
            <w:pPr>
              <w:spacing w:after="0"/>
              <w:rPr>
                <w:sz w:val="20"/>
                <w:szCs w:val="20"/>
                <w:color w:val="auto"/>
              </w:rPr>
            </w:pPr>
          </w:p>
        </w:tc>
      </w:tr>
      <w:tr>
        <w:trPr>
          <w:trHeight w:val="425"/>
        </w:trPr>
        <w:tc>
          <w:tcPr>
            <w:tcW w:w="1046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71</w:t>
            </w:r>
          </w:p>
        </w:tc>
        <w:tc>
          <w:tcPr>
            <w:tcW w:w="980" w:type="dxa"/>
            <w:vAlign w:val="bottom"/>
          </w:tcPr>
          <w:p>
            <w:pPr>
              <w:spacing w:after="0"/>
              <w:rPr>
                <w:sz w:val="24"/>
                <w:szCs w:val="24"/>
                <w:color w:val="auto"/>
              </w:rPr>
            </w:pPr>
          </w:p>
        </w:tc>
      </w:tr>
      <w:tr>
        <w:trPr>
          <w:trHeight w:val="125"/>
        </w:trPr>
        <w:tc>
          <w:tcPr>
            <w:tcW w:w="10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06" w:right="2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6"/>
        </w:trPr>
        <w:tc>
          <w:tcPr>
            <w:tcW w:w="10440" w:type="dxa"/>
            <w:vAlign w:val="bottom"/>
          </w:tcPr>
          <w:p>
            <w:pPr>
              <w:spacing w:after="0"/>
              <w:rPr>
                <w:sz w:val="16"/>
                <w:szCs w:val="16"/>
                <w:color w:val="auto"/>
              </w:rPr>
            </w:pP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98"/>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Smith International, Inc. 2010 Restricted Stock Unit Agreement (incorporated by reference to Exhibit 10.3 to Schlumberger’s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 ended September 30, 2010) (+)</w:t>
            </w:r>
          </w:p>
        </w:tc>
        <w:tc>
          <w:tcPr>
            <w:tcW w:w="940" w:type="dxa"/>
            <w:vAlign w:val="bottom"/>
          </w:tcPr>
          <w:p>
            <w:pPr>
              <w:spacing w:after="0"/>
              <w:rPr>
                <w:sz w:val="20"/>
                <w:szCs w:val="20"/>
                <w:color w:val="auto"/>
              </w:rPr>
            </w:pPr>
          </w:p>
        </w:tc>
      </w:tr>
      <w:tr>
        <w:trPr>
          <w:trHeight w:val="313"/>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Indemnification Agreement (incorporated by reference to Exhibit 10 to Schlumberger’s Current Report on Form 8-K filed on October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21, 2013)</w:t>
            </w:r>
          </w:p>
        </w:tc>
        <w:tc>
          <w:tcPr>
            <w:tcW w:w="940" w:type="dxa"/>
            <w:vAlign w:val="bottom"/>
          </w:tcPr>
          <w:p>
            <w:pPr>
              <w:spacing w:after="0"/>
              <w:rPr>
                <w:sz w:val="20"/>
                <w:szCs w:val="20"/>
                <w:color w:val="auto"/>
              </w:rPr>
            </w:pPr>
          </w:p>
        </w:tc>
      </w:tr>
      <w:tr>
        <w:trPr>
          <w:trHeight w:val="406"/>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2016 Three Year Performance Share Unit Award Agreement under the Schlumberger 2013 Omnibus Stock Incentive Plan, Applicable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13"/>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to Employees who did not receive a 2013 Transition Award (incorporated by reference to Exhibit 10.3 to Schlumberger’s Quarterly Report on</w:t>
            </w:r>
          </w:p>
        </w:tc>
        <w:tc>
          <w:tcPr>
            <w:tcW w:w="940" w:type="dxa"/>
            <w:vAlign w:val="bottom"/>
          </w:tcPr>
          <w:p>
            <w:pPr>
              <w:spacing w:after="0"/>
              <w:rPr>
                <w:sz w:val="18"/>
                <w:szCs w:val="18"/>
                <w:color w:val="auto"/>
              </w:rPr>
            </w:pP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10-Q for the quarter ended June 30, 2015) (+)</w:t>
            </w:r>
          </w:p>
        </w:tc>
        <w:tc>
          <w:tcPr>
            <w:tcW w:w="940" w:type="dxa"/>
            <w:vAlign w:val="bottom"/>
          </w:tcPr>
          <w:p>
            <w:pPr>
              <w:spacing w:after="0"/>
              <w:rPr>
                <w:sz w:val="20"/>
                <w:szCs w:val="20"/>
                <w:color w:val="auto"/>
              </w:rPr>
            </w:pPr>
          </w:p>
        </w:tc>
      </w:tr>
      <w:tr>
        <w:trPr>
          <w:trHeight w:val="406"/>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2016 Three Year Performance Share Unit Award Agreement under the Schlumberger 2013 Omnibus Stock Incentive Plan, Applicable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13"/>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to Employees who received a 2013 Transition Award (incorporated by reference to Exhibit 10.4 to Schlumberger’s Quarterly Report on Form</w:t>
            </w:r>
          </w:p>
        </w:tc>
        <w:tc>
          <w:tcPr>
            <w:tcW w:w="940" w:type="dxa"/>
            <w:vAlign w:val="bottom"/>
          </w:tcPr>
          <w:p>
            <w:pPr>
              <w:spacing w:after="0"/>
              <w:rPr>
                <w:sz w:val="18"/>
                <w:szCs w:val="18"/>
                <w:color w:val="auto"/>
              </w:rPr>
            </w:pP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10-Q for the quarter ended June 30, 2015) (+)</w:t>
            </w:r>
          </w:p>
        </w:tc>
        <w:tc>
          <w:tcPr>
            <w:tcW w:w="940" w:type="dxa"/>
            <w:vAlign w:val="bottom"/>
          </w:tcPr>
          <w:p>
            <w:pPr>
              <w:spacing w:after="0"/>
              <w:rPr>
                <w:sz w:val="20"/>
                <w:szCs w:val="20"/>
                <w:color w:val="auto"/>
              </w:rPr>
            </w:pPr>
          </w:p>
        </w:tc>
      </w:tr>
      <w:tr>
        <w:trPr>
          <w:trHeight w:val="406"/>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Incentive Stock Option Agreement under the Schlumberger 2010 Omnibus Stock Incentive Plan (incorporated by reference to Exhibit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10.6 to Schlumberger’s Quarterly Report on Form 10-Q for the quarter ended June 30, 2015) (+)</w:t>
            </w:r>
          </w:p>
        </w:tc>
        <w:tc>
          <w:tcPr>
            <w:tcW w:w="940" w:type="dxa"/>
            <w:vAlign w:val="bottom"/>
          </w:tcPr>
          <w:p>
            <w:pPr>
              <w:spacing w:after="0"/>
              <w:rPr>
                <w:sz w:val="20"/>
                <w:szCs w:val="20"/>
                <w:color w:val="auto"/>
              </w:rPr>
            </w:pPr>
          </w:p>
        </w:tc>
      </w:tr>
      <w:tr>
        <w:trPr>
          <w:trHeight w:val="406"/>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Restricted Stock Unit Award Agreement under the Schlumberger 2010 Omnibus Stock Incentive Plan (incorporated by reference to</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Exhibit 10.7 to Schlumberger’s Quarterly Report on Form 10-Q for the quarter ended June 30, 2015) (+)</w:t>
            </w:r>
          </w:p>
        </w:tc>
        <w:tc>
          <w:tcPr>
            <w:tcW w:w="940" w:type="dxa"/>
            <w:vAlign w:val="bottom"/>
          </w:tcPr>
          <w:p>
            <w:pPr>
              <w:spacing w:after="0"/>
              <w:rPr>
                <w:sz w:val="20"/>
                <w:szCs w:val="20"/>
                <w:color w:val="auto"/>
              </w:rPr>
            </w:pPr>
          </w:p>
        </w:tc>
      </w:tr>
      <w:tr>
        <w:trPr>
          <w:trHeight w:val="406"/>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Form of Non-Qualified Stock Option Agreement under the Schlumberger 2010 Omnibus Stock Incentive Plan (incorporated by reference to</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Exhibit 10.8 to Schlumberger’s Quarterly Report on Form 10-Q for the quarter ended June 30, 2015) (+)</w:t>
            </w:r>
          </w:p>
        </w:tc>
        <w:tc>
          <w:tcPr>
            <w:tcW w:w="940" w:type="dxa"/>
            <w:vAlign w:val="bottom"/>
          </w:tcPr>
          <w:p>
            <w:pPr>
              <w:spacing w:after="0"/>
              <w:rPr>
                <w:sz w:val="20"/>
                <w:szCs w:val="20"/>
                <w:color w:val="auto"/>
              </w:rPr>
            </w:pPr>
          </w:p>
        </w:tc>
      </w:tr>
      <w:tr>
        <w:trPr>
          <w:trHeight w:val="3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Powers of Attorney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as Adopted Pursuant to Section 302 of the Sarbanes-Oxley Act of 2002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3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as Adopted Pursuant to Section 302 of the Sarbanes-Oxley Act of 2002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313"/>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2002 (*)</w:t>
            </w:r>
          </w:p>
        </w:tc>
        <w:tc>
          <w:tcPr>
            <w:tcW w:w="940" w:type="dxa"/>
            <w:vAlign w:val="bottom"/>
          </w:tcPr>
          <w:p>
            <w:pPr>
              <w:spacing w:after="0"/>
              <w:rPr>
                <w:sz w:val="20"/>
                <w:szCs w:val="20"/>
                <w:color w:val="auto"/>
              </w:rPr>
            </w:pPr>
          </w:p>
        </w:tc>
      </w:tr>
      <w:tr>
        <w:trPr>
          <w:trHeight w:val="313"/>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 Act of</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2002 (*)</w:t>
            </w:r>
          </w:p>
        </w:tc>
        <w:tc>
          <w:tcPr>
            <w:tcW w:w="940" w:type="dxa"/>
            <w:vAlign w:val="bottom"/>
          </w:tcPr>
          <w:p>
            <w:pPr>
              <w:spacing w:after="0"/>
              <w:rPr>
                <w:sz w:val="20"/>
                <w:szCs w:val="20"/>
                <w:color w:val="auto"/>
              </w:rPr>
            </w:pPr>
          </w:p>
        </w:tc>
      </w:tr>
      <w:tr>
        <w:trPr>
          <w:trHeight w:val="3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Mine Safety Disclosure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32"/>
        </w:trPr>
        <w:tc>
          <w:tcPr>
            <w:tcW w:w="10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materials from Schlumberger Limited’s Annual Report on Form 10-K for the year ended December 31, 2015, formatted in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jc w:val="both"/>
        <w:ind w:right="1180"/>
        <w:spacing w:after="0" w:line="249" w:lineRule="auto"/>
        <w:rPr>
          <w:sz w:val="20"/>
          <w:szCs w:val="20"/>
          <w:color w:val="auto"/>
        </w:rPr>
      </w:pPr>
      <w:r>
        <w:rPr>
          <w:rFonts w:ascii="Times New Roman" w:cs="Times New Roman" w:eastAsia="Times New Roman" w:hAnsi="Times New Roman"/>
          <w:sz w:val="18"/>
          <w:szCs w:val="18"/>
          <w:color w:val="auto"/>
        </w:rPr>
        <w:t>XBRL (eXtensible Business Reporting Language): (i) Consolidated Statement of Income, (ii) Consolidated Statement of Comprehensive Income, (iii) Consolidated Balance Sheet, (iv) Consolidated Statement of Cash Flows, (v) Consolidated Statement of Equity and (vi) Notes to Consolidated Financial Statements. (*)</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Exhibits electronically filed with this Form 10-K. All other exhibits incorporated by reference.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contracts or compensatory plans or arrangements.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80"/>
          </w:cols>
          <w:pgMar w:left="260" w:top="116" w:right="25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Subsidiaries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Listed below are the significant subsidiaries of the Registrant as of December 31, 2015, and the states or jurisdictions in which they are incorporated or organized. The indentation reflects the principal parenting of each subsidiary. The names of other subsidiaries have been omitted from the list below, since they would not constitute, in the aggregate, a significant subsidiary as of December 31, 2014.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Antilles N.V., Curacao</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B.V., Netherlands</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Schlumberger Canada Limited, Canada</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Schlumberger SA, France</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Services Petroliers Schlumberger, France</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Schlumberger Norge AS, Norway</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Schlumberger Holdings Corporation, Delaware</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Technology Corporation, Texas</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Smith International Inc, Delaware</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Schlumberger UK Limited, UK</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M-I Holdings (UK) Limited, UK</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Plc, UK</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Schlumberger Oilfield UK Plc, UK</w:t>
      </w:r>
    </w:p>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 Holdings BV, Netherlands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Oilfield Holdings Limited, BVI</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Schlumberger Holdings Limited, BVI</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Dowell Schlumberger Corporation, BVI</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Logelco, Inc., Panama</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Middle East SA., Panama</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Offshore Services Limited, BVI</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Overseas, SA, Panama</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Seaco, Inc., Panama</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Schlumberger Surenco, SA, Panama</w:t>
      </w:r>
    </w:p>
    <w:p>
      <w:pPr>
        <w:sectPr>
          <w:pgSz w:w="11900" w:h="16838" w:orient="portrait"/>
          <w:cols w:equalWidth="0" w:num="1">
            <w:col w:w="11420"/>
          </w:cols>
          <w:pgMar w:left="240" w:top="119"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74" w:lineRule="exact"/>
        <w:rPr>
          <w:sz w:val="20"/>
          <w:szCs w:val="20"/>
          <w:color w:val="auto"/>
        </w:rPr>
      </w:pPr>
    </w:p>
    <w:p>
      <w:pPr>
        <w:ind w:right="120" w:firstLine="293"/>
        <w:spacing w:after="0" w:line="253"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333-36364; 333-36366; 333-104225; 333-115277; 333-124534; 333-151920; 333-173055, as amended by post-effective amendment on Form S-8; 333-188589; and 333-188590); on Form S-3 (Nos. 333-195342 and 333-190822); and on Form S-4 (Nos. 333-207260; 333-97899; and 333-166326, as amended by post-effective amendment on Form S-8) of Schlumberger Limited of our report dated January 27, 2016 relating to the consolidated financial statements and the effectiveness of internal control over financial reporting, which appears in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8943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27, 2016</w:t>
      </w:r>
    </w:p>
    <w:p>
      <w:pPr>
        <w:sectPr>
          <w:pgSz w:w="11900" w:h="16838" w:orient="portrait"/>
          <w:cols w:equalWidth="0" w:num="1">
            <w:col w:w="11420"/>
          </w:cols>
          <w:pgMar w:left="240" w:top="119"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Powers of Attorney</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Each of the undersigned, in the capacity or capacities set forth below his or her signature as a member of the Board of Directors and/or an officer of Schlumberger Limited, a Curaçao corporation, hereby appoints Simon Ayat, Howard Guild and Alexander C. Juden, or either of them, the attorney or attorneys of the undersigned, with full power of substitution and revocation, for and in the name, place and stead of the undersigned to execute and file with the Securities and Exchange Commission the Annual Report on Form 10-K under the Securities Exchange Act of 1934 (the “Exchange Act”) for the fiscal year ending December 31, 2015, and any amendment or amendments to any such Annual Report on Form 10-K, and any agreements, consents or waivers relative thereto, and to take any and all such other action for and in the name and place and stead of the undersigned as may be necessary or desirable in order to comply with the Exchange Act or the rules and regulations thereunder.</w:t>
      </w:r>
    </w:p>
    <w:p>
      <w:pPr>
        <w:sectPr>
          <w:pgSz w:w="11900" w:h="16838" w:orient="portrait"/>
          <w:cols w:equalWidth="0" w:num="1">
            <w:col w:w="11420"/>
          </w:cols>
          <w:pgMar w:left="240" w:top="1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6"/>
          <w:szCs w:val="16"/>
          <w:color w:val="auto"/>
        </w:rPr>
        <w:t>/s/ Peter L.S. Currie</w:t>
      </w:r>
    </w:p>
    <w:p>
      <w:pPr>
        <w:spacing w:after="0" w:line="2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6"/>
          <w:szCs w:val="16"/>
          <w:color w:val="auto"/>
        </w:rPr>
        <w:t>Peter L.S.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32575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3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6"/>
          <w:szCs w:val="16"/>
          <w:color w:val="auto"/>
        </w:rPr>
        <w:t>/s/ Maureen Kempston Darks</w:t>
      </w:r>
    </w:p>
    <w:p>
      <w:pPr>
        <w:spacing w:after="0" w:line="2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Maureen Kempston Darkes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32575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3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/s/ Paal Kibsgaard</w:t>
      </w:r>
    </w:p>
    <w:p>
      <w:pPr>
        <w:spacing w:after="0" w:line="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32575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5"/>
          <w:szCs w:val="15"/>
          <w:color w:val="auto"/>
        </w:rPr>
        <w:t>Chairman of the Board and Chief Executive Officer</w:t>
      </w:r>
    </w:p>
    <w:p>
      <w:pPr>
        <w:spacing w:after="0" w:line="200" w:lineRule="exact"/>
        <w:rPr>
          <w:sz w:val="20"/>
          <w:szCs w:val="20"/>
          <w:color w:val="auto"/>
        </w:rPr>
      </w:pPr>
    </w:p>
    <w:p>
      <w:pPr>
        <w:spacing w:after="0" w:line="39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/s/ Nikolay Kudryavtsev</w:t>
      </w:r>
    </w:p>
    <w:p>
      <w:pPr>
        <w:spacing w:after="0" w:line="2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6"/>
          <w:szCs w:val="16"/>
          <w:color w:val="auto"/>
        </w:rPr>
        <w:t>Nikolay Kudryavtsev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32575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3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6"/>
          <w:szCs w:val="16"/>
          <w:color w:val="auto"/>
        </w:rPr>
        <w:t>/s/ Michael E. Marks</w:t>
      </w:r>
    </w:p>
    <w:p>
      <w:pPr>
        <w:spacing w:after="0" w:line="2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Michael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32575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6"/>
          <w:szCs w:val="16"/>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/s/Indra K. Nooyi</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Indra K. Nooyi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-115570</wp:posOffset>
            </wp:positionV>
            <wp:extent cx="32486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Lubna S. Olayan</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Lubna S. Olayan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-115570</wp:posOffset>
            </wp:positionV>
            <wp:extent cx="32486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Leo Rafael Reif</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Leo Rafael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-115570</wp:posOffset>
            </wp:positionV>
            <wp:extent cx="32486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Tore Sandvold</w:t>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Tore Sandvold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-115570</wp:posOffset>
            </wp:positionV>
            <wp:extent cx="32486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 Henri Seydoux</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Henri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-115570</wp:posOffset>
            </wp:positionV>
            <wp:extent cx="32486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ectPr>
          <w:pgSz w:w="11900" w:h="16838" w:orient="portrait"/>
          <w:cols w:equalWidth="0" w:num="2">
            <w:col w:w="7520" w:space="720"/>
            <w:col w:w="3180"/>
          </w:cols>
          <w:pgMar w:left="240" w:top="119" w:right="239" w:bottom="1440" w:gutter="0" w:footer="0" w:header="0"/>
          <w:type w:val="continuous"/>
        </w:sect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January 27, 2016</w:t>
      </w:r>
    </w:p>
    <w:p>
      <w:pPr>
        <w:sectPr>
          <w:pgSz w:w="11900" w:h="16838" w:orient="portrait"/>
          <w:cols w:equalWidth="0" w:num="1">
            <w:col w:w="11420"/>
          </w:cols>
          <w:pgMar w:left="240" w:top="119" w:right="239" w:bottom="1440" w:gutter="0" w:footer="0" w:header="0"/>
          <w:type w:val="continuous"/>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Paal Kibsgaard, certify that:</w:t>
      </w:r>
    </w:p>
    <w:p>
      <w:pPr>
        <w:spacing w:after="0" w:line="112" w:lineRule="exact"/>
        <w:rPr>
          <w:sz w:val="20"/>
          <w:szCs w:val="20"/>
          <w:color w:val="auto"/>
        </w:rPr>
      </w:pPr>
    </w:p>
    <w:p>
      <w:pPr>
        <w:ind w:left="560" w:hanging="174"/>
        <w:spacing w:after="0"/>
        <w:tabs>
          <w:tab w:leader="none" w:pos="5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Schlumberger Limited;</w:t>
      </w:r>
    </w:p>
    <w:p>
      <w:pPr>
        <w:spacing w:after="0" w:line="111" w:lineRule="exact"/>
        <w:rPr>
          <w:rFonts w:ascii="Times New Roman" w:cs="Times New Roman" w:eastAsia="Times New Roman" w:hAnsi="Times New Roman"/>
          <w:sz w:val="18"/>
          <w:szCs w:val="18"/>
          <w:color w:val="auto"/>
        </w:rPr>
      </w:pPr>
    </w:p>
    <w:p>
      <w:pPr>
        <w:ind w:firstLine="386"/>
        <w:spacing w:after="0" w:line="275" w:lineRule="auto"/>
        <w:tabs>
          <w:tab w:leader="none" w:pos="57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8"/>
          <w:szCs w:val="18"/>
          <w:color w:val="auto"/>
        </w:rPr>
      </w:pPr>
    </w:p>
    <w:p>
      <w:pPr>
        <w:ind w:firstLine="386"/>
        <w:spacing w:after="0" w:line="275" w:lineRule="auto"/>
        <w:tabs>
          <w:tab w:leader="none" w:pos="58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firstLine="386"/>
        <w:spacing w:after="0" w:line="260" w:lineRule="auto"/>
        <w:tabs>
          <w:tab w:leader="none" w:pos="55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firstLine="386"/>
        <w:spacing w:after="0" w:line="275" w:lineRule="auto"/>
        <w:tabs>
          <w:tab w:leader="none" w:pos="57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27, 2016</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Paal Kibsgaard</w:t>
            </w:r>
          </w:p>
        </w:tc>
      </w:tr>
      <w:tr>
        <w:trPr>
          <w:trHeight w:val="188"/>
        </w:trPr>
        <w:tc>
          <w:tcPr>
            <w:tcW w:w="6860" w:type="dxa"/>
            <w:vAlign w:val="bottom"/>
          </w:tcPr>
          <w:p>
            <w:pPr>
              <w:spacing w:after="0"/>
              <w:rPr>
                <w:sz w:val="16"/>
                <w:szCs w:val="16"/>
                <w:color w:val="auto"/>
              </w:rPr>
            </w:pPr>
          </w:p>
        </w:tc>
        <w:tc>
          <w:tcPr>
            <w:tcW w:w="456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color w:val="auto"/>
              </w:rPr>
              <w:t>Paal Kibsgaard</w:t>
            </w:r>
          </w:p>
        </w:tc>
      </w:tr>
      <w:tr>
        <w:trPr>
          <w:trHeight w:val="232"/>
        </w:trPr>
        <w:tc>
          <w:tcPr>
            <w:tcW w:w="686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420"/>
          </w:cols>
          <w:pgMar w:left="240" w:top="119" w:right="2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Simon Ayat, certify that:</w:t>
      </w:r>
    </w:p>
    <w:p>
      <w:pPr>
        <w:spacing w:after="0" w:line="112" w:lineRule="exact"/>
        <w:rPr>
          <w:sz w:val="20"/>
          <w:szCs w:val="20"/>
          <w:color w:val="auto"/>
        </w:rPr>
      </w:pPr>
    </w:p>
    <w:p>
      <w:pPr>
        <w:ind w:left="560" w:hanging="174"/>
        <w:spacing w:after="0"/>
        <w:tabs>
          <w:tab w:leader="none" w:pos="5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Schlumberger Limited;</w:t>
      </w:r>
    </w:p>
    <w:p>
      <w:pPr>
        <w:spacing w:after="0" w:line="111" w:lineRule="exact"/>
        <w:rPr>
          <w:rFonts w:ascii="Times New Roman" w:cs="Times New Roman" w:eastAsia="Times New Roman" w:hAnsi="Times New Roman"/>
          <w:sz w:val="18"/>
          <w:szCs w:val="18"/>
          <w:color w:val="auto"/>
        </w:rPr>
      </w:pPr>
    </w:p>
    <w:p>
      <w:pPr>
        <w:ind w:firstLine="386"/>
        <w:spacing w:after="0" w:line="275" w:lineRule="auto"/>
        <w:tabs>
          <w:tab w:leader="none" w:pos="57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8"/>
          <w:szCs w:val="18"/>
          <w:color w:val="auto"/>
        </w:rPr>
      </w:pPr>
    </w:p>
    <w:p>
      <w:pPr>
        <w:ind w:firstLine="386"/>
        <w:spacing w:after="0" w:line="275" w:lineRule="auto"/>
        <w:tabs>
          <w:tab w:leader="none" w:pos="58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firstLine="386"/>
        <w:spacing w:after="0" w:line="260" w:lineRule="auto"/>
        <w:tabs>
          <w:tab w:leader="none" w:pos="55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firstLine="386"/>
        <w:spacing w:after="0" w:line="275" w:lineRule="auto"/>
        <w:tabs>
          <w:tab w:leader="none" w:pos="57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27, 2016</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Simon Ayat</w:t>
            </w:r>
          </w:p>
        </w:tc>
      </w:tr>
      <w:tr>
        <w:trPr>
          <w:trHeight w:val="188"/>
        </w:trPr>
        <w:tc>
          <w:tcPr>
            <w:tcW w:w="6860" w:type="dxa"/>
            <w:vAlign w:val="bottom"/>
          </w:tcPr>
          <w:p>
            <w:pPr>
              <w:spacing w:after="0"/>
              <w:rPr>
                <w:sz w:val="16"/>
                <w:szCs w:val="16"/>
                <w:color w:val="auto"/>
              </w:rPr>
            </w:pPr>
          </w:p>
        </w:tc>
        <w:tc>
          <w:tcPr>
            <w:tcW w:w="45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Simon Ayat</w:t>
            </w:r>
          </w:p>
        </w:tc>
      </w:tr>
      <w:tr>
        <w:trPr>
          <w:trHeight w:val="232"/>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420"/>
          </w:cols>
          <w:pgMar w:left="240" w:top="119"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Annual Report on Form 10-K of Schlumberger N.V. (Schlumberger Limited) (the “Company”) for the year ended December 31, 2015 as filed with the Securities and Exchange Commission on the date hereof (the “Report”), I, Paal Kibsgaard, Chief Executive Officer of the Company, certify, pursuant to 18 U.S.C. § 1350, as adopted pursuant to § 906 of the Sarbanes-Oxley Act of 2002, that:</w:t>
      </w:r>
    </w:p>
    <w:p>
      <w:pPr>
        <w:spacing w:after="0" w:line="71" w:lineRule="exact"/>
        <w:rPr>
          <w:sz w:val="20"/>
          <w:szCs w:val="20"/>
          <w:color w:val="auto"/>
        </w:rPr>
      </w:pPr>
    </w:p>
    <w:p>
      <w:pPr>
        <w:ind w:left="1020" w:hanging="509"/>
        <w:spacing w:after="0" w:line="275"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7" w:lineRule="exact"/>
        <w:rPr>
          <w:rFonts w:ascii="Times New Roman" w:cs="Times New Roman" w:eastAsia="Times New Roman" w:hAnsi="Times New Roman"/>
          <w:sz w:val="18"/>
          <w:szCs w:val="18"/>
          <w:color w:val="auto"/>
        </w:rPr>
      </w:pPr>
    </w:p>
    <w:p>
      <w:pPr>
        <w:ind w:left="1020" w:hanging="509"/>
        <w:spacing w:after="0"/>
        <w:tabs>
          <w:tab w:leader="none" w:pos="10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27, 2016</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Paal Kibsgaard</w:t>
            </w:r>
          </w:p>
        </w:tc>
      </w:tr>
      <w:tr>
        <w:trPr>
          <w:trHeight w:val="188"/>
        </w:trPr>
        <w:tc>
          <w:tcPr>
            <w:tcW w:w="6860" w:type="dxa"/>
            <w:vAlign w:val="bottom"/>
          </w:tcPr>
          <w:p>
            <w:pPr>
              <w:spacing w:after="0"/>
              <w:rPr>
                <w:sz w:val="16"/>
                <w:szCs w:val="16"/>
                <w:color w:val="auto"/>
              </w:rPr>
            </w:pPr>
          </w:p>
        </w:tc>
        <w:tc>
          <w:tcPr>
            <w:tcW w:w="456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color w:val="auto"/>
              </w:rPr>
              <w:t>Paal Kibsgaard</w:t>
            </w:r>
          </w:p>
        </w:tc>
      </w:tr>
      <w:tr>
        <w:trPr>
          <w:trHeight w:val="232"/>
        </w:trPr>
        <w:tc>
          <w:tcPr>
            <w:tcW w:w="686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19" w:right="2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Annual Report on Form 10-K of Schlumberger N.V. (Schlumberger Limited) (the “Company”) for the year ended December 31, 2015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71" w:lineRule="exact"/>
        <w:rPr>
          <w:sz w:val="20"/>
          <w:szCs w:val="20"/>
          <w:color w:val="auto"/>
        </w:rPr>
      </w:pPr>
    </w:p>
    <w:p>
      <w:pPr>
        <w:ind w:left="1020" w:hanging="509"/>
        <w:spacing w:after="0" w:line="275"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7" w:lineRule="exact"/>
        <w:rPr>
          <w:rFonts w:ascii="Times New Roman" w:cs="Times New Roman" w:eastAsia="Times New Roman" w:hAnsi="Times New Roman"/>
          <w:sz w:val="18"/>
          <w:szCs w:val="18"/>
          <w:color w:val="auto"/>
        </w:rPr>
      </w:pPr>
    </w:p>
    <w:p>
      <w:pPr>
        <w:ind w:left="1020" w:hanging="509"/>
        <w:spacing w:after="0"/>
        <w:tabs>
          <w:tab w:leader="none" w:pos="10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27, 2016</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Simon Ayat</w:t>
            </w:r>
          </w:p>
        </w:tc>
      </w:tr>
      <w:tr>
        <w:trPr>
          <w:trHeight w:val="188"/>
        </w:trPr>
        <w:tc>
          <w:tcPr>
            <w:tcW w:w="6860" w:type="dxa"/>
            <w:vAlign w:val="bottom"/>
          </w:tcPr>
          <w:p>
            <w:pPr>
              <w:spacing w:after="0"/>
              <w:rPr>
                <w:sz w:val="16"/>
                <w:szCs w:val="16"/>
                <w:color w:val="auto"/>
              </w:rPr>
            </w:pPr>
          </w:p>
        </w:tc>
        <w:tc>
          <w:tcPr>
            <w:tcW w:w="45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Simon Ayat</w:t>
            </w:r>
          </w:p>
        </w:tc>
      </w:tr>
      <w:tr>
        <w:trPr>
          <w:trHeight w:val="232"/>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19" w:right="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95</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220" w:lineRule="exact"/>
        <w:rPr>
          <w:sz w:val="20"/>
          <w:szCs w:val="20"/>
          <w:color w:val="auto"/>
        </w:rPr>
      </w:pPr>
    </w:p>
    <w:p>
      <w:pPr>
        <w:ind w:right="20" w:firstLine="518"/>
        <w:spacing w:after="0" w:line="260" w:lineRule="auto"/>
        <w:rPr>
          <w:sz w:val="20"/>
          <w:szCs w:val="20"/>
          <w:color w:val="auto"/>
        </w:rPr>
      </w:pPr>
      <w:r>
        <w:rPr>
          <w:rFonts w:ascii="Times New Roman" w:cs="Times New Roman" w:eastAsia="Times New Roman" w:hAnsi="Times New Roman"/>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78" w:lineRule="exact"/>
        <w:rPr>
          <w:sz w:val="20"/>
          <w:szCs w:val="20"/>
          <w:color w:val="auto"/>
        </w:rPr>
      </w:pPr>
    </w:p>
    <w:p>
      <w:pPr>
        <w:jc w:val="both"/>
        <w:ind w:right="20" w:firstLine="518"/>
        <w:spacing w:after="0" w:line="260" w:lineRule="auto"/>
        <w:rPr>
          <w:sz w:val="20"/>
          <w:szCs w:val="20"/>
          <w:color w:val="auto"/>
        </w:rPr>
      </w:pPr>
      <w:r>
        <w:rPr>
          <w:rFonts w:ascii="Times New Roman" w:cs="Times New Roman" w:eastAsia="Times New Roman" w:hAnsi="Times New Roman"/>
          <w:sz w:val="18"/>
          <w:szCs w:val="18"/>
          <w:color w:val="auto"/>
        </w:rPr>
        <w:t xml:space="preserve">The table that follows reflects citations, orders, violations and proposed assessments issued by the Mine Safety and Health Administration (the “MSHA”) to M-I LLC, an indirect wholly-owned subsidiary of Schlumberger. The disclosure is with respect to the full year ended December 31, 2015. Due to timing and other factors, the data may not agree with the mine data retrieval system maintained by the MSHA at </w:t>
      </w:r>
      <w:r>
        <w:rPr>
          <w:rFonts w:ascii="Times New Roman" w:cs="Times New Roman" w:eastAsia="Times New Roman" w:hAnsi="Times New Roman"/>
          <w:sz w:val="18"/>
          <w:szCs w:val="18"/>
          <w:u w:val="single" w:color="auto"/>
          <w:color w:val="auto"/>
        </w:rPr>
        <w:t>www.MSHA.gov</w:t>
      </w:r>
      <w:r>
        <w:rPr>
          <w:rFonts w:ascii="Times New Roman" w:cs="Times New Roman" w:eastAsia="Times New Roman" w:hAnsi="Times New Roman"/>
          <w:sz w:val="18"/>
          <w:szCs w:val="18"/>
          <w:color w:val="auto"/>
        </w:rPr>
        <w:t>.</w:t>
      </w:r>
    </w:p>
    <w:p>
      <w:pPr>
        <w:spacing w:after="0" w:line="2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u w:val="single" w:color="auto"/>
          <w:color w:val="auto"/>
        </w:rPr>
        <w:t>Full Year 2015</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(whole dollars)</w:t>
      </w: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138"/>
        </w:trPr>
        <w:tc>
          <w:tcPr>
            <w:tcW w:w="1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Received</w:t>
            </w: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Notice of</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Received</w:t>
            </w:r>
          </w:p>
        </w:tc>
        <w:tc>
          <w:tcPr>
            <w:tcW w:w="6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Potential to</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Notice of</w:t>
            </w:r>
          </w:p>
        </w:tc>
        <w:tc>
          <w:tcPr>
            <w:tcW w:w="6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Have Pattern</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Legal</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Section</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Pattern of</w:t>
            </w:r>
          </w:p>
        </w:tc>
        <w:tc>
          <w:tcPr>
            <w:tcW w:w="6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Under</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Actions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Section 104</w:t>
            </w:r>
          </w:p>
        </w:tc>
        <w:tc>
          <w:tcPr>
            <w:tcW w:w="780" w:type="dxa"/>
            <w:vAlign w:val="bottom"/>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104(d)</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Mining</w:t>
            </w:r>
          </w:p>
        </w:tc>
        <w:tc>
          <w:tcPr>
            <w:tcW w:w="8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Violations</w:t>
            </w:r>
          </w:p>
        </w:tc>
        <w:tc>
          <w:tcPr>
            <w:tcW w:w="6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Section</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Pending as of</w:t>
            </w:r>
          </w:p>
        </w:tc>
        <w:tc>
          <w:tcPr>
            <w:tcW w:w="8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Legal Actions</w:t>
            </w:r>
          </w:p>
        </w:tc>
        <w:tc>
          <w:tcPr>
            <w:tcW w:w="8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Legal Actions</w:t>
            </w: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Mine or Operating Name/MSHA</w:t>
            </w:r>
          </w:p>
        </w:tc>
        <w:tc>
          <w:tcPr>
            <w:tcW w:w="6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S&amp;S</w:t>
            </w:r>
          </w:p>
        </w:tc>
        <w:tc>
          <w:tcPr>
            <w:tcW w:w="7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Section 104(b)</w:t>
            </w: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Citations</w:t>
            </w:r>
          </w:p>
        </w:tc>
        <w:tc>
          <w:tcPr>
            <w:tcW w:w="158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2"/>
                <w:szCs w:val="12"/>
                <w:color w:val="auto"/>
              </w:rPr>
              <w:t>Section 110(b) Section 107(a)</w:t>
            </w:r>
          </w:p>
        </w:tc>
        <w:tc>
          <w:tcPr>
            <w:tcW w:w="9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Proposed MSHA</w:t>
            </w:r>
          </w:p>
        </w:tc>
        <w:tc>
          <w:tcPr>
            <w:tcW w:w="5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Related</w:t>
            </w:r>
          </w:p>
        </w:tc>
        <w:tc>
          <w:tcPr>
            <w:tcW w:w="8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Under Section</w:t>
            </w:r>
          </w:p>
        </w:tc>
        <w:tc>
          <w:tcPr>
            <w:tcW w:w="6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104(e)</w:t>
            </w:r>
          </w:p>
        </w:tc>
        <w:tc>
          <w:tcPr>
            <w:tcW w:w="152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Last Day of Initiated During</w:t>
            </w:r>
          </w:p>
        </w:tc>
        <w:tc>
          <w:tcPr>
            <w:tcW w:w="8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Resolved</w:t>
            </w:r>
          </w:p>
        </w:tc>
        <w:tc>
          <w:tcPr>
            <w:tcW w:w="0" w:type="dxa"/>
            <w:vAlign w:val="bottom"/>
          </w:tcPr>
          <w:p>
            <w:pPr>
              <w:spacing w:after="0"/>
              <w:rPr>
                <w:sz w:val="1"/>
                <w:szCs w:val="1"/>
                <w:color w:val="auto"/>
              </w:rPr>
            </w:pPr>
          </w:p>
        </w:tc>
      </w:tr>
      <w:tr>
        <w:trPr>
          <w:trHeight w:val="151"/>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Identification Number</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Citations</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Orders</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and Orders</w:t>
            </w:r>
          </w:p>
        </w:tc>
        <w:tc>
          <w:tcPr>
            <w:tcW w:w="8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2"/>
                <w:szCs w:val="12"/>
                <w:color w:val="auto"/>
              </w:rPr>
              <w:t>(2) Violations</w:t>
            </w:r>
          </w:p>
        </w:tc>
        <w:tc>
          <w:tcPr>
            <w:tcW w:w="70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2"/>
                <w:szCs w:val="12"/>
                <w:color w:val="auto"/>
              </w:rPr>
              <w:t>Orders</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Assessments</w:t>
            </w:r>
            <w:r>
              <w:rPr>
                <w:rFonts w:ascii="Times New Roman" w:cs="Times New Roman" w:eastAsia="Times New Roman" w:hAnsi="Times New Roman"/>
                <w:sz w:val="10"/>
                <w:szCs w:val="10"/>
                <w:color w:val="auto"/>
              </w:rPr>
              <w:t>(1)</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Fatalities</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104(e) (yes/no)</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(yes/no)</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Period</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Period</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During Period</w:t>
            </w:r>
          </w:p>
        </w:tc>
        <w:tc>
          <w:tcPr>
            <w:tcW w:w="0" w:type="dxa"/>
            <w:vAlign w:val="bottom"/>
          </w:tcPr>
          <w:p>
            <w:pPr>
              <w:spacing w:after="0"/>
              <w:rPr>
                <w:sz w:val="1"/>
                <w:szCs w:val="1"/>
                <w:color w:val="auto"/>
              </w:rPr>
            </w:pPr>
          </w:p>
        </w:tc>
      </w:tr>
      <w:tr>
        <w:trPr>
          <w:trHeight w:val="268"/>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Amelia Barite Plant/1600825</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8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238"/>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Battle Mountain Grinding</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80" w:type="dxa"/>
            <w:vAlign w:val="bottom"/>
            <w:vMerge w:val="restart"/>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8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Plant/2600828</w:t>
            </w:r>
          </w:p>
        </w:tc>
        <w:tc>
          <w:tcPr>
            <w:tcW w:w="6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8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Galveston GBT Barite Grinding</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80" w:type="dxa"/>
            <w:vAlign w:val="bottom"/>
            <w:vMerge w:val="restart"/>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$408</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8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Plant/4104675</w:t>
            </w:r>
          </w:p>
        </w:tc>
        <w:tc>
          <w:tcPr>
            <w:tcW w:w="6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8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Greybull Milling Operation/4800602</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8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$834</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266"/>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Greybull Mining Operation/4800603</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8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$500</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266"/>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Greystone Mine/2600411</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8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$1,369</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266"/>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MI SWACO-Alpine/4104829</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8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238"/>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MI SWACO-Brownsville Grinding</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80" w:type="dxa"/>
            <w:vAlign w:val="bottom"/>
            <w:vMerge w:val="restart"/>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$100</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8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Plant/4103033</w:t>
            </w:r>
          </w:p>
        </w:tc>
        <w:tc>
          <w:tcPr>
            <w:tcW w:w="6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8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840" w:type="dxa"/>
            <w:vAlign w:val="bottom"/>
          </w:tcPr>
          <w:p>
            <w:pPr>
              <w:spacing w:after="0"/>
              <w:rPr>
                <w:sz w:val="20"/>
                <w:szCs w:val="20"/>
                <w:color w:val="auto"/>
              </w:rPr>
            </w:pPr>
            <w:r>
              <w:rPr>
                <w:rFonts w:ascii="Times New Roman" w:cs="Times New Roman" w:eastAsia="Times New Roman" w:hAnsi="Times New Roman"/>
                <w:sz w:val="12"/>
                <w:szCs w:val="12"/>
                <w:color w:val="auto"/>
              </w:rPr>
              <w:t>Mountain Springs Beneficiation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80" w:type="dxa"/>
            <w:vAlign w:val="bottom"/>
            <w:vMerge w:val="restart"/>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70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$1,786</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8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Plant/2601390</w:t>
            </w:r>
          </w:p>
        </w:tc>
        <w:tc>
          <w:tcPr>
            <w:tcW w:w="6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8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right="120" w:hanging="514"/>
        <w:spacing w:after="0" w:line="270" w:lineRule="auto"/>
        <w:tabs>
          <w:tab w:leader="none" w:pos="5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included are the total dollar value of proposed assessments received from MSHA on or before December 31, 2015, regardless of whether the assessment has been challenged or appealed, for citations and orders occurring during the full year 2015.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sectPr>
      <w:pgSz w:w="11900" w:h="16838" w:orient="portrait"/>
      <w:cols w:equalWidth="0" w:num="1">
        <w:col w:w="11420"/>
      </w:cols>
      <w:pgMar w:left="240" w:top="1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2"/>
    </w:lvl>
  </w:abstractNum>
  <w:abstractNum w:abstractNumId="26">
    <w:nsid w:val="725A06FB"/>
    <w:multiLevelType w:val="hybridMultilevel"/>
    <w:lvl w:ilvl="0">
      <w:lvlJc w:val="left"/>
      <w:lvlText w:val="%1."/>
      <w:numFmt w:val="decimal"/>
      <w:start w:val="3"/>
    </w:lvl>
  </w:abstractNum>
  <w:abstractNum w:abstractNumId="27">
    <w:nsid w:val="2CD89A32"/>
    <w:multiLevelType w:val="hybridMultilevel"/>
    <w:lvl w:ilvl="0">
      <w:lvlJc w:val="left"/>
      <w:lvlText w:val="·"/>
      <w:numFmt w:val="bullet"/>
      <w:start w:val="1"/>
    </w:lvl>
    <w:lvl w:ilvl="1">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1."/>
      <w:numFmt w:val="decimal"/>
      <w:start w:val="4"/>
    </w:lvl>
  </w:abstractNum>
  <w:abstractNum w:abstractNumId="33">
    <w:nsid w:val="38437FDB"/>
    <w:multiLevelType w:val="hybridMultilevel"/>
    <w:lvl w:ilvl="0">
      <w:lvlJc w:val="left"/>
      <w:lvlText w:val="%1."/>
      <w:numFmt w:val="decimal"/>
      <w:start w:val="5"/>
    </w:lvl>
  </w:abstractNum>
  <w:abstractNum w:abstractNumId="34">
    <w:nsid w:val="7644A45C"/>
    <w:multiLevelType w:val="hybridMultilevel"/>
    <w:lvl w:ilvl="0">
      <w:lvlJc w:val="left"/>
      <w:lvlText w:val="%1."/>
      <w:numFmt w:val="decimal"/>
      <w:start w:val="7"/>
    </w:lvl>
  </w:abstractNum>
  <w:abstractNum w:abstractNumId="35">
    <w:nsid w:val="32FFF902"/>
    <w:multiLevelType w:val="hybridMultilevel"/>
    <w:lvl w:ilvl="0">
      <w:lvlJc w:val="left"/>
      <w:lvlText w:val="%1."/>
      <w:numFmt w:val="decimal"/>
      <w:start w:val="8"/>
    </w:lvl>
  </w:abstractNum>
  <w:abstractNum w:abstractNumId="36">
    <w:nsid w:val="684A481A"/>
    <w:multiLevelType w:val="hybridMultilevel"/>
    <w:lvl w:ilvl="0">
      <w:lvlJc w:val="left"/>
      <w:lvlText w:val="%1."/>
      <w:numFmt w:val="decimal"/>
      <w:start w:val="10"/>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decimal"/>
      <w:start w:val="11"/>
    </w:lvl>
  </w:abstractNum>
  <w:abstractNum w:abstractNumId="39">
    <w:nsid w:val="3DC240FB"/>
    <w:multiLevelType w:val="hybridMultilevel"/>
    <w:lvl w:ilvl="0">
      <w:lvlJc w:val="left"/>
      <w:lvlText w:val="%1."/>
      <w:numFmt w:val="decimal"/>
      <w:start w:val="12"/>
    </w:lvl>
  </w:abstractNum>
  <w:abstractNum w:abstractNumId="40">
    <w:nsid w:val="1BA026FA"/>
    <w:multiLevelType w:val="hybridMultilevel"/>
    <w:lvl w:ilvl="0">
      <w:lvlJc w:val="left"/>
      <w:lvlText w:val="%1."/>
      <w:numFmt w:val="decimal"/>
      <w:start w:val="13"/>
    </w:lvl>
  </w:abstractNum>
  <w:abstractNum w:abstractNumId="41">
    <w:nsid w:val="79A1DEAA"/>
    <w:multiLevelType w:val="hybridMultilevel"/>
    <w:lvl w:ilvl="0">
      <w:lvlJc w:val="left"/>
      <w:lvlText w:val="%1."/>
      <w:numFmt w:val="decimal"/>
      <w:start w:val="14"/>
    </w:lvl>
  </w:abstractNum>
  <w:abstractNum w:abstractNumId="42">
    <w:nsid w:val="75C6C33A"/>
    <w:multiLevelType w:val="hybridMultilevel"/>
    <w:lvl w:ilvl="0">
      <w:lvlJc w:val="left"/>
      <w:lvlText w:val="%1."/>
      <w:numFmt w:val="decimal"/>
      <w:start w:val="15"/>
    </w:lvl>
  </w:abstractNum>
  <w:abstractNum w:abstractNumId="43">
    <w:nsid w:val="12E685FB"/>
    <w:multiLevelType w:val="hybridMultilevel"/>
    <w:lvl w:ilvl="0">
      <w:lvlJc w:val="left"/>
      <w:lvlText w:val="%1."/>
      <w:numFmt w:val="decimal"/>
      <w:start w:val="16"/>
    </w:lvl>
  </w:abstractNum>
  <w:abstractNum w:abstractNumId="44">
    <w:nsid w:val="70C6A529"/>
    <w:multiLevelType w:val="hybridMultilevel"/>
    <w:lvl w:ilvl="0">
      <w:lvlJc w:val="left"/>
      <w:lvlText w:val="%1."/>
      <w:numFmt w:val="decimal"/>
      <w:start w:val="17"/>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18"/>
    </w:lvl>
  </w:abstractNum>
  <w:abstractNum w:abstractNumId="49">
    <w:nsid w:val="649BB77C"/>
    <w:multiLevelType w:val="hybridMultilevel"/>
    <w:lvl w:ilvl="0">
      <w:lvlJc w:val="left"/>
      <w:lvlText w:val="●"/>
      <w:numFmt w:val="bullet"/>
      <w:start w:val="1"/>
    </w:lvl>
    <w:lvl w:ilvl="1">
      <w:lvlJc w:val="left"/>
      <w:lvlText w:val="●"/>
      <w:numFmt w:val="bullet"/>
      <w:start w:val="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decimal"/>
      <w:start w:val="19"/>
    </w:lvl>
  </w:abstractNum>
  <w:abstractNum w:abstractNumId="52">
    <w:nsid w:val="1CF10FD8"/>
    <w:multiLevelType w:val="hybridMultilevel"/>
    <w:lvl w:ilvl="0">
      <w:lvlJc w:val="left"/>
      <w:lvlText w:val="%1."/>
      <w:numFmt w:val="decimal"/>
      <w:start w:val="20"/>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1)"/>
      <w:numFmt w:val="decimal"/>
      <w:start w:val="2"/>
    </w:lvl>
  </w:abstractNum>
  <w:abstractNum w:abstractNumId="56">
    <w:nsid w:val="354FE9F9"/>
    <w:multiLevelType w:val="hybridMultilevel"/>
    <w:lvl w:ilvl="0">
      <w:lvlJc w:val="left"/>
      <w:lvlText w:val="%1."/>
      <w:numFmt w:val="decimal"/>
      <w:start w:val="1"/>
    </w:lvl>
    <w:lvl w:ilvl="1">
      <w:lvlJc w:val="left"/>
      <w:lvlText w:val="%2)"/>
      <w:numFmt w:val="lowerLetter"/>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2019-12-29T13:57:20Z</dcterms:created>
  <dcterms:modified xsi:type="dcterms:W3CDTF">2019-12-29T13:57:20Z</dcterms:modified>
</cp:coreProperties>
</file>