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UNDER SECTION 13 OR 15(d)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177800</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8"/>
              </w:rPr>
              <w:t>Netherlands Antilles</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8"/>
              </w:rPr>
              <w:t>(State or other jurisdiction of</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9"/>
              </w:rPr>
              <w:t>incorporation or organization)</w:t>
            </w:r>
          </w:p>
        </w:tc>
        <w:tc>
          <w:tcPr>
            <w:tcW w:w="4120" w:type="dxa"/>
            <w:vAlign w:val="bottom"/>
          </w:tcPr>
          <w:p>
            <w:pPr>
              <w:spacing w:after="0"/>
              <w:rPr>
                <w:sz w:val="19"/>
                <w:szCs w:val="19"/>
                <w:color w:val="auto"/>
              </w:rPr>
            </w:pPr>
          </w:p>
        </w:tc>
      </w:tr>
      <w:tr>
        <w:trPr>
          <w:trHeight w:val="325"/>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8"/>
              </w:rPr>
              <w:t>153 East 53 Street, 57th Floor</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10022</w:t>
            </w:r>
          </w:p>
        </w:tc>
      </w:tr>
      <w:tr>
        <w:trPr>
          <w:trHeight w:val="228"/>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90"/>
              </w:rPr>
              <w:t>New York, New York, U.S.A.</w:t>
            </w:r>
          </w:p>
        </w:tc>
        <w:tc>
          <w:tcPr>
            <w:tcW w:w="4120" w:type="dxa"/>
            <w:vAlign w:val="bottom"/>
          </w:tcPr>
          <w:p>
            <w:pPr>
              <w:spacing w:after="0"/>
              <w:rPr>
                <w:sz w:val="19"/>
                <w:szCs w:val="19"/>
                <w:color w:val="auto"/>
              </w:rPr>
            </w:pPr>
          </w:p>
        </w:tc>
      </w:tr>
      <w:tr>
        <w:trPr>
          <w:trHeight w:val="325"/>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8"/>
              </w:rPr>
              <w:t>42, rue Saint-Dominique</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90"/>
              </w:rPr>
              <w:t>Paris, France</w:t>
            </w:r>
          </w:p>
        </w:tc>
        <w:tc>
          <w:tcPr>
            <w:tcW w:w="4120" w:type="dxa"/>
            <w:vAlign w:val="bottom"/>
          </w:tcPr>
          <w:p>
            <w:pPr>
              <w:spacing w:after="0"/>
              <w:rPr>
                <w:sz w:val="19"/>
                <w:szCs w:val="19"/>
                <w:color w:val="auto"/>
              </w:rPr>
            </w:pPr>
          </w:p>
        </w:tc>
      </w:tr>
      <w:tr>
        <w:trPr>
          <w:trHeight w:val="325"/>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9"/>
              </w:rPr>
              <w:t>Parkstraat 83, The Hague,</w:t>
            </w:r>
          </w:p>
        </w:tc>
        <w:tc>
          <w:tcPr>
            <w:tcW w:w="4120" w:type="dxa"/>
            <w:vAlign w:val="bottom"/>
          </w:tcPr>
          <w:p>
            <w:pPr>
              <w:spacing w:after="0"/>
              <w:rPr>
                <w:sz w:val="24"/>
                <w:szCs w:val="24"/>
                <w:color w:val="auto"/>
              </w:rPr>
            </w:pPr>
          </w:p>
        </w:tc>
      </w:tr>
      <w:tr>
        <w:trPr>
          <w:trHeight w:val="230"/>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9"/>
              </w:rPr>
              <w:t>The Netherlands</w:t>
            </w:r>
          </w:p>
        </w:tc>
        <w:tc>
          <w:tcPr>
            <w:tcW w:w="412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620" w:type="dxa"/>
            <w:vAlign w:val="bottom"/>
          </w:tcPr>
          <w:p>
            <w:pPr>
              <w:jc w:val="center"/>
              <w:ind w:right="147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88"/>
              </w:rPr>
              <w:t>(Zip Codes)</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350-9400</w:t>
      </w:r>
    </w:p>
    <w:p>
      <w:pPr>
        <w:spacing w:after="0" w:line="151" w:lineRule="exact"/>
        <w:rPr>
          <w:sz w:val="24"/>
          <w:szCs w:val="24"/>
          <w:color w:val="auto"/>
        </w:rPr>
      </w:pPr>
    </w:p>
    <w:p>
      <w:pPr>
        <w:ind w:right="240"/>
        <w:spacing w:after="0" w:line="3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 w:lineRule="exact"/>
        <w:rPr>
          <w:sz w:val="24"/>
          <w:szCs w:val="24"/>
          <w:color w:val="auto"/>
        </w:rPr>
      </w:pPr>
    </w:p>
    <w:p>
      <w:pPr>
        <w:ind w:right="220"/>
        <w:spacing w:after="0" w:line="310"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Non-accelerated filer </w:t>
      </w:r>
      <w:r>
        <w:rPr>
          <w:rFonts w:ascii="MS PGothic" w:cs="MS PGothic" w:eastAsia="MS PGothic" w:hAnsi="MS PGothic"/>
          <w:sz w:val="26"/>
          <w:szCs w:val="26"/>
          <w:color w:val="auto"/>
          <w:vertAlign w:val="superscript"/>
        </w:rPr>
        <w:t>☐</w:t>
      </w:r>
    </w:p>
    <w:p>
      <w:pPr>
        <w:spacing w:after="0" w:line="1" w:lineRule="exact"/>
        <w:rPr>
          <w:sz w:val="24"/>
          <w:szCs w:val="24"/>
          <w:color w:val="auto"/>
        </w:rPr>
      </w:pPr>
    </w:p>
    <w:p>
      <w:pPr>
        <w:ind w:right="2800"/>
        <w:spacing w:after="0" w:line="31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24"/>
          <w:szCs w:val="24"/>
          <w:color w:val="auto"/>
          <w:vertAlign w:val="superscript"/>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21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0"/>
              </w:rPr>
              <w:t>Class</w:t>
            </w:r>
          </w:p>
        </w:tc>
        <w:tc>
          <w:tcPr>
            <w:tcW w:w="530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Outstanding at March 31, 2006 (on a post-split basis)</w:t>
            </w:r>
          </w:p>
        </w:tc>
        <w:tc>
          <w:tcPr>
            <w:tcW w:w="1140" w:type="dxa"/>
            <w:vAlign w:val="bottom"/>
          </w:tcPr>
          <w:p>
            <w:pPr>
              <w:spacing w:after="0"/>
              <w:rPr>
                <w:sz w:val="15"/>
                <w:szCs w:val="15"/>
                <w:color w:val="auto"/>
              </w:rPr>
            </w:pPr>
          </w:p>
        </w:tc>
      </w:tr>
      <w:tr>
        <w:trPr>
          <w:trHeight w:val="95"/>
        </w:trPr>
        <w:tc>
          <w:tcPr>
            <w:tcW w:w="28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r>
      <w:tr>
        <w:trPr>
          <w:trHeight w:val="316"/>
        </w:trPr>
        <w:tc>
          <w:tcPr>
            <w:tcW w:w="4980" w:type="dxa"/>
            <w:vAlign w:val="bottom"/>
            <w:gridSpan w:val="3"/>
          </w:tcPr>
          <w:p>
            <w:pPr>
              <w:jc w:val="center"/>
              <w:ind w:left="1112"/>
              <w:spacing w:after="0"/>
              <w:rPr>
                <w:sz w:val="20"/>
                <w:szCs w:val="20"/>
                <w:color w:val="auto"/>
              </w:rPr>
            </w:pPr>
            <w:r>
              <w:rPr>
                <w:rFonts w:ascii="Arial" w:cs="Arial" w:eastAsia="Arial" w:hAnsi="Arial"/>
                <w:sz w:val="18"/>
                <w:szCs w:val="18"/>
                <w:color w:val="auto"/>
                <w:w w:val="87"/>
              </w:rPr>
              <w:t>Common Stock, $0.01 par value</w:t>
            </w:r>
          </w:p>
        </w:tc>
        <w:tc>
          <w:tcPr>
            <w:tcW w:w="5300" w:type="dxa"/>
            <w:vAlign w:val="bottom"/>
            <w:gridSpan w:val="2"/>
          </w:tcPr>
          <w:p>
            <w:pPr>
              <w:jc w:val="right"/>
              <w:ind w:right="1760"/>
              <w:spacing w:after="0"/>
              <w:rPr>
                <w:sz w:val="20"/>
                <w:szCs w:val="20"/>
                <w:color w:val="auto"/>
              </w:rPr>
            </w:pPr>
            <w:r>
              <w:rPr>
                <w:rFonts w:ascii="Arial" w:cs="Arial" w:eastAsia="Arial" w:hAnsi="Arial"/>
                <w:sz w:val="18"/>
                <w:szCs w:val="18"/>
                <w:color w:val="auto"/>
              </w:rPr>
              <w:t>1,179,870,722</w:t>
            </w:r>
          </w:p>
        </w:tc>
        <w:tc>
          <w:tcPr>
            <w:tcW w:w="1140" w:type="dxa"/>
            <w:vAlign w:val="bottom"/>
          </w:tcPr>
          <w:p>
            <w:pPr>
              <w:spacing w:after="0"/>
              <w:rPr>
                <w:sz w:val="24"/>
                <w:szCs w:val="24"/>
                <w:color w:val="auto"/>
              </w:rPr>
            </w:pPr>
          </w:p>
        </w:tc>
      </w:tr>
      <w:tr>
        <w:trPr>
          <w:trHeight w:val="259"/>
        </w:trPr>
        <w:tc>
          <w:tcPr>
            <w:tcW w:w="2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First Quarter 2006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2"/>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1</w:t>
            </w:r>
          </w:p>
        </w:tc>
        <w:tc>
          <w:tcPr>
            <w:tcW w:w="982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240" w:type="dxa"/>
            <w:vAlign w:val="bottom"/>
            <w:vMerge w:val="continue"/>
          </w:tcPr>
          <w:p>
            <w:pPr>
              <w:spacing w:after="0"/>
              <w:rPr>
                <w:sz w:val="24"/>
                <w:szCs w:val="24"/>
                <w:color w:val="auto"/>
              </w:rPr>
            </w:pPr>
          </w:p>
        </w:tc>
        <w:tc>
          <w:tcPr>
            <w:tcW w:w="9820" w:type="dxa"/>
            <w:vAlign w:val="bottom"/>
            <w:gridSpan w:val="14"/>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66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816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2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6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81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36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894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5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2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Submission of Matters to a Vote of Security Holders</w:t>
              </w:r>
            </w:hyperlink>
          </w:p>
        </w:tc>
        <w:tc>
          <w:tcPr>
            <w:tcW w:w="61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Other Information</w:t>
              </w:r>
            </w:hyperlink>
          </w:p>
        </w:tc>
        <w:tc>
          <w:tcPr>
            <w:tcW w:w="85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82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1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2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PART I. F 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 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INCOME (Unaudited)</w:t>
      </w:r>
    </w:p>
    <w:p>
      <w:pPr>
        <w:spacing w:after="0" w:line="219" w:lineRule="auto"/>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9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Operating revenue</w:t>
            </w:r>
          </w:p>
        </w:tc>
        <w:tc>
          <w:tcPr>
            <w:tcW w:w="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4,239,017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3,159,111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line="149" w:lineRule="exact"/>
              <w:rPr>
                <w:sz w:val="20"/>
                <w:szCs w:val="20"/>
                <w:color w:val="auto"/>
              </w:rPr>
            </w:pPr>
            <w:r>
              <w:rPr>
                <w:rFonts w:ascii="Arial" w:cs="Arial" w:eastAsia="Arial" w:hAnsi="Arial"/>
                <w:sz w:val="14"/>
                <w:szCs w:val="14"/>
                <w:i w:val="1"/>
                <w:iCs w:val="1"/>
                <w:color w:val="auto"/>
              </w:rPr>
              <w:t>Interest &amp; other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65,492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188,553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320"/>
              <w:spacing w:after="0" w:line="149" w:lineRule="exact"/>
              <w:rPr>
                <w:sz w:val="20"/>
                <w:szCs w:val="20"/>
                <w:color w:val="auto"/>
              </w:rPr>
            </w:pPr>
            <w:r>
              <w:rPr>
                <w:rFonts w:ascii="Arial" w:cs="Arial" w:eastAsia="Arial" w:hAnsi="Arial"/>
                <w:sz w:val="14"/>
                <w:szCs w:val="14"/>
                <w:color w:val="auto"/>
              </w:rPr>
              <w:t>Cost of goods sold &amp; services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2,994,794</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2,405,132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&amp; engineering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129,406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320"/>
              <w:spacing w:after="0" w:line="149"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13,166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General &amp; administrative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97,224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ind w:left="32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47,844</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46,562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1,022,075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679,266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ind w:left="320"/>
              <w:spacing w:after="0"/>
              <w:rPr>
                <w:sz w:val="20"/>
                <w:szCs w:val="20"/>
                <w:color w:val="auto"/>
              </w:rPr>
            </w:pPr>
            <w:r>
              <w:rPr>
                <w:rFonts w:ascii="Arial" w:cs="Arial" w:eastAsia="Arial" w:hAnsi="Arial"/>
                <w:sz w:val="14"/>
                <w:szCs w:val="14"/>
                <w:color w:val="auto"/>
              </w:rPr>
              <w:t>Taxes on income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256,651</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137,696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765,424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541,570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ind w:left="320"/>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(42,913)</w:t>
            </w:r>
          </w:p>
        </w:tc>
        <w:tc>
          <w:tcPr>
            <w:tcW w:w="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(17,133)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722,511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20"/>
                <w:szCs w:val="20"/>
                <w:color w:val="auto"/>
              </w:rPr>
            </w:pPr>
            <w:r>
              <w:rPr>
                <w:rFonts w:ascii="Arial" w:cs="Arial" w:eastAsia="Arial" w:hAnsi="Arial"/>
                <w:sz w:val="14"/>
                <w:szCs w:val="14"/>
                <w:i w:val="1"/>
                <w:iCs w:val="1"/>
                <w:color w:val="auto"/>
              </w:rPr>
              <w:t>Loss from Discontinued Operations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722,511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0.61</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Loss from Discontinued Operations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0.59</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Loss from Discontinued Operations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0.59</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ind w:left="32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1,180,344</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1,178,666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Assuming dilution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1,240,694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1,227,530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-1750695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-1750695</wp:posOffset>
            </wp:positionV>
            <wp:extent cx="3873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-1750695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-1750695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-1750695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-1064895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-1064895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-1064895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-1064895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-1064895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-1064895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-378460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-378460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-378460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-378460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-378460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-378460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 31, 2006</w:t>
            </w: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0"/>
              </w:rPr>
              <w:t>Dec. 31,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153,317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3,080,525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3,304,727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6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(2006 – $105,242; 2005 – $102,879)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3,760,505</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3,383,803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1,063,471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1,010,448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181,745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448,040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430,814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8,687,603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8,553,913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401,750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359,750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1,031,413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988,781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4,410,817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4,200,638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206,609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2,983,147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2,922,465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306,862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323,266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331,037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190,069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18,541,536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&amp; STOCKHOLDERS’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3,301,342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3,564,854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1,085,610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1,028,571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148,383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Long-term debt – current portion</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227,150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269,158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575,046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5,337,531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5,514,736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3,635,156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3,591,338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722,889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i w:val="1"/>
                <w:iCs w:val="1"/>
                <w:color w:val="auto"/>
              </w:rPr>
              <w:t>Other Liabilities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165,772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167,611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9,861,348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9,980,725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548,775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2,883,010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2,750,570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8,574,774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7,999,770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80" w:type="dxa"/>
            <w:vAlign w:val="bottom"/>
          </w:tcPr>
          <w:p>
            <w:pPr>
              <w:spacing w:after="0"/>
              <w:rPr>
                <w:sz w:val="12"/>
                <w:szCs w:val="12"/>
                <w:color w:val="auto"/>
              </w:rPr>
            </w:pPr>
          </w:p>
        </w:tc>
        <w:tc>
          <w:tcPr>
            <w:tcW w:w="13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(2,277,087)</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(2,113,276)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(1,049,284)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(1,045,479)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8,131,413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7,591,585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18,541,536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-2953385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-2953385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-2953385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-2953385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-2953385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-2953385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CASH FLOWS (Unaudited)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9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Mar. 31,</w:t>
            </w:r>
          </w:p>
        </w:tc>
        <w:tc>
          <w:tcPr>
            <w:tcW w:w="7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942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$ 722,511</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$ 523,409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line="217"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354,603</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360"/>
              <w:spacing w:after="0" w:line="217" w:lineRule="exact"/>
              <w:rPr>
                <w:sz w:val="20"/>
                <w:szCs w:val="20"/>
                <w:color w:val="auto"/>
              </w:rPr>
            </w:pPr>
            <w:r>
              <w:rPr>
                <w:rFonts w:ascii="Arial" w:cs="Arial" w:eastAsia="Arial" w:hAnsi="Arial"/>
                <w:sz w:val="18"/>
                <w:szCs w:val="18"/>
                <w:color w:val="auto"/>
              </w:rPr>
              <w:t>Charges and credits, net of tax &amp; minority interest</w:t>
            </w:r>
            <w:r>
              <w:rPr>
                <w:rFonts w:ascii="Arial" w:cs="Arial" w:eastAsia="Arial" w:hAnsi="Arial"/>
                <w:sz w:val="22"/>
                <w:szCs w:val="22"/>
                <w:color w:val="auto"/>
                <w:vertAlign w:val="superscript"/>
              </w:rPr>
              <w:t>(2)</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Loss from discontinued operations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(30,672)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61,963</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based compensation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25,828</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Provision for losses on accounts receivable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5,692</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line="217" w:lineRule="exact"/>
              <w:rPr>
                <w:sz w:val="20"/>
                <w:szCs w:val="20"/>
                <w:color w:val="auto"/>
              </w:rPr>
            </w:pPr>
            <w:r>
              <w:rPr>
                <w:rFonts w:ascii="Arial" w:cs="Arial" w:eastAsia="Arial" w:hAnsi="Arial"/>
                <w:sz w:val="18"/>
                <w:szCs w:val="18"/>
                <w:color w:val="auto"/>
              </w:rPr>
              <w:t>Change in operating assets and liabilities</w:t>
            </w:r>
            <w:r>
              <w:rPr>
                <w:rFonts w:ascii="Arial" w:cs="Arial" w:eastAsia="Arial" w:hAnsi="Arial"/>
                <w:sz w:val="22"/>
                <w:szCs w:val="22"/>
                <w:color w:val="auto"/>
                <w:vertAlign w:val="superscript"/>
              </w:rPr>
              <w:t>(3)</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Increase in receivables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(379,142)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inventories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(49,715)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Increase in other current assets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(17,186)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 accounts payable and accrued liabilities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(237,009)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Increase in estimated liability for taxes on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56,058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postretirement benefits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15,849</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0" w:type="dxa"/>
            <w:vAlign w:val="bottom"/>
            <w:gridSpan w:val="2"/>
          </w:tcPr>
          <w:p>
            <w:pPr>
              <w:ind w:left="360"/>
              <w:spacing w:after="0"/>
              <w:rPr>
                <w:sz w:val="20"/>
                <w:szCs w:val="20"/>
                <w:color w:val="auto"/>
              </w:rPr>
            </w:pPr>
            <w:r>
              <w:rPr>
                <w:rFonts w:ascii="Arial" w:cs="Arial" w:eastAsia="Arial" w:hAnsi="Arial"/>
                <w:sz w:val="18"/>
                <w:szCs w:val="18"/>
                <w:color w:val="auto"/>
              </w:rPr>
              <w:t>Other – net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36,444</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565,224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Purchase of fixed assets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(466,945)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Multiclient seismic data capitalized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(32,494)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Capitalization of intangible assets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(7,126)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business divestitures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Business acquisitions and related payments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(66,338)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Sale of Montrouge facility</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Sale (purchase) of investments, net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184,470</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(39,807)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(428,240)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Dividends paid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(123,857)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employee stock 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156,352</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 repurchase program</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(254,296)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Decrease in commercial paper and long-term debt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increase in short-term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48,964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(174,577)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operating activities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(37,593)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Translation effect on cash</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190,954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$ 153,317</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$ 222,241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9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220" w:type="dxa"/>
            <w:vAlign w:val="bottom"/>
            <w:gridSpan w:val="2"/>
            <w:vMerge w:val="continue"/>
          </w:tcPr>
          <w:p>
            <w:pPr>
              <w:spacing w:after="0"/>
              <w:rPr>
                <w:sz w:val="24"/>
                <w:szCs w:val="24"/>
                <w:color w:val="auto"/>
              </w:rPr>
            </w:pPr>
          </w:p>
        </w:tc>
        <w:tc>
          <w:tcPr>
            <w:tcW w:w="9200" w:type="dxa"/>
            <w:vAlign w:val="bottom"/>
            <w:gridSpan w:val="2"/>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rPr>
                <w:sz w:val="20"/>
                <w:szCs w:val="20"/>
                <w:color w:val="auto"/>
              </w:rPr>
            </w:pPr>
            <w:r>
              <w:rPr>
                <w:rFonts w:ascii="Arial" w:cs="Arial" w:eastAsia="Arial" w:hAnsi="Arial"/>
                <w:sz w:val="11"/>
                <w:szCs w:val="11"/>
                <w:color w:val="auto"/>
              </w:rPr>
              <w:t>(2)</w:t>
            </w:r>
          </w:p>
        </w:tc>
        <w:tc>
          <w:tcPr>
            <w:tcW w:w="9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20" w:type="dxa"/>
            <w:vAlign w:val="bottom"/>
            <w:gridSpan w:val="2"/>
          </w:tcPr>
          <w:p>
            <w:pPr>
              <w:spacing w:after="0"/>
              <w:rPr>
                <w:sz w:val="20"/>
                <w:szCs w:val="20"/>
                <w:color w:val="auto"/>
              </w:rPr>
            </w:pPr>
            <w:r>
              <w:rPr>
                <w:rFonts w:ascii="Arial" w:cs="Arial" w:eastAsia="Arial" w:hAnsi="Arial"/>
                <w:sz w:val="11"/>
                <w:szCs w:val="11"/>
                <w:color w:val="auto"/>
              </w:rPr>
              <w:t>(3)</w:t>
            </w:r>
          </w:p>
        </w:tc>
        <w:tc>
          <w:tcPr>
            <w:tcW w:w="9200" w:type="dxa"/>
            <w:vAlign w:val="bottom"/>
            <w:gridSpan w:val="2"/>
          </w:tcPr>
          <w:p>
            <w:pPr>
              <w:ind w:left="120"/>
              <w:spacing w:after="0"/>
              <w:rPr>
                <w:sz w:val="20"/>
                <w:szCs w:val="20"/>
                <w:color w:val="auto"/>
              </w:rPr>
            </w:pPr>
            <w:r>
              <w:rPr>
                <w:rFonts w:ascii="Arial" w:cs="Arial" w:eastAsia="Arial" w:hAnsi="Arial"/>
                <w:sz w:val="14"/>
                <w:szCs w:val="14"/>
                <w:color w:val="auto"/>
              </w:rPr>
              <w:t>Net of the effect of business acquisitions and divestitures.</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-429895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-429895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-429895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-429895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-429895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-429895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STOCKHOLDERS’ EQUITY (Unaudited)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gridSpan w:val="14"/>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Accumulated Other Comprehensive</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Marked to</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Pension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Translation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Treasury</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Liability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Adjustment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Income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$ 2,750,570</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(2,113,276)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$ 7,999,770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(17,042)</w:t>
            </w:r>
          </w:p>
        </w:tc>
        <w:tc>
          <w:tcPr>
            <w:tcW w:w="106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(291,486)</w:t>
            </w: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(736,951)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722,511</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722,511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Derivatives marked to market, net of tax</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(4,056)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Minimum pension liability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(7,381)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(147,507)</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(254,296)</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25,149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15,596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shares sold to optionees less shares exchanged</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81,463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74,889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Stock based compensation cost</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25,828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March 31, 2006</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$ 2,883,010</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(2,277,087)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$ 8,574,774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(9,712)</w:t>
            </w:r>
          </w:p>
        </w:tc>
        <w:tc>
          <w:tcPr>
            <w:tcW w:w="1060" w:type="dxa"/>
            <w:vAlign w:val="bottom"/>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(298,565)</w:t>
            </w: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(741,007)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718,706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SHARES OF COMMON STOCK (Unaudited)</w:t>
            </w: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4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1,334,212,164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(156,607,946)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1,177,604,218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1,155,466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1,155,466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(4,428,800)</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(4,428,800)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5,539,838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5,539,838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3"/>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March 31, 2006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1,334,212,164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(154,341,442)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1,179,870,722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-2627630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-2627630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-2627630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-1281430</wp:posOffset>
            </wp:positionV>
            <wp:extent cx="60452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-1281430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-1281430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-1281430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-1281430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-1281430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-1281430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-1281430</wp:posOffset>
            </wp:positionV>
            <wp:extent cx="8013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-1281430</wp:posOffset>
            </wp:positionV>
            <wp:extent cx="86169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169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Notes to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three-month period ended March 31, 2006 are not necessarily indicative of the results that may be expected for the full year ending December 31, 2006. The December 31, 2005 balance sheet information has been derived from the audited 2005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for the fiscal year ended December 31, 2005, filed with the Securities and Exchange Commission on February 24, 2006.</w:t>
      </w:r>
    </w:p>
    <w:p>
      <w:pPr>
        <w:spacing w:after="0" w:line="5" w:lineRule="exact"/>
        <w:rPr>
          <w:sz w:val="20"/>
          <w:szCs w:val="20"/>
          <w:color w:val="auto"/>
        </w:rPr>
      </w:pPr>
    </w:p>
    <w:p>
      <w:pPr>
        <w:ind w:right="60" w:firstLine="228"/>
        <w:spacing w:after="0" w:line="295" w:lineRule="auto"/>
        <w:rPr>
          <w:sz w:val="20"/>
          <w:szCs w:val="20"/>
          <w:color w:val="auto"/>
        </w:rPr>
      </w:pPr>
      <w:r>
        <w:rPr>
          <w:rFonts w:ascii="Arial" w:cs="Arial" w:eastAsia="Arial" w:hAnsi="Arial"/>
          <w:sz w:val="16"/>
          <w:szCs w:val="16"/>
          <w:color w:val="auto"/>
        </w:rPr>
        <w:t xml:space="preserve">On January 19, 2006, the Board of Directors of Schlumberger approved a two-for-one split of the Company’s common stock. Stockholders of record as of March 1, 2006 were entitled to one additional share for every share outstanding, which was distributed on April 7, 2006. The total number of authorized common stock shares and associated par value were unchanged by this action. All share, per share and stock option amounts included in the accompanying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related notes have been restated to reflect the effect of the stock split.</w:t>
      </w:r>
    </w:p>
    <w:p>
      <w:pPr>
        <w:spacing w:after="0" w:line="91" w:lineRule="exact"/>
        <w:rPr>
          <w:sz w:val="20"/>
          <w:szCs w:val="20"/>
          <w:color w:val="auto"/>
        </w:rPr>
      </w:pPr>
    </w:p>
    <w:p>
      <w:pPr>
        <w:ind w:right="9360" w:firstLine="8"/>
        <w:spacing w:after="0" w:line="319" w:lineRule="auto"/>
        <w:tabs>
          <w:tab w:leader="none" w:pos="34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b w:val="1"/>
          <w:bCs w:val="1"/>
          <w:i w:val="1"/>
          <w:iCs w:val="1"/>
          <w:color w:val="auto"/>
        </w:rPr>
        <w:t>2005</w:t>
      </w:r>
    </w:p>
    <w:p>
      <w:pPr>
        <w:ind w:right="20"/>
        <w:spacing w:after="0" w:line="283" w:lineRule="auto"/>
        <w:rPr>
          <w:sz w:val="20"/>
          <w:szCs w:val="20"/>
          <w:color w:val="auto"/>
        </w:rPr>
      </w:pPr>
      <w:r>
        <w:rPr>
          <w:rFonts w:ascii="Arial" w:cs="Arial" w:eastAsia="Arial" w:hAnsi="Arial"/>
          <w:sz w:val="16"/>
          <w:szCs w:val="16"/>
          <w:color w:val="auto"/>
        </w:rPr>
        <w:t xml:space="preserve">In March 2005, Schlumberger sold its facility in Montrouge, France for $230 million resulting in a pretax and after-tax gain of approximately $146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This transaction allowed for the utilization of a deferred tax asset that was previously offset by a valuation allowance of approximately $51 million. Schlumberger also recorded other real estate related pretax charges of approximately $12 million ($11 million after-tax), which are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2005 Charges and Credits: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Pretax</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Tax</w:t>
            </w:r>
          </w:p>
        </w:tc>
        <w:tc>
          <w:tcPr>
            <w:tcW w:w="4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Other real estate related charges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27876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Divestitures—Discontinued Operations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2005, Schlumberger completed the sales of its Global Tel*Link, Public Phones and Essentis businesses for $18 million in cash.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recognized $8 million revenue in 2005 relating to these divested businesses.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5"/>
              </w:rPr>
              <w:t>Earnings Per</w:t>
            </w: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85"/>
              </w:rPr>
              <w:t>Earnings Per</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2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Share from</w:t>
            </w:r>
          </w:p>
        </w:tc>
        <w:tc>
          <w:tcPr>
            <w:tcW w:w="13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28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6"/>
              </w:rPr>
              <w:t>Continuing</w:t>
            </w:r>
          </w:p>
        </w:tc>
        <w:tc>
          <w:tcPr>
            <w:tcW w:w="12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8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Operations</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Operations</w:t>
            </w:r>
          </w:p>
        </w:tc>
        <w:tc>
          <w:tcPr>
            <w:tcW w:w="8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722,511</w:t>
            </w: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1,180,344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524,437</w:t>
            </w:r>
          </w:p>
        </w:tc>
        <w:tc>
          <w:tcPr>
            <w:tcW w:w="5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1,178,666</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7,197</w:t>
            </w: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38,210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7,197</w:t>
            </w:r>
          </w:p>
        </w:tc>
        <w:tc>
          <w:tcPr>
            <w:tcW w:w="5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Assumed exercise of stock options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22,140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10,654</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729,708</w:t>
            </w: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1,240,694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531,634</w:t>
            </w:r>
          </w:p>
        </w:tc>
        <w:tc>
          <w:tcPr>
            <w:tcW w:w="5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1,227,530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-621030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-621030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-621030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-621030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-621030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-621030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At March 31, 2005, approximately 16.2 million of outstanding options to purchase shares of common stock were not included in the computation of diluted earnings per share because to do so would have had an antidilutive effect.</w:t>
      </w:r>
    </w:p>
    <w:p>
      <w:pPr>
        <w:spacing w:after="0" w:line="1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first quarter of 2006, Schlumberger acquired a business for $10 million in cash and made a payment of $56 million in respect of a transaction that was consummated in prior years.</w:t>
      </w:r>
    </w:p>
    <w:p>
      <w:pPr>
        <w:spacing w:after="0" w:line="10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March 31, 2006 was $842 million and on December 31, 2005 was $802 million. Schlumberger’s equity income from this joint venture was $28 million in 2006 and $19 million in 2005.</w:t>
      </w:r>
    </w:p>
    <w:p>
      <w:pPr>
        <w:spacing w:after="0" w:line="11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wholly owned subsidiary of Schlumberger had an agreement to borrow up to $250 million and sell, on an ongoing basis, an undivided interest in its accounts receivable. The amount of receivables sold under this agreement totaled $470 million at December 31, 2005 (of which $34 million was drawn). Schlumberger terminated this agreement in the first quarter of 2006.</w:t>
      </w:r>
    </w:p>
    <w:p>
      <w:pPr>
        <w:spacing w:after="0" w:line="11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6360" w:type="dxa"/>
            <w:vAlign w:val="bottom"/>
          </w:tcPr>
          <w:p>
            <w:pPr>
              <w:spacing w:after="0"/>
              <w:rPr>
                <w:sz w:val="15"/>
                <w:szCs w:val="15"/>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 31</w:t>
            </w:r>
          </w:p>
        </w:tc>
        <w:tc>
          <w:tcPr>
            <w:tcW w:w="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6440" w:type="dxa"/>
            <w:vAlign w:val="bottom"/>
            <w:gridSpan w:val="2"/>
            <w:shd w:val="clear" w:color="auto" w:fill="CCEEFF"/>
          </w:tcPr>
          <w:p>
            <w:pPr>
              <w:ind w:left="636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1,022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6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6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1,198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6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440" w:type="dxa"/>
            <w:vAlign w:val="bottom"/>
            <w:gridSpan w:val="2"/>
            <w:shd w:val="clear" w:color="auto" w:fill="CCEEFF"/>
          </w:tcPr>
          <w:p>
            <w:pPr>
              <w:ind w:left="636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1,063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360" w:type="dxa"/>
            <w:vAlign w:val="bottom"/>
            <w:vMerge w:val="restart"/>
          </w:tcPr>
          <w:p>
            <w:pPr>
              <w:jc w:val="right"/>
              <w:ind w:right="4292"/>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-292735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-292735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-292735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-292735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gridSpan w:val="2"/>
          </w:tcPr>
          <w:p>
            <w:pPr>
              <w:spacing w:after="0"/>
              <w:rPr>
                <w:sz w:val="20"/>
                <w:szCs w:val="20"/>
                <w:color w:val="auto"/>
              </w:rPr>
            </w:pPr>
            <w:r>
              <w:rPr>
                <w:rFonts w:ascii="Arial" w:cs="Arial" w:eastAsia="Arial" w:hAnsi="Arial"/>
                <w:sz w:val="14"/>
                <w:szCs w:val="14"/>
                <w:color w:val="auto"/>
              </w:rPr>
              <w:t>Part I, Item 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9.  Fixed Assets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480" w:type="dxa"/>
            <w:vAlign w:val="bottom"/>
            <w:gridSpan w:val="2"/>
          </w:tcPr>
          <w:p>
            <w:pPr>
              <w:spacing w:after="0"/>
              <w:rPr>
                <w:sz w:val="20"/>
                <w:szCs w:val="20"/>
                <w:color w:val="auto"/>
              </w:rPr>
            </w:pPr>
            <w:r>
              <w:rPr>
                <w:rFonts w:ascii="Arial" w:cs="Arial" w:eastAsia="Arial" w:hAnsi="Arial"/>
                <w:sz w:val="18"/>
                <w:szCs w:val="18"/>
                <w:color w:val="auto"/>
              </w:rPr>
              <w:t>A summary of fixed assets follows: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(Stated in millions)</w:t>
            </w: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Dec.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&amp; equipment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12,225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7,814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4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4,411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4734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and amortization expense relating to fixed assets was $285 million during the first quarter of 2006 and $256 million during the first quarter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60" w:type="dxa"/>
            <w:vAlign w:val="bottom"/>
            <w:gridSpan w:val="2"/>
          </w:tcPr>
          <w:p>
            <w:pPr>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10.  Multiclient Seismic Data</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60" w:type="dxa"/>
            <w:vAlign w:val="bottom"/>
            <w:gridSpan w:val="2"/>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(Stated in millions)</w:t>
            </w:r>
          </w:p>
        </w:tc>
        <w:tc>
          <w:tcPr>
            <w:tcW w:w="4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40" w:type="dxa"/>
            <w:vAlign w:val="bottom"/>
          </w:tcPr>
          <w:p>
            <w:pPr>
              <w:spacing w:after="0" w:line="142" w:lineRule="exact"/>
              <w:rPr>
                <w:sz w:val="20"/>
                <w:szCs w:val="20"/>
                <w:color w:val="auto"/>
              </w:rPr>
            </w:pPr>
            <w:r>
              <w:rPr>
                <w:rFonts w:ascii="Arial" w:cs="Arial" w:eastAsia="Arial" w:hAnsi="Arial"/>
                <w:sz w:val="14"/>
                <w:szCs w:val="14"/>
                <w:color w:val="auto"/>
              </w:rPr>
              <w:t>Balance at December 31, 2005</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in period</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640" w:type="dxa"/>
            <w:vAlign w:val="bottom"/>
          </w:tcPr>
          <w:p>
            <w:pPr>
              <w:spacing w:after="0"/>
              <w:rPr>
                <w:sz w:val="20"/>
                <w:szCs w:val="20"/>
                <w:color w:val="auto"/>
              </w:rPr>
            </w:pPr>
            <w:r>
              <w:rPr>
                <w:rFonts w:ascii="Arial" w:cs="Arial" w:eastAsia="Arial" w:hAnsi="Arial"/>
                <w:sz w:val="14"/>
                <w:szCs w:val="14"/>
                <w:color w:val="auto"/>
              </w:rPr>
              <w:t>Charged to cost of goods sold &amp; services</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6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11.  Goodwill</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80" w:type="dxa"/>
            <w:vAlign w:val="bottom"/>
            <w:gridSpan w:val="6"/>
          </w:tcPr>
          <w:p>
            <w:pPr>
              <w:spacing w:after="0"/>
              <w:rPr>
                <w:sz w:val="20"/>
                <w:szCs w:val="20"/>
                <w:color w:val="auto"/>
              </w:rPr>
            </w:pPr>
            <w:r>
              <w:rPr>
                <w:rFonts w:ascii="Arial" w:cs="Arial" w:eastAsia="Arial" w:hAnsi="Arial"/>
                <w:sz w:val="18"/>
                <w:szCs w:val="18"/>
                <w:color w:val="auto"/>
                <w:w w:val="92"/>
              </w:rPr>
              <w:t>The changes in the carrying amount of goodwill by business segment for the three months ended March 31, 2006 are as follows: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(Stated in millions)</w:t>
            </w: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Oilfield</w:t>
            </w:r>
          </w:p>
        </w:tc>
        <w:tc>
          <w:tcPr>
            <w:tcW w:w="54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Western</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Services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Geco</w:t>
            </w:r>
          </w:p>
        </w:tc>
        <w:tc>
          <w:tcPr>
            <w:tcW w:w="540" w:type="dxa"/>
            <w:vAlign w:val="bottom"/>
          </w:tcPr>
          <w:p>
            <w:pPr>
              <w:spacing w:after="0"/>
              <w:rPr>
                <w:sz w:val="14"/>
                <w:szCs w:val="14"/>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2,676</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2006</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Intangible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9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Mar. 31</w:t>
            </w:r>
          </w:p>
        </w:tc>
        <w:tc>
          <w:tcPr>
            <w:tcW w:w="48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9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book value</w:t>
            </w:r>
          </w:p>
        </w:tc>
        <w:tc>
          <w:tcPr>
            <w:tcW w:w="76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639</w:t>
            </w:r>
          </w:p>
        </w:tc>
        <w:tc>
          <w:tcPr>
            <w:tcW w:w="6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20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2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2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307</w:t>
            </w:r>
          </w:p>
        </w:tc>
        <w:tc>
          <w:tcPr>
            <w:tcW w:w="6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amortization charged to income was $21 million during the first quarter of 2006 and $20 million during the first quarter of 2005.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2006, the gross book value, accumulated amortization and amortization periods of intangible assets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66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Gross</w:t>
            </w:r>
          </w:p>
        </w:tc>
        <w:tc>
          <w:tcPr>
            <w:tcW w:w="8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6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8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Periods</w:t>
            </w:r>
          </w:p>
        </w:tc>
      </w:tr>
      <w:tr>
        <w:trPr>
          <w:trHeight w:val="149"/>
        </w:trPr>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122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 – 10 years</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 – 10 years</w:t>
            </w:r>
          </w:p>
        </w:tc>
      </w:tr>
      <w:tr>
        <w:trPr>
          <w:trHeight w:val="149"/>
        </w:trPr>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Patents</w:t>
            </w: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 – 10 years</w:t>
            </w:r>
          </w:p>
        </w:tc>
      </w:tr>
      <w:tr>
        <w:trPr>
          <w:trHeight w:val="172"/>
        </w:trPr>
        <w:tc>
          <w:tcPr>
            <w:tcW w:w="6680" w:type="dxa"/>
            <w:vAlign w:val="bottom"/>
          </w:tcPr>
          <w:p>
            <w:pPr>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1620" w:type="dxa"/>
            <w:vAlign w:val="bottom"/>
          </w:tcPr>
          <w:p>
            <w:pPr>
              <w:jc w:val="right"/>
              <w:spacing w:after="0"/>
              <w:rPr>
                <w:sz w:val="20"/>
                <w:szCs w:val="20"/>
                <w:color w:val="auto"/>
              </w:rPr>
            </w:pPr>
            <w:r>
              <w:rPr>
                <w:rFonts w:ascii="Arial" w:cs="Arial" w:eastAsia="Arial" w:hAnsi="Arial"/>
                <w:sz w:val="14"/>
                <w:szCs w:val="14"/>
                <w:color w:val="auto"/>
              </w:rPr>
              <w:t>1 – 15 years</w:t>
            </w:r>
          </w:p>
        </w:tc>
      </w:tr>
      <w:tr>
        <w:trPr>
          <w:trHeight w:val="84"/>
        </w:trPr>
        <w:tc>
          <w:tcPr>
            <w:tcW w:w="668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r>
      <w:tr>
        <w:trPr>
          <w:trHeight w:val="102"/>
        </w:trPr>
        <w:tc>
          <w:tcPr>
            <w:tcW w:w="6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149"/>
        </w:trPr>
        <w:tc>
          <w:tcPr>
            <w:tcW w:w="66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22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1620" w:type="dxa"/>
            <w:vAlign w:val="bottom"/>
            <w:shd w:val="clear" w:color="auto" w:fill="CCEEFF"/>
          </w:tcPr>
          <w:p>
            <w:pPr>
              <w:spacing w:after="0"/>
              <w:rPr>
                <w:sz w:val="12"/>
                <w:szCs w:val="12"/>
                <w:color w:val="auto"/>
              </w:rPr>
            </w:pPr>
          </w:p>
        </w:tc>
      </w:tr>
      <w:tr>
        <w:trPr>
          <w:trHeight w:val="132"/>
        </w:trPr>
        <w:tc>
          <w:tcPr>
            <w:tcW w:w="6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weighted average remaining amortization period for all intangible assets based on the net book value at March 31, 2006 is approximately 4 years.</w:t>
      </w:r>
    </w:p>
    <w:p>
      <w:pPr>
        <w:spacing w:after="0" w:line="170"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5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As of March 31, 2006, Schlumberger had two types of stock-based compensation plans (see Note 18), which are described in the Schlumberger 2005 Annual Report on Form 10-K. Effective January 1, 2003, Schlumberger adopted the fair value recognition provisions of SFAS Nos. 123 and 148. Schlumberger began recording stock option and discounted stock purchase plan (DSPP) expense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in the third quarter of 2003 on a prospective basis for grants after January 1, 2003.</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and concludes that services received from employees in exchange for stock-based compensation results in a cost to the employer that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recognized in the financial statements. The cost of such awards should be measured at fair value at the date of grant.</w:t>
      </w:r>
    </w:p>
    <w:p>
      <w:pPr>
        <w:spacing w:after="0" w:line="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Schlumberger adopted SFAS 123R effective January 1, 2006, and is applying the modified prospective method, whereby compensation cost will be recognized for the unvested portion of awards granted during the period of January 1, 1995 to December 31, 2002. Such costs will be recognized in the financial statements of Schlumberger over the remaining vesting periods. Under this method, prior periods are not revised for comparative purposes. The adoption of this standard resulted in Schlumberger recording $6 million of additional stock-based compensation charges in the first quarter of 2006 and it will result in an additional $5 million being recognized per quarter throughout the remainder of 2006.</w:t>
      </w:r>
    </w:p>
    <w:p>
      <w:pPr>
        <w:spacing w:after="0" w:line="2"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Schlumberger recorded stock-based compensation expense relating to stock options of $22.5 million during the first quarter of 2006 (inclusive of the adoption of SFAS 123R) and $5.9 million during the first quarter of 2005. Schlumberger also recorded stock-based compensation expense relating to the DSPP of $3.3 million during the first quarter of 2005 and $3.0 million during the first quarter of 2005.</w:t>
      </w:r>
    </w:p>
    <w:p>
      <w:pPr>
        <w:spacing w:after="0" w:line="1"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As of March 31, 2006, there was $221 million of total unrecognized compensation cost related to non-vested stock-based compensation arrangements, including the DSPP. Approximately $65 million is expected to be recognized over the remainder of 2006, $67 million is expected to be recognized in 2007, $52 million in 2008 and $37 million in 2009.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39"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Schlumberger applied the intrinsic value method of APB Opinion 25 for grants prior to January 1, 2003. Had compensation cost for stock-based awards granted prior to January 1, 2003 been determined based on the fair value at the grant dates, consistent with the method of SFAS 123, Schlumberger’s net income and earnings per share would have been the pro forma amounts indicated below: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6"/>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As reported</w:t>
            </w:r>
          </w:p>
        </w:tc>
        <w:tc>
          <w:tcPr>
            <w:tcW w:w="3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$ 723</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 adjustments: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gridSpan w:val="2"/>
          </w:tcPr>
          <w:p>
            <w:pPr>
              <w:ind w:left="640"/>
              <w:spacing w:after="0"/>
              <w:rPr>
                <w:sz w:val="20"/>
                <w:szCs w:val="20"/>
                <w:color w:val="auto"/>
              </w:rPr>
            </w:pPr>
            <w:r>
              <w:rPr>
                <w:rFonts w:ascii="Arial" w:cs="Arial" w:eastAsia="Arial" w:hAnsi="Arial"/>
                <w:sz w:val="14"/>
                <w:szCs w:val="14"/>
                <w:color w:val="auto"/>
              </w:rPr>
              <w:t>Cost of Stock Options</w:t>
            </w:r>
          </w:p>
        </w:tc>
        <w:tc>
          <w:tcPr>
            <w:tcW w:w="60" w:type="dxa"/>
            <w:vAlign w:val="bottom"/>
          </w:tcPr>
          <w:p>
            <w:pPr>
              <w:spacing w:after="0"/>
              <w:rPr>
                <w:sz w:val="15"/>
                <w:szCs w:val="15"/>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$ 723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As reported</w:t>
            </w:r>
          </w:p>
        </w:tc>
        <w:tc>
          <w:tcPr>
            <w:tcW w:w="3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$0.61</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 adjustments: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gridSpan w:val="2"/>
          </w:tcPr>
          <w:p>
            <w:pPr>
              <w:ind w:left="640"/>
              <w:spacing w:after="0"/>
              <w:rPr>
                <w:sz w:val="20"/>
                <w:szCs w:val="20"/>
                <w:color w:val="auto"/>
              </w:rPr>
            </w:pPr>
            <w:r>
              <w:rPr>
                <w:rFonts w:ascii="Arial" w:cs="Arial" w:eastAsia="Arial" w:hAnsi="Arial"/>
                <w:sz w:val="14"/>
                <w:szCs w:val="14"/>
                <w:color w:val="auto"/>
              </w:rPr>
              <w:t>Cost of Stock Options</w:t>
            </w:r>
          </w:p>
        </w:tc>
        <w:tc>
          <w:tcPr>
            <w:tcW w:w="60" w:type="dxa"/>
            <w:vAlign w:val="bottom"/>
          </w:tcPr>
          <w:p>
            <w:pPr>
              <w:spacing w:after="0"/>
              <w:rPr>
                <w:sz w:val="15"/>
                <w:szCs w:val="15"/>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87"/>
              </w:rPr>
              <w:t>(0.01)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$0.61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As reported</w:t>
            </w:r>
          </w:p>
        </w:tc>
        <w:tc>
          <w:tcPr>
            <w:tcW w:w="3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$0.59</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 adjustments: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gridSpan w:val="2"/>
          </w:tcPr>
          <w:p>
            <w:pPr>
              <w:ind w:left="640"/>
              <w:spacing w:after="0"/>
              <w:rPr>
                <w:sz w:val="20"/>
                <w:szCs w:val="20"/>
                <w:color w:val="auto"/>
              </w:rPr>
            </w:pPr>
            <w:r>
              <w:rPr>
                <w:rFonts w:ascii="Arial" w:cs="Arial" w:eastAsia="Arial" w:hAnsi="Arial"/>
                <w:sz w:val="14"/>
                <w:szCs w:val="14"/>
                <w:color w:val="auto"/>
              </w:rPr>
              <w:t>Cost of Stock Options</w:t>
            </w:r>
          </w:p>
        </w:tc>
        <w:tc>
          <w:tcPr>
            <w:tcW w:w="60" w:type="dxa"/>
            <w:vAlign w:val="bottom"/>
          </w:tcPr>
          <w:p>
            <w:pPr>
              <w:spacing w:after="0"/>
              <w:rPr>
                <w:sz w:val="15"/>
                <w:szCs w:val="15"/>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87"/>
              </w:rPr>
              <w:t>(0.01)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$0.59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0.42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-1590040</wp:posOffset>
            </wp:positionV>
            <wp:extent cx="20129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-1590040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-1590040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-1590040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-809625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-809625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-809625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-809625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-809625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-809625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The fair value of each stock option grant in 2006 was estimated on the date of grant using the Black-Scholes option-pricing model with the following weighted-average assumptions: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4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r>
      <w:tr>
        <w:trPr>
          <w:trHeight w:val="149"/>
        </w:trPr>
        <w:tc>
          <w:tcPr>
            <w:tcW w:w="638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4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32.50%</w:t>
            </w:r>
          </w:p>
        </w:tc>
      </w:tr>
      <w:tr>
        <w:trPr>
          <w:trHeight w:val="149"/>
        </w:trPr>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r>
      <w:tr>
        <w:trPr>
          <w:trHeight w:val="149"/>
        </w:trPr>
        <w:tc>
          <w:tcPr>
            <w:tcW w:w="638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42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6.0 years</w:t>
            </w:r>
          </w:p>
        </w:tc>
      </w:tr>
      <w:tr>
        <w:trPr>
          <w:trHeight w:val="149"/>
        </w:trPr>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fair value per share</w:t>
            </w:r>
          </w:p>
        </w:tc>
        <w:tc>
          <w:tcPr>
            <w:tcW w:w="4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37.50</w:t>
            </w:r>
          </w:p>
        </w:tc>
      </w:tr>
    </w:tbl>
    <w:p>
      <w:pPr>
        <w:spacing w:after="0" w:line="14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7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7580" w:type="dxa"/>
            <w:vAlign w:val="bottom"/>
          </w:tcPr>
          <w:p>
            <w:pPr>
              <w:jc w:val="right"/>
              <w:spacing w:after="0" w:line="149" w:lineRule="exact"/>
              <w:rPr>
                <w:sz w:val="20"/>
                <w:szCs w:val="20"/>
                <w:color w:val="auto"/>
              </w:rPr>
            </w:pPr>
            <w:r>
              <w:rPr>
                <w:rFonts w:ascii="Arial" w:cs="Arial" w:eastAsia="Arial" w:hAnsi="Arial"/>
                <w:sz w:val="14"/>
                <w:szCs w:val="14"/>
                <w:color w:val="auto"/>
              </w:rPr>
              <w:t>24.20%</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7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r>
      <w:tr>
        <w:trPr>
          <w:trHeight w:val="172"/>
        </w:trPr>
        <w:tc>
          <w:tcPr>
            <w:tcW w:w="384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7580" w:type="dxa"/>
            <w:vAlign w:val="bottom"/>
          </w:tcPr>
          <w:p>
            <w:pPr>
              <w:jc w:val="right"/>
              <w:ind w:right="52"/>
              <w:spacing w:after="0"/>
              <w:rPr>
                <w:sz w:val="20"/>
                <w:szCs w:val="20"/>
                <w:color w:val="auto"/>
              </w:rPr>
            </w:pPr>
            <w:r>
              <w:rPr>
                <w:rFonts w:ascii="Arial" w:cs="Arial" w:eastAsia="Arial" w:hAnsi="Arial"/>
                <w:sz w:val="14"/>
                <w:szCs w:val="14"/>
                <w:color w:val="auto"/>
              </w:rPr>
              <w:t>$11.21</w:t>
            </w:r>
          </w:p>
        </w:tc>
      </w:tr>
      <w:tr>
        <w:trPr>
          <w:trHeight w:val="286"/>
        </w:trPr>
        <w:tc>
          <w:tcPr>
            <w:tcW w:w="3840" w:type="dxa"/>
            <w:vAlign w:val="bottom"/>
          </w:tcPr>
          <w:p>
            <w:pPr>
              <w:spacing w:after="0"/>
              <w:rPr>
                <w:sz w:val="24"/>
                <w:szCs w:val="24"/>
                <w:color w:val="auto"/>
              </w:rPr>
            </w:pPr>
          </w:p>
        </w:tc>
        <w:tc>
          <w:tcPr>
            <w:tcW w:w="7580" w:type="dxa"/>
            <w:vAlign w:val="bottom"/>
          </w:tcPr>
          <w:p>
            <w:pPr>
              <w:jc w:val="right"/>
              <w:ind w:right="5572"/>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as of March 31,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Weighted-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5"/>
              </w:rPr>
              <w:t>Weighted-</w:t>
            </w:r>
          </w:p>
        </w:tc>
        <w:tc>
          <w:tcPr>
            <w:tcW w:w="18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remaining</w:t>
            </w:r>
          </w:p>
        </w:tc>
        <w:tc>
          <w:tcPr>
            <w:tcW w:w="460" w:type="dxa"/>
            <w:vAlign w:val="bottom"/>
          </w:tcPr>
          <w:p>
            <w:pPr>
              <w:spacing w:after="0"/>
              <w:rPr>
                <w:sz w:val="12"/>
                <w:szCs w:val="12"/>
                <w:color w:val="auto"/>
              </w:rPr>
            </w:pP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3"/>
              </w:rPr>
              <w:t>average</w:t>
            </w:r>
          </w:p>
        </w:tc>
        <w:tc>
          <w:tcPr>
            <w:tcW w:w="18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contractual</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Options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78"/>
              </w:rPr>
              <w:t>exercise</w:t>
            </w:r>
          </w:p>
        </w:tc>
        <w:tc>
          <w:tcPr>
            <w:tcW w:w="9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life in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7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b w:val="1"/>
                <w:bCs w:val="1"/>
                <w:color w:val="auto"/>
                <w:w w:val="83"/>
              </w:rPr>
              <w:t>price</w:t>
            </w:r>
          </w:p>
        </w:tc>
        <w:tc>
          <w:tcPr>
            <w:tcW w:w="9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2005</w:t>
            </w:r>
          </w:p>
        </w:tc>
        <w:tc>
          <w:tcPr>
            <w:tcW w:w="2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52,978</w:t>
            </w:r>
          </w:p>
        </w:tc>
        <w:tc>
          <w:tcPr>
            <w:tcW w:w="7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31.37</w:t>
            </w: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2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7,593</w:t>
            </w:r>
          </w:p>
        </w:tc>
        <w:tc>
          <w:tcPr>
            <w:tcW w:w="76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54.24</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372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(5,597)</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28.63</w:t>
            </w: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Forfeited</w:t>
            </w:r>
          </w:p>
        </w:tc>
        <w:tc>
          <w:tcPr>
            <w:tcW w:w="3720" w:type="dxa"/>
            <w:vAlign w:val="bottom"/>
            <w:gridSpan w:val="3"/>
          </w:tcPr>
          <w:p>
            <w:pPr>
              <w:jc w:val="right"/>
              <w:ind w:right="700"/>
              <w:spacing w:after="0"/>
              <w:rPr>
                <w:sz w:val="20"/>
                <w:szCs w:val="20"/>
                <w:color w:val="auto"/>
              </w:rPr>
            </w:pPr>
            <w:r>
              <w:rPr>
                <w:rFonts w:ascii="Arial" w:cs="Arial" w:eastAsia="Arial" w:hAnsi="Arial"/>
                <w:sz w:val="14"/>
                <w:szCs w:val="14"/>
                <w:color w:val="auto"/>
              </w:rPr>
              <w:t>(765)</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ind w:left="180"/>
              <w:spacing w:after="0"/>
              <w:rPr>
                <w:sz w:val="20"/>
                <w:szCs w:val="20"/>
                <w:color w:val="auto"/>
              </w:rPr>
            </w:pPr>
            <w:r>
              <w:rPr>
                <w:rFonts w:ascii="Arial" w:cs="Arial" w:eastAsia="Arial" w:hAnsi="Arial"/>
                <w:sz w:val="14"/>
                <w:szCs w:val="14"/>
                <w:color w:val="auto"/>
                <w:w w:val="79"/>
              </w:rPr>
              <w:t>24.87</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March 31, 2006</w:t>
            </w:r>
          </w:p>
        </w:tc>
        <w:tc>
          <w:tcPr>
            <w:tcW w:w="2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54,209</w:t>
            </w:r>
          </w:p>
        </w:tc>
        <w:tc>
          <w:tcPr>
            <w:tcW w:w="7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34.87</w:t>
            </w:r>
          </w:p>
        </w:tc>
        <w:tc>
          <w:tcPr>
            <w:tcW w:w="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w:t>
            </w: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March 31, 2006</w:t>
            </w:r>
          </w:p>
        </w:tc>
        <w:tc>
          <w:tcPr>
            <w:tcW w:w="2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29,887</w:t>
            </w:r>
          </w:p>
        </w:tc>
        <w:tc>
          <w:tcPr>
            <w:tcW w:w="7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32.74</w:t>
            </w:r>
          </w:p>
        </w:tc>
        <w:tc>
          <w:tcPr>
            <w:tcW w:w="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-286385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-286385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-286385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-286385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-286385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-286385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-286385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-286385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intrinsic value of options exercised during the quarter ended March 31, 2006 was $166 million.</w:t>
      </w:r>
    </w:p>
    <w:p>
      <w:pPr>
        <w:spacing w:after="0" w:line="147"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10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tcPr>
          <w:p>
            <w:pPr>
              <w:spacing w:after="0"/>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701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1,022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jc w:val="both"/>
        <w:ind w:right="260" w:firstLine="228"/>
        <w:spacing w:after="0" w:line="303" w:lineRule="auto"/>
        <w:rPr>
          <w:sz w:val="20"/>
          <w:szCs w:val="20"/>
          <w:color w:val="auto"/>
        </w:rPr>
      </w:pPr>
      <w:r>
        <w:rPr>
          <w:rFonts w:ascii="Arial" w:cs="Arial" w:eastAsia="Arial" w:hAnsi="Arial"/>
          <w:sz w:val="15"/>
          <w:szCs w:val="15"/>
          <w:color w:val="auto"/>
        </w:rPr>
        <w:t>Schlumberger reported no charges or credits in the first quarter of 2006. Schlumberger reported charges and credits in continuing operations during the first quarter of 2005. These are more fully described in Note 2—</w:t>
      </w:r>
      <w:r>
        <w:rPr>
          <w:rFonts w:ascii="Arial" w:cs="Arial" w:eastAsia="Arial" w:hAnsi="Arial"/>
          <w:sz w:val="15"/>
          <w:szCs w:val="15"/>
          <w:i w:val="1"/>
          <w:iCs w:val="1"/>
          <w:color w:val="auto"/>
        </w:rPr>
        <w:t>Charges and Credits</w:t>
      </w:r>
      <w:r>
        <w:rPr>
          <w:rFonts w:ascii="Arial" w:cs="Arial" w:eastAsia="Arial" w:hAnsi="Arial"/>
          <w:sz w:val="15"/>
          <w:szCs w:val="15"/>
          <w:color w:val="auto"/>
        </w:rPr>
        <w:t>. US pretax results in the first quarter of 2005 included charges of $2 million. Outside the US, the pretax results in the first quarter of 2005 included a net credit of approximately $136 million, primarily relating to the sale of a facility.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 31 2006</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5"/>
              </w:rPr>
              <w:t>Dec. 31 2005</w:t>
            </w: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and other long-term benefits</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260</w:t>
            </w:r>
          </w:p>
        </w:tc>
        <w:tc>
          <w:tcPr>
            <w:tcW w:w="119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tcPr>
          <w:p>
            <w:pPr>
              <w:spacing w:after="0" w:line="149" w:lineRule="exact"/>
              <w:rPr>
                <w:sz w:val="20"/>
                <w:szCs w:val="20"/>
                <w:color w:val="auto"/>
              </w:rPr>
            </w:pPr>
            <w:r>
              <w:rPr>
                <w:rFonts w:ascii="Arial" w:cs="Arial" w:eastAsia="Arial" w:hAnsi="Arial"/>
                <w:sz w:val="14"/>
                <w:szCs w:val="14"/>
                <w:color w:val="auto"/>
              </w:rPr>
              <w:t>Current employee benefits</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inventory and other</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900" w:type="dxa"/>
            <w:vAlign w:val="bottom"/>
          </w:tcPr>
          <w:p>
            <w:pPr>
              <w:spacing w:after="0"/>
              <w:rPr>
                <w:sz w:val="20"/>
                <w:szCs w:val="20"/>
                <w:color w:val="auto"/>
              </w:rPr>
            </w:pPr>
            <w:r>
              <w:rPr>
                <w:rFonts w:ascii="Arial" w:cs="Arial" w:eastAsia="Arial" w:hAnsi="Arial"/>
                <w:sz w:val="14"/>
                <w:szCs w:val="14"/>
                <w:color w:val="auto"/>
              </w:rPr>
              <w:t>Net operating losses</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57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89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505</w:t>
            </w:r>
          </w:p>
        </w:tc>
        <w:tc>
          <w:tcPr>
            <w:tcW w:w="119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9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deferred tax assets relating to net operating losses at March 31, 2006 and December 31, 2005 are net of valuation allowances in certain countries of $214 million and $213 million,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51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2006</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4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51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$ 47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51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51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144</w:t>
            </w: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96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51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$195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4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51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$ 53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51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4</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51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512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51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$ 62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51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$257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-29210</wp:posOffset>
            </wp:positionV>
            <wp:extent cx="20129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US statutory federal tax rate (35%) to the consolidated effective tax rate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rate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88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tcPr>
          <w:p>
            <w:pPr>
              <w:spacing w:after="0" w:line="149" w:lineRule="exact"/>
              <w:rPr>
                <w:sz w:val="20"/>
                <w:szCs w:val="20"/>
                <w:color w:val="auto"/>
              </w:rPr>
            </w:pPr>
            <w:r>
              <w:rPr>
                <w:rFonts w:ascii="Arial" w:cs="Arial" w:eastAsia="Arial" w:hAnsi="Arial"/>
                <w:sz w:val="14"/>
                <w:szCs w:val="14"/>
                <w:color w:val="auto"/>
              </w:rPr>
              <w:t>Valuation allowance (excluding impact of charges and credits)</w:t>
            </w:r>
          </w:p>
        </w:tc>
        <w:tc>
          <w:tcPr>
            <w:tcW w:w="8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0" w:type="dxa"/>
            <w:vAlign w:val="bottom"/>
          </w:tcPr>
          <w:p>
            <w:pPr>
              <w:spacing w:after="0"/>
              <w:rPr>
                <w:sz w:val="20"/>
                <w:szCs w:val="20"/>
                <w:color w:val="auto"/>
              </w:rPr>
            </w:pPr>
            <w:r>
              <w:rPr>
                <w:rFonts w:ascii="Arial" w:cs="Arial" w:eastAsia="Arial" w:hAnsi="Arial"/>
                <w:sz w:val="14"/>
                <w:szCs w:val="14"/>
                <w:color w:val="auto"/>
              </w:rPr>
              <w:t>Other</w:t>
            </w:r>
          </w:p>
        </w:tc>
        <w:tc>
          <w:tcPr>
            <w:tcW w:w="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 xml:space="preserve">Schlumberger reported no charges or credits in the first quarter of 2006. In the first quarter of 2005, the charges and credits described in Note 2 </w:t>
      </w:r>
      <w:r>
        <w:rPr>
          <w:rFonts w:ascii="Arial" w:cs="Arial" w:eastAsia="Arial" w:hAnsi="Arial"/>
          <w:sz w:val="16"/>
          <w:szCs w:val="16"/>
          <w:i w:val="1"/>
          <w:iCs w:val="1"/>
          <w:color w:val="auto"/>
        </w:rPr>
        <w:t>Charges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Credits, </w:t>
      </w:r>
      <w:r>
        <w:rPr>
          <w:rFonts w:ascii="Arial" w:cs="Arial" w:eastAsia="Arial" w:hAnsi="Arial"/>
          <w:sz w:val="16"/>
          <w:szCs w:val="16"/>
          <w:color w:val="auto"/>
        </w:rPr>
        <w:t>including the associated effect of changes in valuation allowance, decreased Schlumberger’s effective tax rate by five percentage points.</w:t>
      </w:r>
    </w:p>
    <w:p>
      <w:pPr>
        <w:spacing w:after="0" w:line="61"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 w:lineRule="exact"/>
        <w:rPr>
          <w:sz w:val="20"/>
          <w:szCs w:val="20"/>
          <w:color w:val="auto"/>
        </w:rPr>
      </w:pPr>
    </w:p>
    <w:p>
      <w:pPr>
        <w:jc w:val="both"/>
        <w:ind w:right="340"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included accruals for estimated future expenditures, relating to potential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2" w:lineRule="exact"/>
        <w:rPr>
          <w:sz w:val="20"/>
          <w:szCs w:val="20"/>
          <w:color w:val="auto"/>
        </w:rPr>
      </w:pPr>
    </w:p>
    <w:p>
      <w:pPr>
        <w:ind w:right="200" w:firstLine="228"/>
        <w:spacing w:after="0" w:line="261" w:lineRule="auto"/>
        <w:rPr>
          <w:sz w:val="20"/>
          <w:szCs w:val="20"/>
          <w:color w:val="auto"/>
        </w:rPr>
      </w:pPr>
      <w:r>
        <w:rPr>
          <w:rFonts w:ascii="Arial" w:cs="Arial" w:eastAsia="Arial" w:hAnsi="Arial"/>
          <w:sz w:val="18"/>
          <w:szCs w:val="18"/>
          <w:color w:val="auto"/>
        </w:rPr>
        <w:t>In December 2004 WesternGeco and Schlumberger received grand jury subpoenas from the United States Attorney’s office in the Southern District of Texas seeking documents relating to possible fraud in obtaining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39"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visas for non-United States citizens working as crewmembers on vessels operating in the Gulf of Mexico. WesternGeco and Schlumberger are currently in discussions with the United States Attorney’s office regarding a possible resolution of this matter.</w:t>
      </w:r>
    </w:p>
    <w:p>
      <w:pPr>
        <w:ind w:firstLine="228"/>
        <w:spacing w:after="0" w:line="281" w:lineRule="auto"/>
        <w:rPr>
          <w:sz w:val="20"/>
          <w:szCs w:val="20"/>
          <w:color w:val="auto"/>
        </w:rPr>
      </w:pPr>
      <w:r>
        <w:rPr>
          <w:rFonts w:ascii="Arial" w:cs="Arial" w:eastAsia="Arial" w:hAnsi="Arial"/>
          <w:sz w:val="16"/>
          <w:szCs w:val="16"/>
          <w:color w:val="auto"/>
        </w:rPr>
        <w:t>In addition, 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or settlement in these matters. However, in the opinion of Schlumberger any liability that might ensue would not be material in relation to the consolidated liquidity, financial position or future results of operations.</w:t>
      </w:r>
    </w:p>
    <w:p>
      <w:pPr>
        <w:spacing w:after="0" w:line="3"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Schlumberger’s joint venture agreement with Smith International, Inc., with respect to the drilling fluids joint venture, contains a provision under which either party to the joint venture may offer to sell their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120"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8"/>
              </w:rPr>
              <w:t>FIRST QUARTER 2006</w:t>
            </w:r>
          </w:p>
        </w:tc>
        <w:tc>
          <w:tcPr>
            <w:tcW w:w="2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6"/>
              </w:rPr>
              <w:t>FIRST QUARTER 2005</w:t>
            </w: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1"/>
              </w:rPr>
              <w:t>Income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after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79"/>
              </w:rPr>
              <w:t>before</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tax &amp;</w:t>
            </w:r>
          </w:p>
        </w:tc>
        <w:tc>
          <w:tcPr>
            <w:tcW w:w="2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tax &amp;</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tax &amp;</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Tax</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tax &amp;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MI</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1,226</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30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3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868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2,779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30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3,159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Charges and Credits </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-749300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-749300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-749300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-749300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-749300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-749300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-749300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-749300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-749300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-749300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-749300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-749300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-749300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-749300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-749300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-749300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-749300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-749300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-749300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-749300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-749300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-749300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-749300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-749300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interest expense included in the Segment results ($2 million in 2006; $2 million in 2005).</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See Note 2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Pension and Other Postretirement Benefits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the first quarter of 2006 and 2005 included the following components: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3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21"/>
                <w:szCs w:val="21"/>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$ 15</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cost/other</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$ 22</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0129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first quarter of 2006 Schlumberger made a $200 million contribution to its US pension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pension cost in the UK plan for the first quarter of 2006 and 2005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First Quarter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30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(12)</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300" w:type="dxa"/>
            <w:vAlign w:val="bottom"/>
          </w:tcPr>
          <w:p>
            <w:pPr>
              <w:spacing w:after="0"/>
              <w:rPr>
                <w:sz w:val="20"/>
                <w:szCs w:val="20"/>
                <w:color w:val="auto"/>
              </w:rPr>
            </w:pPr>
            <w:r>
              <w:rPr>
                <w:rFonts w:ascii="Arial" w:cs="Arial" w:eastAsia="Arial" w:hAnsi="Arial"/>
                <w:sz w:val="14"/>
                <w:szCs w:val="14"/>
                <w:color w:val="auto"/>
              </w:rPr>
              <w:t>Amortization of unrecognized loss</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postretirement benefit cost in the US for the first quarter of 2006 and 2005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First Quarter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40" w:type="dxa"/>
            <w:vAlign w:val="bottom"/>
          </w:tcPr>
          <w:p>
            <w:pPr>
              <w:spacing w:after="0"/>
              <w:rPr>
                <w:sz w:val="20"/>
                <w:szCs w:val="20"/>
                <w:color w:val="auto"/>
              </w:rPr>
            </w:pPr>
            <w:r>
              <w:rPr>
                <w:rFonts w:ascii="Arial" w:cs="Arial" w:eastAsia="Arial" w:hAnsi="Arial"/>
                <w:sz w:val="14"/>
                <w:szCs w:val="14"/>
                <w:color w:val="auto"/>
              </w:rPr>
              <w:t>Amortization of unrecognized prior service cost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postretirement benefit cost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April 20, 2006, Schlumberger and Baker Hughes signed an agreement pursuant to which Schlumberger will acquire Baker Hughes’ 30% minority interest in WesternGeco for $2.4 billion in cash. Approximately 50% of the purchase price will be funded from Schlumberger’s cash and short-term investments. The remaining 50% will be financed through existing Schlumberger credit facilities.</w:t>
      </w:r>
    </w:p>
    <w:p>
      <w:pPr>
        <w:ind w:right="220" w:firstLine="228"/>
        <w:spacing w:after="0" w:line="250" w:lineRule="auto"/>
        <w:rPr>
          <w:sz w:val="20"/>
          <w:szCs w:val="20"/>
          <w:color w:val="auto"/>
        </w:rPr>
      </w:pPr>
      <w:r>
        <w:rPr>
          <w:rFonts w:ascii="Arial" w:cs="Arial" w:eastAsia="Arial" w:hAnsi="Arial"/>
          <w:sz w:val="18"/>
          <w:szCs w:val="18"/>
          <w:color w:val="auto"/>
        </w:rPr>
        <w:t>On April 20, 2006, the Board of Directors of Schlumberger approved a share buy-back program of up to 40 million shares to be acquired in the open market before April 2010, subject to market conditions.</w:t>
      </w:r>
    </w:p>
    <w:p>
      <w:pPr>
        <w:spacing w:after="0" w:line="1" w:lineRule="exact"/>
        <w:rPr>
          <w:sz w:val="20"/>
          <w:szCs w:val="20"/>
          <w:color w:val="auto"/>
        </w:rPr>
      </w:pPr>
    </w:p>
    <w:p>
      <w:pPr>
        <w:ind w:right="580" w:firstLine="228"/>
        <w:spacing w:after="0" w:line="300" w:lineRule="auto"/>
        <w:rPr>
          <w:sz w:val="20"/>
          <w:szCs w:val="20"/>
          <w:color w:val="auto"/>
        </w:rPr>
      </w:pPr>
      <w:r>
        <w:rPr>
          <w:rFonts w:ascii="Arial" w:cs="Arial" w:eastAsia="Arial" w:hAnsi="Arial"/>
          <w:sz w:val="15"/>
          <w:szCs w:val="15"/>
          <w:color w:val="auto"/>
        </w:rPr>
        <w:t>On April 12, 2006, the stockholders of Schlumberger approved an amendment to the Schlumberger Articles of Incorporation to increase the authorized common share capital of Schlumberger (as defined in the Schlumberger Articles of Incorporation) from 1,500,000,000 shares to 3,000,000,000 shares.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April 12, 2006, the stockholders of Schlumberger approved amendments to Schlumberger’s 2005 Stock Option Plan. These amendments include</w:t>
      </w:r>
    </w:p>
    <w:p>
      <w:pPr>
        <w:spacing w:after="0" w:line="32" w:lineRule="exact"/>
        <w:rPr>
          <w:sz w:val="20"/>
          <w:szCs w:val="20"/>
          <w:color w:val="auto"/>
        </w:rPr>
      </w:pPr>
    </w:p>
    <w:p>
      <w:pPr>
        <w:ind w:right="40" w:firstLine="8"/>
        <w:spacing w:after="0" w:line="261"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for the grant of restricted stock and restricted stock units with respect to up to 3,000,000 shares of common stock; (2) providing for certain limits on the vesting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holding period for restricted stock and restricted stock units; and (3) providing that restricted stock or restricted stock units may not be granted to executive officers of Schlumberger unless the grants are subject to performance-based vesting.</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First Quarter</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3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53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21"/>
                <w:szCs w:val="21"/>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chg</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Revenue</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w w:val="79"/>
              </w:rPr>
              <w:t>3,711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w w:val="84"/>
              </w:rPr>
              <w:t>2,779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Income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949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Pretax Segment Income</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rPr>
              <w:t>158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64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w:t>
            </w:r>
          </w:p>
        </w:tc>
      </w:tr>
    </w:tbl>
    <w:p>
      <w:pPr>
        <w:spacing w:after="0" w:line="128"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 xml:space="preserve">Pretax segment income represents the business segment’s income before taxes and minority interest. Pretax segment income excludes corporate expenses, interest income, interest expense, amortization of certain intangibles, interest on post-retirement benefits, stock-based compensation costs and the </w:t>
      </w:r>
      <w:r>
        <w:rPr>
          <w:rFonts w:ascii="Arial" w:cs="Arial" w:eastAsia="Arial" w:hAnsi="Arial"/>
          <w:sz w:val="16"/>
          <w:szCs w:val="16"/>
          <w:i w:val="1"/>
          <w:iCs w:val="1"/>
          <w:color w:val="auto"/>
        </w:rPr>
        <w:t>Charges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Credits </w:t>
      </w:r>
      <w:r>
        <w:rPr>
          <w:rFonts w:ascii="Arial" w:cs="Arial" w:eastAsia="Arial" w:hAnsi="Arial"/>
          <w:sz w:val="16"/>
          <w:szCs w:val="16"/>
          <w:color w:val="auto"/>
        </w:rPr>
        <w:t>described in detail in Note 2 to the</w:t>
      </w:r>
      <w:r>
        <w:rPr>
          <w:rFonts w:ascii="Arial" w:cs="Arial" w:eastAsia="Arial" w:hAnsi="Arial"/>
          <w:sz w:val="16"/>
          <w:szCs w:val="16"/>
          <w:i w:val="1"/>
          <w:iCs w:val="1"/>
          <w:color w:val="auto"/>
        </w:rPr>
        <w:t xml:space="preserve"> Consolidated Financial Statements</w:t>
      </w:r>
      <w:r>
        <w:rPr>
          <w:rFonts w:ascii="Arial" w:cs="Arial" w:eastAsia="Arial" w:hAnsi="Arial"/>
          <w:sz w:val="16"/>
          <w:szCs w:val="16"/>
          <w:color w:val="auto"/>
        </w:rPr>
        <w:t>, as these items are not allocated to the segments.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2006 Compared to First Quarter 2005</w:t>
      </w:r>
    </w:p>
    <w:p>
      <w:pPr>
        <w:spacing w:after="0" w:line="7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Operating revenue for the first quarter of 2006 was $4.24 billion versus $3.16 billion for the same period last year. Income from continuing operations before income taxes and minority interest was $1.02 billion in 2006 compared to $679 million in 2005. There were no Charges and Credits in the first quarter of 2006 while the 2005 results include net pretax credits of $134 million. These Charges and Credits are described in detail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Net income for the first quarter of 2006, was $723 million compared to $523 million in the first quarter of last year. Net income in 2005 included a loss from discontinued operations of $1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First-quarter revenue of $3.71 billion was 4% higher sequentially and 34% higher year-on-year.</w:t>
      </w:r>
    </w:p>
    <w:p>
      <w:pPr>
        <w:spacing w:after="0" w:line="15"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The sequential revenue increase was driven primarily by North America, led by Drilling &amp; Measurements, Well Services and Wireline Technologies, each of which recorded strong double-digit increases.</w:t>
      </w:r>
    </w:p>
    <w:p>
      <w:pPr>
        <w:spacing w:after="0" w:line="1" w:lineRule="exact"/>
        <w:rPr>
          <w:sz w:val="20"/>
          <w:szCs w:val="20"/>
          <w:color w:val="auto"/>
        </w:rPr>
      </w:pPr>
    </w:p>
    <w:p>
      <w:pPr>
        <w:ind w:right="420" w:firstLine="228"/>
        <w:spacing w:after="0" w:line="261" w:lineRule="auto"/>
        <w:rPr>
          <w:sz w:val="20"/>
          <w:szCs w:val="20"/>
          <w:color w:val="auto"/>
        </w:rPr>
      </w:pPr>
      <w:r>
        <w:rPr>
          <w:rFonts w:ascii="Arial" w:cs="Arial" w:eastAsia="Arial" w:hAnsi="Arial"/>
          <w:sz w:val="18"/>
          <w:szCs w:val="18"/>
          <w:color w:val="auto"/>
        </w:rPr>
        <w:t>Pretax operating income of $949 million increased 11% sequentially and 70% year-on-year driven by pricing and operating efficiency improvements that resulted in sequential growth of 170 bps in pretax operating margins to reach 25.6%.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Revenue of $1.23 billion increased 18% sequentially and 41% year-on-year. Pretax operating income of $375 million increased 35% sequentially and 85% year-on-year.</w:t>
      </w:r>
    </w:p>
    <w:p>
      <w:pPr>
        <w:ind w:right="160" w:firstLine="228"/>
        <w:spacing w:after="0" w:line="261" w:lineRule="auto"/>
        <w:rPr>
          <w:sz w:val="20"/>
          <w:szCs w:val="20"/>
          <w:color w:val="auto"/>
        </w:rPr>
      </w:pPr>
      <w:r>
        <w:rPr>
          <w:rFonts w:ascii="Arial" w:cs="Arial" w:eastAsia="Arial" w:hAnsi="Arial"/>
          <w:sz w:val="18"/>
          <w:szCs w:val="18"/>
          <w:color w:val="auto"/>
        </w:rPr>
        <w:t>Robust revenue growth in the Area was driven primarily by stronger rig count levels in the Canada and US Land GeoMarkets, coupled with continuing price increases, accelerated adoption of new technologies and improved operating efficiency.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39"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Sequential pretax operating income growth was led by Canada with increased margins achieved on winter projects in the West. US Land continued to increase as a result of strong pricing gains led by Wireline, Drilling &amp; Measurements and Well Services activities, and greater efficiency levels due to increased deployment of 24-hour operations on certain stimulation projects. North America pretax operating margins surpassed 30%. Pricing increases across the region, and strong growth in Well Services and Wireline activity drove pretax operating income growth year-on-year.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Revenue of $594 million declined 4% sequentially but grew 27% year-on-year. Pretax operating income of $96 million increased 6% sequentially and 49% year-on-year.</w:t>
      </w:r>
    </w:p>
    <w:p>
      <w:pPr>
        <w:ind w:right="20" w:firstLine="228"/>
        <w:spacing w:after="0" w:line="250" w:lineRule="auto"/>
        <w:rPr>
          <w:sz w:val="20"/>
          <w:szCs w:val="20"/>
          <w:color w:val="auto"/>
        </w:rPr>
      </w:pPr>
      <w:r>
        <w:rPr>
          <w:rFonts w:ascii="Arial" w:cs="Arial" w:eastAsia="Arial" w:hAnsi="Arial"/>
          <w:sz w:val="18"/>
          <w:szCs w:val="18"/>
          <w:color w:val="auto"/>
        </w:rPr>
        <w:t>Rising rig count coupled with pricing increases and ramp up of offshore activity drove sequential revenue growth in the Venezuela/Trinidad/Tobago GeoMarket. The slight sequential decline in revenue in the Area was principally attributable to lower levels of third-party managed services on integrated projects in Mexico.</w:t>
      </w:r>
    </w:p>
    <w:p>
      <w:pPr>
        <w:spacing w:after="0" w:line="1" w:lineRule="exact"/>
        <w:rPr>
          <w:sz w:val="20"/>
          <w:szCs w:val="20"/>
          <w:color w:val="auto"/>
        </w:rPr>
      </w:pPr>
    </w:p>
    <w:p>
      <w:pPr>
        <w:ind w:right="160" w:firstLine="228"/>
        <w:spacing w:after="0" w:line="254" w:lineRule="auto"/>
        <w:rPr>
          <w:sz w:val="20"/>
          <w:szCs w:val="20"/>
          <w:color w:val="auto"/>
        </w:rPr>
      </w:pPr>
      <w:r>
        <w:rPr>
          <w:rFonts w:ascii="Arial" w:cs="Arial" w:eastAsia="Arial" w:hAnsi="Arial"/>
          <w:sz w:val="18"/>
          <w:szCs w:val="18"/>
          <w:color w:val="auto"/>
        </w:rPr>
        <w:t>During the quarter, the Area experienced a more favorable activity mix, pricing gains and increased demand for Well Testing services and Drilling &amp; Measurements Scope* technologies—all of which contributed to the sequential gains in pretax operating income that resulted in growth of 160 bps in pretax operating margins. Continued rising profitability in Integrated Projects coupled with strong Drilling &amp; Measurements results across the region accounted for the year-on-year gains.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color w:val="auto"/>
        </w:rPr>
        <w:t>Revenue of $1.0 billion declined 1% sequentially but increased 33% year-on-year. Pretax operating income of $210 million declined 7% sequentially but increased 70% year-on-year.</w:t>
      </w:r>
    </w:p>
    <w:p>
      <w:pPr>
        <w:ind w:right="160" w:firstLine="228"/>
        <w:spacing w:after="0" w:line="250" w:lineRule="auto"/>
        <w:rPr>
          <w:sz w:val="20"/>
          <w:szCs w:val="20"/>
          <w:color w:val="auto"/>
        </w:rPr>
      </w:pPr>
      <w:r>
        <w:rPr>
          <w:rFonts w:ascii="Arial" w:cs="Arial" w:eastAsia="Arial" w:hAnsi="Arial"/>
          <w:sz w:val="18"/>
          <w:szCs w:val="18"/>
          <w:color w:val="auto"/>
        </w:rPr>
        <w:t>Sequential revenue performance was impacted by extreme winter weather conditions across Russia and the Caspian, negatively affecting activity for a three-week period. Activity resumed normal levels by the end of the quarter. The effect of the slowdown was partially offset by increased activity in the North Sea GeoMarket due to operating efficiencies, favorable seasonal weather conditions and accelerating demand for Wireline and Drilling &amp; Measurements new technologies. Double-digit growth was also recorded in the North Africa, Continental Europe and Nigeria GeoMarkets. The year-on-year revenue increase reflected activity growth throughout the Area and also reflects the impact of the consolidation of PetroAlliance which commenced in the second quarter of 2005 when a controlling interest was acquired.</w:t>
      </w:r>
    </w:p>
    <w:p>
      <w:pPr>
        <w:spacing w:after="0" w:line="3" w:lineRule="exact"/>
        <w:rPr>
          <w:sz w:val="20"/>
          <w:szCs w:val="20"/>
          <w:color w:val="auto"/>
        </w:rPr>
      </w:pPr>
    </w:p>
    <w:p>
      <w:pPr>
        <w:ind w:right="360" w:firstLine="228"/>
        <w:spacing w:after="0" w:line="302" w:lineRule="auto"/>
        <w:rPr>
          <w:sz w:val="20"/>
          <w:szCs w:val="20"/>
          <w:color w:val="auto"/>
        </w:rPr>
      </w:pPr>
      <w:r>
        <w:rPr>
          <w:rFonts w:ascii="Arial" w:cs="Arial" w:eastAsia="Arial" w:hAnsi="Arial"/>
          <w:sz w:val="16"/>
          <w:szCs w:val="16"/>
          <w:color w:val="auto"/>
        </w:rPr>
        <w:t>The robust gains achieved in the North Sea GeoMarket were not sufficient to offset the decline in sequential pretax operating income, due primarily to the weather-induced lower activity levels in Russia and the Caspian. Year-on-year pretax operating income increases resulted from strong pricing and higher utilization levels, coupled with growing Wireline, Drilling &amp; Measurements and Well Testing margins.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of $863 million was flat sequentially but 29% higher year-on-year. Pretax operating income of $271 million increased 2% sequentially and 55% year-on-year.</w:t>
      </w:r>
    </w:p>
    <w:p>
      <w:pPr>
        <w:ind w:right="200" w:firstLine="228"/>
        <w:spacing w:after="0" w:line="281" w:lineRule="auto"/>
        <w:rPr>
          <w:sz w:val="20"/>
          <w:szCs w:val="20"/>
          <w:color w:val="auto"/>
        </w:rPr>
      </w:pPr>
      <w:r>
        <w:rPr>
          <w:rFonts w:ascii="Arial" w:cs="Arial" w:eastAsia="Arial" w:hAnsi="Arial"/>
          <w:sz w:val="16"/>
          <w:szCs w:val="16"/>
          <w:color w:val="auto"/>
        </w:rPr>
        <w:t>Higher activity, together with acceptance of new Schlumberger technologies such as the Drilling &amp; Measurements Scope family of drilling services in Saudi Arabia, resulted in double-digit growth in sequential revenue for the Arabian GeoMarket. This GeoMarket is the fastest growing in Schlumberger worldwide.</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These results, combined with sustained demand for Well Services technologies in the India GeoMarket and Wireline and Well Testing technologies in the Thailand/Vietnam GeoMarket, were offset by seasonal project transitions in the Area—all of which were completed by the end of the quarter—and by declines in Well Testing activity, resulting in flat sequential revenues for the quarter.</w:t>
      </w:r>
    </w:p>
    <w:p>
      <w:pPr>
        <w:spacing w:after="0" w:line="1"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Area pretax operating margins showed continued improvement in the quarter—growing 60 bps sequentially—primarily due to increased activity in Drilling &amp; Measurements, Wireline and Well Services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Technologies. The year-on-year revenue and pretax operating income increases resulted from the activity growth and the increased take up of new technologies with improved margins.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First-quarter revenue of $530 million was 14% higher sequentially and 40% higher compared to the same period last year. Pretax operating income of $158 million improved 44% sequentially and $95 million year-on-year.</w:t>
      </w:r>
    </w:p>
    <w:p>
      <w:pPr>
        <w:ind w:right="180" w:firstLine="228"/>
        <w:spacing w:after="0" w:line="250" w:lineRule="auto"/>
        <w:rPr>
          <w:sz w:val="20"/>
          <w:szCs w:val="20"/>
          <w:color w:val="auto"/>
        </w:rPr>
      </w:pPr>
      <w:r>
        <w:rPr>
          <w:rFonts w:ascii="Arial" w:cs="Arial" w:eastAsia="Arial" w:hAnsi="Arial"/>
          <w:sz w:val="18"/>
          <w:szCs w:val="18"/>
          <w:color w:val="auto"/>
        </w:rPr>
        <w:t>Marine revenue reached record levels in the quarter with vessel utilization attaining 97%, while pricing improved 58% versus the same period last year. This increased level of activity is attributable to continued strength in exploration seismic activity. Reflecting confidence in the exploration market, a seventh Q* vessel will be commissioned in the second quarter of 2007.</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Land acquisition revenue increased sequentially due to new crews being added in Russia and Chile, as well as higher Q-Land* activity in Kuwait.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Data Processing sequential revenue declined slightly and Multiclient revenue remained at levels similar to the previous quarter.</w:t>
      </w:r>
    </w:p>
    <w:p>
      <w:pPr>
        <w:spacing w:after="0" w:line="9"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Marine led year-on-year revenue growth with higher Q-vessel utilization augmented by improved pricing and contractual terms. Growth in Land, Multiclient and Data Processing revenues also contributed to the increase.</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Multiclient sales in the first quarter of 2006 were $164 million compared to $141 million in the prior year. Approximately 65% of the multiclient surveys sold in 2006 has no net book value due to prior amortization of capitalized costs, compared to 70% in 2005.</w:t>
      </w:r>
    </w:p>
    <w:p>
      <w:pPr>
        <w:spacing w:after="0" w:line="1"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Sequential improvement in pretax operating income was mainly in Marine due to higher utilization and improved pricing. Land acquisition also improved due to the higher active crew count. Overall pretax operating margins reached a record level of 29.9%.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 for the first quarter of 2006 and 2005: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20" w:type="dxa"/>
            <w:vAlign w:val="bottom"/>
            <w:tcBorders>
              <w:top w:val="single" w:sz="8" w:color="auto"/>
            </w:tcBorders>
          </w:tcPr>
          <w:p>
            <w:pPr>
              <w:spacing w:after="0"/>
              <w:rPr>
                <w:sz w:val="15"/>
                <w:szCs w:val="15"/>
                <w:color w:val="auto"/>
              </w:rPr>
            </w:pPr>
          </w:p>
        </w:tc>
        <w:tc>
          <w:tcPr>
            <w:tcW w:w="94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First Quarter</w:t>
            </w:r>
          </w:p>
        </w:tc>
        <w:tc>
          <w:tcPr>
            <w:tcW w:w="0" w:type="dxa"/>
            <w:vAlign w:val="bottom"/>
          </w:tcPr>
          <w:p>
            <w:pPr>
              <w:spacing w:after="0"/>
              <w:rPr>
                <w:sz w:val="1"/>
                <w:szCs w:val="1"/>
                <w:color w:val="auto"/>
              </w:rPr>
            </w:pPr>
          </w:p>
        </w:tc>
      </w:tr>
      <w:tr>
        <w:trPr>
          <w:trHeight w:val="76"/>
        </w:trPr>
        <w:tc>
          <w:tcPr>
            <w:tcW w:w="220" w:type="dxa"/>
            <w:vAlign w:val="bottom"/>
          </w:tcPr>
          <w:p>
            <w:pPr>
              <w:spacing w:after="0"/>
              <w:rPr>
                <w:sz w:val="6"/>
                <w:szCs w:val="6"/>
                <w:color w:val="auto"/>
              </w:rPr>
            </w:pPr>
          </w:p>
        </w:tc>
        <w:tc>
          <w:tcPr>
            <w:tcW w:w="9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94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9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Gain on sale of facility in Montrouge, France </w:t>
            </w:r>
            <w:r>
              <w:rPr>
                <w:rFonts w:ascii="Arial" w:cs="Arial" w:eastAsia="Arial" w:hAnsi="Arial"/>
                <w:sz w:val="20"/>
                <w:szCs w:val="20"/>
                <w:color w:val="auto"/>
                <w:vertAlign w:val="superscript"/>
              </w:rPr>
              <w:t>1</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9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4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480" w:type="dxa"/>
            <w:vAlign w:val="bottom"/>
            <w:vMerge w:val="restart"/>
          </w:tcPr>
          <w:p>
            <w:pPr>
              <w:ind w:left="120"/>
              <w:spacing w:after="0"/>
              <w:rPr>
                <w:sz w:val="20"/>
                <w:szCs w:val="20"/>
                <w:color w:val="auto"/>
              </w:rPr>
            </w:pPr>
            <w:r>
              <w:rPr>
                <w:rFonts w:ascii="Arial" w:cs="Arial" w:eastAsia="Arial" w:hAnsi="Arial"/>
                <w:sz w:val="14"/>
                <w:szCs w:val="14"/>
                <w:color w:val="auto"/>
              </w:rPr>
              <w:t>See discussion of Charges and Credits on the following page.</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vMerge w:val="continue"/>
          </w:tcPr>
          <w:p>
            <w:pPr>
              <w:spacing w:after="0"/>
              <w:rPr>
                <w:sz w:val="24"/>
                <w:szCs w:val="24"/>
                <w:color w:val="auto"/>
              </w:rPr>
            </w:pPr>
          </w:p>
        </w:tc>
        <w:tc>
          <w:tcPr>
            <w:tcW w:w="9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6709410</wp:posOffset>
            </wp:positionH>
            <wp:positionV relativeFrom="paragraph">
              <wp:posOffset>-463550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-463550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17589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average return on investment increased from 2.8% in the first quarter of 2005 to 4.0% in the first quarter of 2006 and the average investment balance of $3.6 billion in 2006 increased $776 million compared to 2005.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Interest expense of $47.8 million in the first quarter of 2006 increased by $1.3 million compared to the same period last year. The weighted average borrowing rates of 4.4% increased in the first quarter of 2006 from 4.1% in the same period last year. Average debt balance of $4.4 billion in the first quarter of 2006 decreased by $200 million compared to the same period last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Gross margin was 29.4% and 23.9% in 2006 and 2005, respectively. The increase in gross margin is due to a combination of record activity levels in Oilfield Services, with operations at capacity in a number of regions, and continued pricing improvements in both Oilfield Services and WesternGeco.</w:t>
      </w:r>
    </w:p>
    <w:p>
      <w:pPr>
        <w:ind w:left="240"/>
        <w:spacing w:after="0"/>
        <w:rPr>
          <w:sz w:val="20"/>
          <w:szCs w:val="20"/>
          <w:color w:val="auto"/>
        </w:rPr>
      </w:pPr>
      <w:r>
        <w:rPr>
          <w:rFonts w:ascii="Arial" w:cs="Arial" w:eastAsia="Arial" w:hAnsi="Arial"/>
          <w:sz w:val="16"/>
          <w:szCs w:val="16"/>
          <w:color w:val="auto"/>
        </w:rPr>
        <w:t>As a percentage of revenue, research &amp; engineering, marketing and general &amp; administrative expenses for the first quarter of 2006 and 2005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2006</w:t>
            </w:r>
          </w:p>
        </w:tc>
        <w:tc>
          <w:tcPr>
            <w:tcW w:w="7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Research and engineering</w:t>
            </w:r>
          </w:p>
        </w:tc>
        <w:tc>
          <w:tcPr>
            <w:tcW w:w="4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b w:val="1"/>
                <w:bCs w:val="1"/>
                <w:color w:val="auto"/>
              </w:rPr>
              <w:t>3.1%</w:t>
            </w:r>
          </w:p>
        </w:tc>
        <w:tc>
          <w:tcPr>
            <w:tcW w:w="19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gridSpan w:val="2"/>
          </w:tcPr>
          <w:p>
            <w:pPr>
              <w:spacing w:after="0" w:line="149" w:lineRule="exact"/>
              <w:rPr>
                <w:sz w:val="20"/>
                <w:szCs w:val="20"/>
                <w:color w:val="auto"/>
              </w:rPr>
            </w:pPr>
            <w:r>
              <w:rPr>
                <w:rFonts w:ascii="Arial" w:cs="Arial" w:eastAsia="Arial" w:hAnsi="Arial"/>
                <w:sz w:val="14"/>
                <w:szCs w:val="14"/>
                <w:color w:val="auto"/>
              </w:rPr>
              <w:t>Marketing</w:t>
            </w:r>
          </w:p>
        </w:tc>
        <w:tc>
          <w:tcPr>
            <w:tcW w:w="43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0.3%</w:t>
            </w:r>
          </w:p>
        </w:tc>
        <w:tc>
          <w:tcPr>
            <w:tcW w:w="19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4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b w:val="1"/>
                <w:bCs w:val="1"/>
                <w:color w:val="auto"/>
              </w:rPr>
              <w:t>2.3%</w:t>
            </w:r>
          </w:p>
        </w:tc>
        <w:tc>
          <w:tcPr>
            <w:tcW w:w="19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060" w:type="dxa"/>
            <w:vAlign w:val="bottom"/>
            <w:gridSpan w:val="2"/>
          </w:tcPr>
          <w:p>
            <w:pPr>
              <w:ind w:left="220"/>
              <w:spacing w:after="0"/>
              <w:rPr>
                <w:sz w:val="20"/>
                <w:szCs w:val="20"/>
                <w:color w:val="auto"/>
              </w:rPr>
            </w:pPr>
            <w:r>
              <w:rPr>
                <w:rFonts w:ascii="Arial" w:cs="Arial" w:eastAsia="Arial" w:hAnsi="Arial"/>
                <w:sz w:val="18"/>
                <w:szCs w:val="18"/>
                <w:color w:val="auto"/>
              </w:rPr>
              <w:t>Research and engineering expenditures, by segment for the first quarter of 2006 and 2005, were as follows:</w:t>
            </w:r>
          </w:p>
        </w:tc>
        <w:tc>
          <w:tcPr>
            <w:tcW w:w="36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9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6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(Stated in millions)</w:t>
            </w:r>
          </w:p>
        </w:tc>
        <w:tc>
          <w:tcPr>
            <w:tcW w:w="360" w:type="dxa"/>
            <w:vAlign w:val="bottom"/>
            <w:tcBorders>
              <w:bottom w:val="single" w:sz="8" w:color="auto"/>
            </w:tcBorders>
            <w:shd w:val="clear" w:color="auto" w:fill="CCEEFF"/>
          </w:tcPr>
          <w:p>
            <w:pPr>
              <w:spacing w:after="0"/>
              <w:rPr>
                <w:sz w:val="12"/>
                <w:szCs w:val="12"/>
                <w:color w:val="auto"/>
              </w:rPr>
            </w:pPr>
          </w:p>
        </w:tc>
        <w:tc>
          <w:tcPr>
            <w:tcW w:w="70" w:type="dxa"/>
            <w:vAlign w:val="bottom"/>
            <w:tcBorders>
              <w:bottom w:val="single" w:sz="8" w:color="auto"/>
            </w:tcBorders>
            <w:shd w:val="clear" w:color="auto" w:fill="CCEEFF"/>
          </w:tcPr>
          <w:p>
            <w:pPr>
              <w:spacing w:after="0"/>
              <w:rPr>
                <w:sz w:val="12"/>
                <w:szCs w:val="12"/>
                <w:color w:val="auto"/>
              </w:rPr>
            </w:pPr>
          </w:p>
        </w:tc>
        <w:tc>
          <w:tcPr>
            <w:tcW w:w="19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91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First Quarter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7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 w:type="dxa"/>
            <w:vAlign w:val="bottom"/>
          </w:tcPr>
          <w:p>
            <w:pPr>
              <w:spacing w:after="0"/>
              <w:rPr>
                <w:sz w:val="8"/>
                <w:szCs w:val="8"/>
                <w:color w:val="auto"/>
              </w:rPr>
            </w:pPr>
          </w:p>
        </w:tc>
        <w:tc>
          <w:tcPr>
            <w:tcW w:w="1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The effective tax rate for the first quarter of 2006 was 25.1% compared to 20.3% in the prior year. The rate in 2005 reflects the impact of the $146 million gain on the sale of the Montrouge facility. This transaction allowed for the utilization of a deferred tax asset that was previously offset by a valuation allowance and had the effect of lowering the effective tax rate during the first quarter of 2005 by 5.5%.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and Credits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March 2005, Schlumberger sold its facility in Montrouge, France to a third party for $230 million resulting in a pretax and after-tax gain, of approximately</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 xml:space="preserve">$146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This transaction allowed for the utilization of a deferred tax asset that was previously offset by a valuation allowance. Schlumberger also recorded other real estate related pretax charges of approximately $12 million ($11 million after-tax), which are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first quarter 2005 Charges &amp; Credits: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tcPr>
          <w:p>
            <w:pPr>
              <w:spacing w:after="0"/>
              <w:rPr>
                <w:sz w:val="12"/>
                <w:szCs w:val="12"/>
                <w:color w:val="auto"/>
              </w:rPr>
            </w:pPr>
          </w:p>
        </w:tc>
        <w:tc>
          <w:tcPr>
            <w:tcW w:w="4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Pretax</w:t>
            </w: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Tax</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4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5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Other real estate related charges</w:t>
            </w:r>
          </w:p>
        </w:tc>
        <w:tc>
          <w:tcPr>
            <w:tcW w:w="4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55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980" w:type="dxa"/>
            <w:vAlign w:val="bottom"/>
            <w:vMerge w:val="restart"/>
          </w:tcPr>
          <w:p>
            <w:pPr>
              <w:jc w:val="right"/>
              <w:ind w:right="3092"/>
              <w:spacing w:after="0"/>
              <w:rPr>
                <w:sz w:val="20"/>
                <w:szCs w:val="20"/>
                <w:color w:val="auto"/>
              </w:rPr>
            </w:pPr>
            <w:r>
              <w:rPr>
                <w:rFonts w:ascii="Arial" w:cs="Arial" w:eastAsia="Arial" w:hAnsi="Arial"/>
                <w:sz w:val="14"/>
                <w:szCs w:val="14"/>
                <w:color w:val="auto"/>
              </w:rPr>
              <w:t>19</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-292735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-292735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-292735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-292735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Other</w:t>
      </w:r>
    </w:p>
    <w:p>
      <w:pPr>
        <w:spacing w:after="0" w:line="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As discussed in further detail in Note 13 to the Consolidated Financial Statements for the quarter ended March 31, 2006, Schlumberger adopted the provisions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effective January 1, 2006. The adoption of this standard resulted in Schlumberger recording $6 million of additional stock-based compensation charges in the first quarter of 2006 and it will result in an additional $5 million being recognized per quarter throughout the remainder of 2006.</w:t>
      </w:r>
    </w:p>
    <w:p>
      <w:pPr>
        <w:spacing w:after="0" w:line="1"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Stock-based compensation expense was $25.8 million in the first quarter of 2006 compared to $8.8 million in the first quarter of the prior year. Total stock-based compensation expense for all of fiscal 2005 was $40 million and it is currently estimated to be $112 million in 2006.</w:t>
      </w:r>
    </w:p>
    <w:p>
      <w:pPr>
        <w:spacing w:after="0" w:line="1"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This increase in stock-based compensation expense primarily reflects the full impact of the adoption of both SFAS 123 (adopted by Schlumberger effective January 1, 2003 on a prospective basis for grants after January 1, 2003- see Note 13) and SFAS 123R, as well as an increase in the fair value of stock-based awards due to the increase in Schlumberger stock price.</w:t>
      </w:r>
    </w:p>
    <w:p>
      <w:pPr>
        <w:spacing w:after="0" w:line="1" w:lineRule="exact"/>
        <w:rPr>
          <w:sz w:val="20"/>
          <w:szCs w:val="20"/>
          <w:color w:val="auto"/>
        </w:rPr>
      </w:pPr>
    </w:p>
    <w:p>
      <w:pPr>
        <w:jc w:val="both"/>
        <w:ind w:right="60" w:firstLine="228"/>
        <w:spacing w:after="0" w:line="302" w:lineRule="auto"/>
        <w:rPr>
          <w:sz w:val="20"/>
          <w:szCs w:val="20"/>
          <w:color w:val="auto"/>
        </w:rPr>
      </w:pPr>
      <w:r>
        <w:rPr>
          <w:rFonts w:ascii="Arial" w:cs="Arial" w:eastAsia="Arial" w:hAnsi="Arial"/>
          <w:sz w:val="16"/>
          <w:szCs w:val="16"/>
          <w:color w:val="auto"/>
        </w:rPr>
        <w:t>As previously disclosed, during 2006 Schlumberger will relocate its United States corporate offices from New York to Texas. Schlumberger will also relocate its United States research center from Ridgefield to Boston in 2006. Schlumberger currently estimates that it will incur approximately $25 million to $30 million in incremental expenses in connection with these moves in 2006. To date, Schlumberger has incurred approximately $5 million in such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April 20, 2006, Schlumberger and Baker Hughes signed an agreement pursuant to which Schlumberger will acquire Baker Hughes’ 30% minority interest in WesternGeco for $2.4 billion in cash. Approximately 50% of the purchase price will be funded from Schlumberger’s cash and short-term investments. The remaining 50% will be financed through existing Schlumberger credit facilities.</w:t>
      </w:r>
    </w:p>
    <w:p>
      <w:pPr>
        <w:ind w:firstLine="228"/>
        <w:spacing w:after="0" w:line="281" w:lineRule="auto"/>
        <w:rPr>
          <w:sz w:val="20"/>
          <w:szCs w:val="20"/>
          <w:color w:val="auto"/>
        </w:rPr>
      </w:pPr>
      <w:r>
        <w:rPr>
          <w:rFonts w:ascii="Arial" w:cs="Arial" w:eastAsia="Arial" w:hAnsi="Arial"/>
          <w:sz w:val="16"/>
          <w:szCs w:val="16"/>
          <w:color w:val="auto"/>
        </w:rPr>
        <w:t>During the first quarter of 2006, Schlumberger completed the 15 million-share (30 million split-adjusted) buy-back program initiated in July 2004 for a total amount of $1.2 billion, at an average share price of $79 ($39.50 split-adjusted). On April 20, 2006, the Board of Directors of Schlumberger approved a new share buy-back program of up to 40 million shares, on a split adjusted basis, to be acquired in the open market before April 2010, subject to market conditions.</w:t>
      </w:r>
    </w:p>
    <w:p>
      <w:pPr>
        <w:spacing w:after="0" w:line="2"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During the first three months of 2006, cash provided by operations was $565 million as net income, depreciation/amortization and deferred income taxes were only partially offset by increases in customer receivables and a decrease in accounts payable and accrued liabilities, which included a US pension funding contribution of $200 million. Cash used by investing activities was $428 million was due mainly to investments in fixed assets ($467 million). Cash used by financing activities was $175 million as the payment of dividends to shareholders ($124 million) and stock repurchase plan ($254 million) were only partially offset by the proceeds from employee stock plans ($156 million).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II</w:t>
      </w:r>
    </w:p>
    <w:p>
      <w:pPr>
        <w:spacing w:after="0" w:line="206" w:lineRule="exact"/>
        <w:rPr>
          <w:sz w:val="20"/>
          <w:szCs w:val="20"/>
          <w:color w:val="auto"/>
        </w:rPr>
      </w:pPr>
    </w:p>
    <w:p>
      <w:pPr>
        <w:jc w:val="both"/>
        <w:ind w:right="220" w:firstLine="228"/>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 indebtedness by reflecting cash and investments that could be used to repay debt, and that the level of net debt provides useful information as to the results of Schlumberger deleveraging efforts. Details of the Net Debt follows: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Mar. 31</w:t>
            </w:r>
          </w:p>
        </w:tc>
        <w:tc>
          <w:tcPr>
            <w:tcW w:w="50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w w:val="86"/>
              </w:rPr>
              <w:t>Mar.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period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(532)</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(31)</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120"/>
              <w:spacing w:after="0" w:line="149" w:lineRule="exact"/>
              <w:rPr>
                <w:sz w:val="20"/>
                <w:szCs w:val="20"/>
                <w:color w:val="auto"/>
              </w:rPr>
            </w:pPr>
            <w:r>
              <w:rPr>
                <w:rFonts w:ascii="Arial" w:cs="Arial" w:eastAsia="Arial" w:hAnsi="Arial"/>
                <w:sz w:val="14"/>
                <w:szCs w:val="14"/>
                <w:color w:val="auto"/>
              </w:rPr>
              <w:t>Charges and credits, net of tax</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4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120"/>
              <w:spacing w:after="0" w:line="149" w:lineRule="exact"/>
              <w:rPr>
                <w:sz w:val="20"/>
                <w:szCs w:val="20"/>
                <w:color w:val="auto"/>
              </w:rPr>
            </w:pPr>
            <w:r>
              <w:rPr>
                <w:rFonts w:ascii="Arial" w:cs="Arial" w:eastAsia="Arial" w:hAnsi="Arial"/>
                <w:sz w:val="14"/>
                <w:szCs w:val="14"/>
                <w:color w:val="auto"/>
              </w:rPr>
              <w:t>Increase in working capital</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(421)</w:t>
            </w: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pension plan contributions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4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(499)</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employee stock plans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(254)</w:t>
            </w: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(124)</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40" w:type="dxa"/>
            <w:vAlign w:val="bottom"/>
          </w:tcPr>
          <w:p>
            <w:pPr>
              <w:ind w:left="120"/>
              <w:spacing w:after="0" w:line="149" w:lineRule="exact"/>
              <w:rPr>
                <w:sz w:val="20"/>
                <w:szCs w:val="20"/>
                <w:color w:val="auto"/>
              </w:rPr>
            </w:pPr>
            <w:r>
              <w:rPr>
                <w:rFonts w:ascii="Arial" w:cs="Arial" w:eastAsia="Arial" w:hAnsi="Arial"/>
                <w:sz w:val="14"/>
                <w:szCs w:val="14"/>
                <w:color w:val="auto"/>
              </w:rPr>
              <w:t>Business acquisitions and related payments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(66)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effect on net debt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(7)</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40" w:type="dxa"/>
            <w:vAlign w:val="bottom"/>
          </w:tcPr>
          <w:p>
            <w:pPr>
              <w:ind w:left="1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04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period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(802)</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(1,300)</w:t>
            </w: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884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gridSpan w:val="2"/>
            <w:vMerge w:val="continue"/>
          </w:tcPr>
          <w:p>
            <w:pPr>
              <w:spacing w:after="0"/>
              <w:rPr>
                <w:sz w:val="24"/>
                <w:szCs w:val="24"/>
                <w:color w:val="auto"/>
              </w:rPr>
            </w:pPr>
          </w:p>
        </w:tc>
        <w:tc>
          <w:tcPr>
            <w:tcW w:w="8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6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 31</w:t>
            </w:r>
          </w:p>
        </w:tc>
        <w:tc>
          <w:tcPr>
            <w:tcW w:w="9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Mar. 31</w:t>
            </w: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61"/>
        </w:trPr>
        <w:tc>
          <w:tcPr>
            <w:tcW w:w="906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short term investments</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3,234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3,040</w:t>
            </w:r>
          </w:p>
        </w:tc>
        <w:tc>
          <w:tcPr>
            <w:tcW w:w="4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$ 3,496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w:t>
            </w:r>
          </w:p>
        </w:tc>
        <w:tc>
          <w:tcPr>
            <w:tcW w:w="4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(802)</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(622)</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(3,635)</w:t>
            </w:r>
          </w:p>
        </w:tc>
        <w:tc>
          <w:tcPr>
            <w:tcW w:w="100" w:type="dxa"/>
            <w:vAlign w:val="bottom"/>
          </w:tcPr>
          <w:p>
            <w:pPr>
              <w:spacing w:after="0"/>
              <w:rPr>
                <w:sz w:val="15"/>
                <w:szCs w:val="15"/>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4"/>
                <w:szCs w:val="14"/>
                <w:color w:val="auto"/>
                <w:w w:val="85"/>
              </w:rPr>
              <w:t>(3,946)</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gridSpan w:val="3"/>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8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(802)</w:t>
            </w:r>
          </w:p>
        </w:tc>
        <w:tc>
          <w:tcPr>
            <w:tcW w:w="94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5"/>
              </w:rPr>
              <w:t>$ (1,300)</w:t>
            </w: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(532)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-1332865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-1332865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-1332865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-1332865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-1332865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-1332865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30416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 and its customers; the adoption of SFAS 123R and stock-based compensation expense; the funding of the WesternGeco transaction; the stock buy-back program;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this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3, 4</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Disclosures About Market Risk,” of our Annual Report on Form 10-K for the year ended December 31, 2005. Schlumberger exposure to market risk has not changed materially since December 31, 2005.</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 disclosure controls and procedures were effective as of March 31, 2006 to ensure that information required to be disclosed by Schlumberger in reports that it files or submits under the Exchange Act is recorded, processed, summarized and reported within the time periods specified in Securities and Exchange Commission rules and forms and that information required to be disclosed is accumulated and communicated to management, including the CEO and CFO, to allow timely decisions regarding required disclosure. There has been no change in Schlumberger’s internal controls over financial reporting that occurred during the quarter ended March 31, 2006 that has materially affected, or is reasonably likely to materially affect, Schlumberger’s internal controls over financial reporting.</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of Schlumberger</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1, 1A, 2, 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 information with respect to Item 1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on page 13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There have been no material changes from the risk factors disclosed in the “Risk Factors” section of the Company’s Annual Report on Form 10-K for the year ended December 31, 2005.</w:t>
      </w:r>
    </w:p>
    <w:p>
      <w:pPr>
        <w:spacing w:after="0" w:line="108" w:lineRule="exact"/>
        <w:rPr>
          <w:sz w:val="20"/>
          <w:szCs w:val="20"/>
          <w:color w:val="auto"/>
        </w:rPr>
      </w:pPr>
    </w:p>
    <w:p>
      <w:pPr>
        <w:ind w:right="5580"/>
        <w:spacing w:after="0" w:line="35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Unregistered Sales of Equity Securities </w:t>
      </w:r>
      <w:r>
        <w:rPr>
          <w:rFonts w:ascii="Arial" w:cs="Arial" w:eastAsia="Arial" w:hAnsi="Arial"/>
          <w:sz w:val="18"/>
          <w:szCs w:val="18"/>
          <w:color w:val="auto"/>
        </w:rPr>
        <w:t>None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July 22, 2004, the Board of Directors of Schlumberger approved a share buyback program of up to 15 million (30 million split-adjusted) shares to be acquired in the open market before December 2006, subject to market conditions. This program was completed during the first quarter of 2006.</w:t>
      </w:r>
    </w:p>
    <w:p>
      <w:pPr>
        <w:ind w:right="60" w:firstLine="456"/>
        <w:spacing w:after="0" w:line="255" w:lineRule="auto"/>
        <w:rPr>
          <w:sz w:val="20"/>
          <w:szCs w:val="20"/>
          <w:color w:val="auto"/>
        </w:rPr>
      </w:pPr>
      <w:r>
        <w:rPr>
          <w:rFonts w:ascii="Arial" w:cs="Arial" w:eastAsia="Arial" w:hAnsi="Arial"/>
          <w:sz w:val="18"/>
          <w:szCs w:val="18"/>
          <w:color w:val="auto"/>
        </w:rPr>
        <w:t>The following table sets forth information on Schlumberger’s common stock repurchase program activity for the quarter ended March 31, 2006. As the transactions presented below were all consummated before Schlumberger’s April 7, 2006 stock-split was effective, all amounts below are presented on a pre-split basis.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6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purchased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that may</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as part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yet be</w:t>
            </w:r>
          </w:p>
        </w:tc>
      </w:tr>
      <w:tr>
        <w:trPr>
          <w:trHeight w:val="149"/>
        </w:trPr>
        <w:tc>
          <w:tcPr>
            <w:tcW w:w="6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7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publicly</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purchased</w:t>
            </w:r>
          </w:p>
        </w:tc>
      </w:tr>
      <w:tr>
        <w:trPr>
          <w:trHeight w:val="149"/>
        </w:trPr>
        <w:tc>
          <w:tcPr>
            <w:tcW w:w="6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announced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under the</w:t>
            </w:r>
          </w:p>
        </w:tc>
      </w:tr>
      <w:tr>
        <w:trPr>
          <w:trHeight w:val="161"/>
        </w:trPr>
        <w:tc>
          <w:tcPr>
            <w:tcW w:w="6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through January 31, 2006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97.95</w:t>
            </w: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1,914.4</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February 1 through February 28, 2006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1,302.8</w:t>
            </w:r>
          </w:p>
        </w:tc>
        <w:tc>
          <w:tcPr>
            <w:tcW w:w="92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117.34</w:t>
            </w: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1,302.8</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611.6</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1 through March 31, 2006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611.6</w:t>
            </w:r>
          </w:p>
        </w:tc>
        <w:tc>
          <w:tcPr>
            <w:tcW w:w="92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117.79</w:t>
            </w: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611.6</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08"/>
        </w:trPr>
        <w:tc>
          <w:tcPr>
            <w:tcW w:w="6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r>
      <w:tr>
        <w:trPr>
          <w:trHeight w:val="102"/>
        </w:trPr>
        <w:tc>
          <w:tcPr>
            <w:tcW w:w="6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49"/>
        </w:trPr>
        <w:tc>
          <w:tcPr>
            <w:tcW w:w="6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2,214.4</w:t>
            </w:r>
          </w:p>
        </w:tc>
        <w:tc>
          <w:tcPr>
            <w:tcW w:w="92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114.84</w:t>
            </w: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2,214.4</w:t>
            </w:r>
          </w:p>
        </w:tc>
        <w:tc>
          <w:tcPr>
            <w:tcW w:w="1320" w:type="dxa"/>
            <w:vAlign w:val="bottom"/>
            <w:shd w:val="clear" w:color="auto" w:fill="CCEEFF"/>
          </w:tcPr>
          <w:p>
            <w:pPr>
              <w:spacing w:after="0"/>
              <w:rPr>
                <w:sz w:val="12"/>
                <w:szCs w:val="12"/>
                <w:color w:val="auto"/>
              </w:rPr>
            </w:pPr>
          </w:p>
        </w:tc>
      </w:tr>
      <w:tr>
        <w:trPr>
          <w:trHeight w:val="132"/>
        </w:trPr>
        <w:tc>
          <w:tcPr>
            <w:tcW w:w="6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April 20, 2006, the Board of Directors of Schlumberger approved a share buy-back program of up to 40 million shares (split-adjusted) to be acquired in the open market before April 2010, subject to market conditions.</w:t>
      </w:r>
    </w:p>
    <w:p>
      <w:pPr>
        <w:ind w:right="160" w:firstLine="228"/>
        <w:spacing w:after="0" w:line="302" w:lineRule="auto"/>
        <w:rPr>
          <w:sz w:val="20"/>
          <w:szCs w:val="20"/>
          <w:color w:val="auto"/>
        </w:rPr>
      </w:pPr>
      <w:r>
        <w:rPr>
          <w:rFonts w:ascii="Arial" w:cs="Arial" w:eastAsia="Arial" w:hAnsi="Arial"/>
          <w:sz w:val="16"/>
          <w:szCs w:val="16"/>
          <w:color w:val="auto"/>
        </w:rPr>
        <w:t>In connection with the exercise of stock options under Schlumberger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4</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2006 Annual General Meeting of Stockholders of Schlumberger (the “Meeting”) was held on April 12, 2006.</w:t>
      </w:r>
    </w:p>
    <w:p>
      <w:pPr>
        <w:spacing w:after="0" w:line="76"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Meeting, the number of Directors was fixed at 12 and the following 12 individuals were elected to comprise the entire Board of Directors of the Schlumberger, each to hold office until the next Annual General Meeting of Stockholders and until a director’s successor is elected and qualified or until a director’s death, resignation or removal. All of the nominees were directors who were previously elected by the stockholders.</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Andrew Gould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André Lévy-Lang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Michael E. Marks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Didier Primat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Tore I. Sandvold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Nicolas Seydoux</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Linda Gillespie Stuntz</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Rana Talwar</w:t>
      </w:r>
    </w:p>
    <w:p>
      <w:pPr>
        <w:spacing w:after="0" w:line="70" w:lineRule="exact"/>
        <w:rPr>
          <w:sz w:val="20"/>
          <w:szCs w:val="20"/>
          <w:color w:val="auto"/>
        </w:rPr>
      </w:pPr>
    </w:p>
    <w:p>
      <w:pPr>
        <w:ind w:left="460" w:right="4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the Meeting, the stockholders of Schlumberger also voted (i) to adopt and approve Schlumberger’s Consolidated Balance Sheet as at December 31, 2005, its Consolidated Statement of Income for the year ended December 31, 2005, and the declaration of dividends reflected in Schlumberger’s 2005 Annual Report to Stockholders; (ii) to approve an amendment to Schlumberger’s Articles of Incorporation to increase authorized common share capital; (iii) to approve the amendment and restatement of the Schlumberger 2005 Stock Option Plan to authorize limited grants of restricted stock and restricted stock units; and (iv) to approve the appointment of PricewaterhouseCoopers LLP as the independent registered public accounting firm to audit the accounts of Schlumberger for the year 2006.</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votes cast (on a pre-split basis) were as follows: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Directors</w:t>
      </w:r>
    </w:p>
    <w:p>
      <w:pPr>
        <w:spacing w:after="0" w:line="1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800" w:type="dxa"/>
            <w:vAlign w:val="bottom"/>
          </w:tcPr>
          <w:p>
            <w:pPr>
              <w:jc w:val="right"/>
              <w:ind w:right="135"/>
              <w:spacing w:after="0"/>
              <w:rPr>
                <w:sz w:val="20"/>
                <w:szCs w:val="20"/>
                <w:color w:val="auto"/>
              </w:rPr>
            </w:pPr>
            <w:r>
              <w:rPr>
                <w:rFonts w:ascii="Arial" w:cs="Arial" w:eastAsia="Arial" w:hAnsi="Arial"/>
                <w:sz w:val="14"/>
                <w:szCs w:val="14"/>
                <w:b w:val="1"/>
                <w:bCs w:val="1"/>
                <w:color w:val="auto"/>
              </w:rPr>
              <w:t>For</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Withheld</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John Deutch</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502,578,156</w:t>
            </w:r>
          </w:p>
        </w:tc>
        <w:tc>
          <w:tcPr>
            <w:tcW w:w="940" w:type="dxa"/>
            <w:vAlign w:val="bottom"/>
          </w:tcPr>
          <w:p>
            <w:pPr>
              <w:jc w:val="right"/>
              <w:spacing w:after="0"/>
              <w:rPr>
                <w:sz w:val="20"/>
                <w:szCs w:val="20"/>
                <w:color w:val="auto"/>
              </w:rPr>
            </w:pPr>
            <w:r>
              <w:rPr>
                <w:rFonts w:ascii="Arial" w:cs="Arial" w:eastAsia="Arial" w:hAnsi="Arial"/>
                <w:sz w:val="18"/>
                <w:szCs w:val="18"/>
                <w:color w:val="auto"/>
              </w:rPr>
              <w:t>5,667,210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Jamie S. Gorelick</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503,898,978</w:t>
            </w:r>
          </w:p>
        </w:tc>
        <w:tc>
          <w:tcPr>
            <w:tcW w:w="940" w:type="dxa"/>
            <w:vAlign w:val="bottom"/>
          </w:tcPr>
          <w:p>
            <w:pPr>
              <w:jc w:val="right"/>
              <w:spacing w:after="0"/>
              <w:rPr>
                <w:sz w:val="20"/>
                <w:szCs w:val="20"/>
                <w:color w:val="auto"/>
              </w:rPr>
            </w:pPr>
            <w:r>
              <w:rPr>
                <w:rFonts w:ascii="Arial" w:cs="Arial" w:eastAsia="Arial" w:hAnsi="Arial"/>
                <w:sz w:val="18"/>
                <w:szCs w:val="18"/>
                <w:color w:val="auto"/>
              </w:rPr>
              <w:t>4,346,388</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Andrew Gould</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500,180,741</w:t>
            </w:r>
          </w:p>
        </w:tc>
        <w:tc>
          <w:tcPr>
            <w:tcW w:w="940" w:type="dxa"/>
            <w:vAlign w:val="bottom"/>
          </w:tcPr>
          <w:p>
            <w:pPr>
              <w:jc w:val="right"/>
              <w:spacing w:after="0"/>
              <w:rPr>
                <w:sz w:val="20"/>
                <w:szCs w:val="20"/>
                <w:color w:val="auto"/>
              </w:rPr>
            </w:pPr>
            <w:r>
              <w:rPr>
                <w:rFonts w:ascii="Arial" w:cs="Arial" w:eastAsia="Arial" w:hAnsi="Arial"/>
                <w:sz w:val="18"/>
                <w:szCs w:val="18"/>
                <w:color w:val="auto"/>
              </w:rPr>
              <w:t>8,064,625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Tony Isaac</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504,026,825</w:t>
            </w:r>
          </w:p>
        </w:tc>
        <w:tc>
          <w:tcPr>
            <w:tcW w:w="940" w:type="dxa"/>
            <w:vAlign w:val="bottom"/>
          </w:tcPr>
          <w:p>
            <w:pPr>
              <w:jc w:val="right"/>
              <w:spacing w:after="0"/>
              <w:rPr>
                <w:sz w:val="20"/>
                <w:szCs w:val="20"/>
                <w:color w:val="auto"/>
              </w:rPr>
            </w:pPr>
            <w:r>
              <w:rPr>
                <w:rFonts w:ascii="Arial" w:cs="Arial" w:eastAsia="Arial" w:hAnsi="Arial"/>
                <w:sz w:val="18"/>
                <w:szCs w:val="18"/>
                <w:color w:val="auto"/>
              </w:rPr>
              <w:t>4,218,541</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Adrian Lajous</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504,021,162</w:t>
            </w:r>
          </w:p>
        </w:tc>
        <w:tc>
          <w:tcPr>
            <w:tcW w:w="940" w:type="dxa"/>
            <w:vAlign w:val="bottom"/>
          </w:tcPr>
          <w:p>
            <w:pPr>
              <w:jc w:val="right"/>
              <w:spacing w:after="0"/>
              <w:rPr>
                <w:sz w:val="20"/>
                <w:szCs w:val="20"/>
                <w:color w:val="auto"/>
              </w:rPr>
            </w:pPr>
            <w:r>
              <w:rPr>
                <w:rFonts w:ascii="Arial" w:cs="Arial" w:eastAsia="Arial" w:hAnsi="Arial"/>
                <w:sz w:val="18"/>
                <w:szCs w:val="18"/>
                <w:color w:val="auto"/>
              </w:rPr>
              <w:t>4,224,204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André Lévy-Lang</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502,675,604</w:t>
            </w:r>
          </w:p>
        </w:tc>
        <w:tc>
          <w:tcPr>
            <w:tcW w:w="940" w:type="dxa"/>
            <w:vAlign w:val="bottom"/>
          </w:tcPr>
          <w:p>
            <w:pPr>
              <w:jc w:val="right"/>
              <w:spacing w:after="0"/>
              <w:rPr>
                <w:sz w:val="20"/>
                <w:szCs w:val="20"/>
                <w:color w:val="auto"/>
              </w:rPr>
            </w:pPr>
            <w:r>
              <w:rPr>
                <w:rFonts w:ascii="Arial" w:cs="Arial" w:eastAsia="Arial" w:hAnsi="Arial"/>
                <w:sz w:val="18"/>
                <w:szCs w:val="18"/>
                <w:color w:val="auto"/>
              </w:rPr>
              <w:t>5,569,762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Michael E. Marks</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502,660,910</w:t>
            </w:r>
          </w:p>
        </w:tc>
        <w:tc>
          <w:tcPr>
            <w:tcW w:w="940" w:type="dxa"/>
            <w:vAlign w:val="bottom"/>
          </w:tcPr>
          <w:p>
            <w:pPr>
              <w:jc w:val="right"/>
              <w:spacing w:after="0"/>
              <w:rPr>
                <w:sz w:val="20"/>
                <w:szCs w:val="20"/>
                <w:color w:val="auto"/>
              </w:rPr>
            </w:pPr>
            <w:r>
              <w:rPr>
                <w:rFonts w:ascii="Arial" w:cs="Arial" w:eastAsia="Arial" w:hAnsi="Arial"/>
                <w:sz w:val="18"/>
                <w:szCs w:val="18"/>
                <w:color w:val="auto"/>
              </w:rPr>
              <w:t>5,584,456</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Didier Primat</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503,853,189</w:t>
            </w:r>
          </w:p>
        </w:tc>
        <w:tc>
          <w:tcPr>
            <w:tcW w:w="940" w:type="dxa"/>
            <w:vAlign w:val="bottom"/>
          </w:tcPr>
          <w:p>
            <w:pPr>
              <w:jc w:val="right"/>
              <w:spacing w:after="0"/>
              <w:rPr>
                <w:sz w:val="20"/>
                <w:szCs w:val="20"/>
                <w:color w:val="auto"/>
              </w:rPr>
            </w:pPr>
            <w:r>
              <w:rPr>
                <w:rFonts w:ascii="Arial" w:cs="Arial" w:eastAsia="Arial" w:hAnsi="Arial"/>
                <w:sz w:val="18"/>
                <w:szCs w:val="18"/>
                <w:color w:val="auto"/>
              </w:rPr>
              <w:t>4,392,177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Tore I. Sandvold</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502,871,604</w:t>
            </w:r>
          </w:p>
        </w:tc>
        <w:tc>
          <w:tcPr>
            <w:tcW w:w="940" w:type="dxa"/>
            <w:vAlign w:val="bottom"/>
          </w:tcPr>
          <w:p>
            <w:pPr>
              <w:jc w:val="right"/>
              <w:spacing w:after="0"/>
              <w:rPr>
                <w:sz w:val="20"/>
                <w:szCs w:val="20"/>
                <w:color w:val="auto"/>
              </w:rPr>
            </w:pPr>
            <w:r>
              <w:rPr>
                <w:rFonts w:ascii="Arial" w:cs="Arial" w:eastAsia="Arial" w:hAnsi="Arial"/>
                <w:sz w:val="18"/>
                <w:szCs w:val="18"/>
                <w:color w:val="auto"/>
              </w:rPr>
              <w:t>5,373,762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Nicolas Seydoux</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502,201,932</w:t>
            </w:r>
          </w:p>
        </w:tc>
        <w:tc>
          <w:tcPr>
            <w:tcW w:w="940" w:type="dxa"/>
            <w:vAlign w:val="bottom"/>
          </w:tcPr>
          <w:p>
            <w:pPr>
              <w:jc w:val="right"/>
              <w:spacing w:after="0"/>
              <w:rPr>
                <w:sz w:val="20"/>
                <w:szCs w:val="20"/>
                <w:color w:val="auto"/>
              </w:rPr>
            </w:pPr>
            <w:r>
              <w:rPr>
                <w:rFonts w:ascii="Arial" w:cs="Arial" w:eastAsia="Arial" w:hAnsi="Arial"/>
                <w:sz w:val="18"/>
                <w:szCs w:val="18"/>
                <w:color w:val="auto"/>
              </w:rPr>
              <w:t>6,043,434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Linda G. Stuntz</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503,875,557</w:t>
            </w:r>
          </w:p>
        </w:tc>
        <w:tc>
          <w:tcPr>
            <w:tcW w:w="940" w:type="dxa"/>
            <w:vAlign w:val="bottom"/>
          </w:tcPr>
          <w:p>
            <w:pPr>
              <w:jc w:val="right"/>
              <w:spacing w:after="0"/>
              <w:rPr>
                <w:sz w:val="20"/>
                <w:szCs w:val="20"/>
                <w:color w:val="auto"/>
              </w:rPr>
            </w:pPr>
            <w:r>
              <w:rPr>
                <w:rFonts w:ascii="Arial" w:cs="Arial" w:eastAsia="Arial" w:hAnsi="Arial"/>
                <w:sz w:val="18"/>
                <w:szCs w:val="18"/>
                <w:color w:val="auto"/>
              </w:rPr>
              <w:t>4,369,809</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Rana Talwar</w:t>
            </w:r>
          </w:p>
        </w:tc>
        <w:tc>
          <w:tcPr>
            <w:tcW w:w="6800" w:type="dxa"/>
            <w:vAlign w:val="bottom"/>
          </w:tcPr>
          <w:p>
            <w:pPr>
              <w:jc w:val="right"/>
              <w:ind w:right="135"/>
              <w:spacing w:after="0"/>
              <w:rPr>
                <w:sz w:val="20"/>
                <w:szCs w:val="20"/>
                <w:color w:val="auto"/>
              </w:rPr>
            </w:pPr>
            <w:r>
              <w:rPr>
                <w:rFonts w:ascii="Arial" w:cs="Arial" w:eastAsia="Arial" w:hAnsi="Arial"/>
                <w:sz w:val="18"/>
                <w:szCs w:val="18"/>
                <w:color w:val="auto"/>
              </w:rPr>
              <w:t>502,842,120</w:t>
            </w:r>
          </w:p>
        </w:tc>
        <w:tc>
          <w:tcPr>
            <w:tcW w:w="940" w:type="dxa"/>
            <w:vAlign w:val="bottom"/>
          </w:tcPr>
          <w:p>
            <w:pPr>
              <w:jc w:val="right"/>
              <w:spacing w:after="0"/>
              <w:rPr>
                <w:sz w:val="20"/>
                <w:szCs w:val="20"/>
                <w:color w:val="auto"/>
              </w:rPr>
            </w:pPr>
            <w:r>
              <w:rPr>
                <w:rFonts w:ascii="Arial" w:cs="Arial" w:eastAsia="Arial" w:hAnsi="Arial"/>
                <w:sz w:val="18"/>
                <w:szCs w:val="18"/>
                <w:color w:val="auto"/>
              </w:rPr>
              <w:t>5,403,246</w:t>
            </w:r>
          </w:p>
        </w:tc>
      </w:tr>
      <w:tr>
        <w:trPr>
          <w:trHeight w:val="312"/>
        </w:trPr>
        <w:tc>
          <w:tcPr>
            <w:tcW w:w="3240" w:type="dxa"/>
            <w:vAlign w:val="bottom"/>
          </w:tcPr>
          <w:p>
            <w:pPr>
              <w:spacing w:after="0"/>
              <w:rPr>
                <w:sz w:val="24"/>
                <w:szCs w:val="24"/>
                <w:color w:val="auto"/>
              </w:rPr>
            </w:pPr>
          </w:p>
        </w:tc>
        <w:tc>
          <w:tcPr>
            <w:tcW w:w="6800" w:type="dxa"/>
            <w:vAlign w:val="bottom"/>
          </w:tcPr>
          <w:p>
            <w:pPr>
              <w:jc w:val="right"/>
              <w:ind w:right="4615"/>
              <w:spacing w:after="0"/>
              <w:rPr>
                <w:sz w:val="20"/>
                <w:szCs w:val="20"/>
                <w:color w:val="auto"/>
              </w:rPr>
            </w:pPr>
            <w:r>
              <w:rPr>
                <w:rFonts w:ascii="Arial" w:cs="Arial" w:eastAsia="Arial" w:hAnsi="Arial"/>
                <w:sz w:val="14"/>
                <w:szCs w:val="14"/>
                <w:color w:val="auto"/>
              </w:rPr>
              <w:t>24</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4, 5, 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Financials:</w:t>
      </w:r>
    </w:p>
    <w:tbl>
      <w:tblPr>
        <w:tblLayout w:type="fixed"/>
        <w:tblInd w:w="0" w:type="dxa"/>
        <w:tblCellMar>
          <w:top w:w="0" w:type="dxa"/>
          <w:left w:w="0" w:type="dxa"/>
          <w:bottom w:w="0" w:type="dxa"/>
          <w:right w:w="0" w:type="dxa"/>
        </w:tblCellMar>
      </w:tblPr>
      <w:tr>
        <w:trPr>
          <w:trHeight w:val="158"/>
        </w:trPr>
        <w:tc>
          <w:tcPr>
            <w:tcW w:w="580" w:type="dxa"/>
            <w:vAlign w:val="bottom"/>
          </w:tcPr>
          <w:p>
            <w:pPr>
              <w:spacing w:after="0"/>
              <w:rPr>
                <w:sz w:val="13"/>
                <w:szCs w:val="13"/>
                <w:color w:val="auto"/>
              </w:rPr>
            </w:pPr>
          </w:p>
        </w:tc>
        <w:tc>
          <w:tcPr>
            <w:tcW w:w="8640" w:type="dxa"/>
            <w:vAlign w:val="bottom"/>
          </w:tcPr>
          <w:p>
            <w:pPr>
              <w:jc w:val="right"/>
              <w:ind w:right="138"/>
              <w:spacing w:after="0" w:line="158" w:lineRule="exact"/>
              <w:rPr>
                <w:sz w:val="20"/>
                <w:szCs w:val="20"/>
                <w:color w:val="auto"/>
              </w:rPr>
            </w:pPr>
            <w:r>
              <w:rPr>
                <w:rFonts w:ascii="Arial" w:cs="Arial" w:eastAsia="Arial" w:hAnsi="Arial"/>
                <w:sz w:val="14"/>
                <w:szCs w:val="14"/>
                <w:b w:val="1"/>
                <w:bCs w:val="1"/>
                <w:color w:val="auto"/>
              </w:rPr>
              <w:t>For</w:t>
            </w:r>
          </w:p>
        </w:tc>
        <w:tc>
          <w:tcPr>
            <w:tcW w:w="1220" w:type="dxa"/>
            <w:vAlign w:val="bottom"/>
          </w:tcPr>
          <w:p>
            <w:pPr>
              <w:jc w:val="right"/>
              <w:ind w:right="202"/>
              <w:spacing w:after="0" w:line="158" w:lineRule="exact"/>
              <w:rPr>
                <w:sz w:val="20"/>
                <w:szCs w:val="20"/>
                <w:color w:val="auto"/>
              </w:rPr>
            </w:pPr>
            <w:r>
              <w:rPr>
                <w:rFonts w:ascii="Arial" w:cs="Arial" w:eastAsia="Arial" w:hAnsi="Arial"/>
                <w:sz w:val="14"/>
                <w:szCs w:val="14"/>
                <w:b w:val="1"/>
                <w:bCs w:val="1"/>
                <w:color w:val="auto"/>
              </w:rPr>
              <w:t>Against</w:t>
            </w: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Abstain</w:t>
            </w:r>
          </w:p>
        </w:tc>
      </w:tr>
      <w:tr>
        <w:trPr>
          <w:trHeight w:val="222"/>
        </w:trPr>
        <w:tc>
          <w:tcPr>
            <w:tcW w:w="580" w:type="dxa"/>
            <w:vAlign w:val="bottom"/>
          </w:tcPr>
          <w:p>
            <w:pPr>
              <w:spacing w:after="0"/>
              <w:rPr>
                <w:sz w:val="19"/>
                <w:szCs w:val="19"/>
                <w:color w:val="auto"/>
              </w:rPr>
            </w:pPr>
          </w:p>
        </w:tc>
        <w:tc>
          <w:tcPr>
            <w:tcW w:w="8640" w:type="dxa"/>
            <w:vAlign w:val="bottom"/>
          </w:tcPr>
          <w:p>
            <w:pPr>
              <w:jc w:val="right"/>
              <w:ind w:right="138"/>
              <w:spacing w:after="0"/>
              <w:rPr>
                <w:sz w:val="20"/>
                <w:szCs w:val="20"/>
                <w:color w:val="auto"/>
              </w:rPr>
            </w:pPr>
            <w:r>
              <w:rPr>
                <w:rFonts w:ascii="Arial" w:cs="Arial" w:eastAsia="Arial" w:hAnsi="Arial"/>
                <w:sz w:val="18"/>
                <w:szCs w:val="18"/>
                <w:color w:val="auto"/>
              </w:rPr>
              <w:t>492,573,449</w:t>
            </w:r>
          </w:p>
        </w:tc>
        <w:tc>
          <w:tcPr>
            <w:tcW w:w="1220" w:type="dxa"/>
            <w:vAlign w:val="bottom"/>
          </w:tcPr>
          <w:p>
            <w:pPr>
              <w:jc w:val="right"/>
              <w:ind w:right="202"/>
              <w:spacing w:after="0"/>
              <w:rPr>
                <w:sz w:val="20"/>
                <w:szCs w:val="20"/>
                <w:color w:val="auto"/>
              </w:rPr>
            </w:pPr>
            <w:r>
              <w:rPr>
                <w:rFonts w:ascii="Arial" w:cs="Arial" w:eastAsia="Arial" w:hAnsi="Arial"/>
                <w:sz w:val="18"/>
                <w:szCs w:val="18"/>
                <w:color w:val="auto"/>
              </w:rPr>
              <w:t>1,420,039</w:t>
            </w:r>
          </w:p>
        </w:tc>
        <w:tc>
          <w:tcPr>
            <w:tcW w:w="980" w:type="dxa"/>
            <w:vAlign w:val="bottom"/>
          </w:tcPr>
          <w:p>
            <w:pPr>
              <w:jc w:val="right"/>
              <w:spacing w:after="0"/>
              <w:rPr>
                <w:sz w:val="20"/>
                <w:szCs w:val="20"/>
                <w:color w:val="auto"/>
              </w:rPr>
            </w:pPr>
            <w:r>
              <w:rPr>
                <w:rFonts w:ascii="Arial" w:cs="Arial" w:eastAsia="Arial" w:hAnsi="Arial"/>
                <w:sz w:val="18"/>
                <w:szCs w:val="18"/>
                <w:color w:val="auto"/>
              </w:rPr>
              <w:t>14,251,878</w:t>
            </w:r>
          </w:p>
        </w:tc>
      </w:tr>
      <w:tr>
        <w:trPr>
          <w:trHeight w:val="354"/>
        </w:trPr>
        <w:tc>
          <w:tcPr>
            <w:tcW w:w="580" w:type="dxa"/>
            <w:vAlign w:val="bottom"/>
          </w:tcPr>
          <w:p>
            <w:pPr>
              <w:spacing w:after="0"/>
              <w:rPr>
                <w:sz w:val="24"/>
                <w:szCs w:val="24"/>
                <w:color w:val="auto"/>
              </w:rPr>
            </w:pPr>
          </w:p>
        </w:tc>
        <w:tc>
          <w:tcPr>
            <w:tcW w:w="864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53"/>
        </w:trPr>
        <w:tc>
          <w:tcPr>
            <w:tcW w:w="580" w:type="dxa"/>
            <w:vAlign w:val="bottom"/>
          </w:tcPr>
          <w:p>
            <w:pPr>
              <w:spacing w:after="0"/>
              <w:rPr>
                <w:sz w:val="13"/>
                <w:szCs w:val="13"/>
                <w:color w:val="auto"/>
              </w:rPr>
            </w:pPr>
          </w:p>
        </w:tc>
        <w:tc>
          <w:tcPr>
            <w:tcW w:w="8640" w:type="dxa"/>
            <w:vAlign w:val="bottom"/>
          </w:tcPr>
          <w:p>
            <w:pPr>
              <w:jc w:val="right"/>
              <w:ind w:right="138"/>
              <w:spacing w:after="0" w:line="153" w:lineRule="exact"/>
              <w:rPr>
                <w:sz w:val="20"/>
                <w:szCs w:val="20"/>
                <w:color w:val="auto"/>
              </w:rPr>
            </w:pPr>
            <w:r>
              <w:rPr>
                <w:rFonts w:ascii="Arial" w:cs="Arial" w:eastAsia="Arial" w:hAnsi="Arial"/>
                <w:sz w:val="14"/>
                <w:szCs w:val="14"/>
                <w:b w:val="1"/>
                <w:bCs w:val="1"/>
                <w:color w:val="auto"/>
              </w:rPr>
              <w:t>For</w:t>
            </w:r>
          </w:p>
        </w:tc>
        <w:tc>
          <w:tcPr>
            <w:tcW w:w="12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Against</w:t>
            </w: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Abstain</w:t>
            </w:r>
          </w:p>
        </w:tc>
      </w:tr>
      <w:tr>
        <w:trPr>
          <w:trHeight w:val="216"/>
        </w:trPr>
        <w:tc>
          <w:tcPr>
            <w:tcW w:w="580" w:type="dxa"/>
            <w:vAlign w:val="bottom"/>
          </w:tcPr>
          <w:p>
            <w:pPr>
              <w:spacing w:after="0"/>
              <w:rPr>
                <w:sz w:val="18"/>
                <w:szCs w:val="18"/>
                <w:color w:val="auto"/>
              </w:rPr>
            </w:pPr>
          </w:p>
        </w:tc>
        <w:tc>
          <w:tcPr>
            <w:tcW w:w="8640" w:type="dxa"/>
            <w:vAlign w:val="bottom"/>
          </w:tcPr>
          <w:p>
            <w:pPr>
              <w:jc w:val="right"/>
              <w:ind w:right="138"/>
              <w:spacing w:after="0"/>
              <w:rPr>
                <w:sz w:val="20"/>
                <w:szCs w:val="20"/>
                <w:color w:val="auto"/>
              </w:rPr>
            </w:pPr>
            <w:r>
              <w:rPr>
                <w:rFonts w:ascii="Arial" w:cs="Arial" w:eastAsia="Arial" w:hAnsi="Arial"/>
                <w:sz w:val="18"/>
                <w:szCs w:val="18"/>
                <w:color w:val="auto"/>
              </w:rPr>
              <w:t>499,969,442</w:t>
            </w:r>
          </w:p>
        </w:tc>
        <w:tc>
          <w:tcPr>
            <w:tcW w:w="1220" w:type="dxa"/>
            <w:vAlign w:val="bottom"/>
          </w:tcPr>
          <w:p>
            <w:pPr>
              <w:jc w:val="right"/>
              <w:ind w:right="102"/>
              <w:spacing w:after="0"/>
              <w:rPr>
                <w:sz w:val="20"/>
                <w:szCs w:val="20"/>
                <w:color w:val="auto"/>
              </w:rPr>
            </w:pPr>
            <w:r>
              <w:rPr>
                <w:rFonts w:ascii="Arial" w:cs="Arial" w:eastAsia="Arial" w:hAnsi="Arial"/>
                <w:sz w:val="18"/>
                <w:szCs w:val="18"/>
                <w:color w:val="auto"/>
              </w:rPr>
              <w:t>4,662,122</w:t>
            </w:r>
          </w:p>
        </w:tc>
        <w:tc>
          <w:tcPr>
            <w:tcW w:w="980" w:type="dxa"/>
            <w:vAlign w:val="bottom"/>
          </w:tcPr>
          <w:p>
            <w:pPr>
              <w:jc w:val="right"/>
              <w:spacing w:after="0"/>
              <w:rPr>
                <w:sz w:val="20"/>
                <w:szCs w:val="20"/>
                <w:color w:val="auto"/>
              </w:rPr>
            </w:pPr>
            <w:r>
              <w:rPr>
                <w:rFonts w:ascii="Arial" w:cs="Arial" w:eastAsia="Arial" w:hAnsi="Arial"/>
                <w:sz w:val="18"/>
                <w:szCs w:val="18"/>
                <w:color w:val="auto"/>
              </w:rPr>
              <w:t>3,613,802</w:t>
            </w:r>
          </w:p>
        </w:tc>
      </w:tr>
      <w:tr>
        <w:trPr>
          <w:trHeight w:val="212"/>
        </w:trPr>
        <w:tc>
          <w:tcPr>
            <w:tcW w:w="580" w:type="dxa"/>
            <w:vAlign w:val="bottom"/>
          </w:tcPr>
          <w:p>
            <w:pPr>
              <w:spacing w:after="0"/>
              <w:rPr>
                <w:sz w:val="18"/>
                <w:szCs w:val="18"/>
                <w:color w:val="auto"/>
              </w:rPr>
            </w:pPr>
          </w:p>
        </w:tc>
        <w:tc>
          <w:tcPr>
            <w:tcW w:w="8640" w:type="dxa"/>
            <w:vAlign w:val="bottom"/>
          </w:tcPr>
          <w:p>
            <w:pPr>
              <w:ind w:left="80"/>
              <w:spacing w:after="0"/>
              <w:rPr>
                <w:sz w:val="20"/>
                <w:szCs w:val="20"/>
                <w:color w:val="auto"/>
              </w:rPr>
            </w:pPr>
            <w:r>
              <w:rPr>
                <w:rFonts w:ascii="Arial" w:cs="Arial" w:eastAsia="Arial" w:hAnsi="Arial"/>
                <w:sz w:val="18"/>
                <w:szCs w:val="18"/>
                <w:color w:val="auto"/>
              </w:rPr>
              <w:t>Amendment to the Schlumberger 2005 Stock Option Plan:</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53"/>
        </w:trPr>
        <w:tc>
          <w:tcPr>
            <w:tcW w:w="580" w:type="dxa"/>
            <w:vAlign w:val="bottom"/>
          </w:tcPr>
          <w:p>
            <w:pPr>
              <w:spacing w:after="0"/>
              <w:rPr>
                <w:sz w:val="13"/>
                <w:szCs w:val="13"/>
                <w:color w:val="auto"/>
              </w:rPr>
            </w:pPr>
          </w:p>
        </w:tc>
        <w:tc>
          <w:tcPr>
            <w:tcW w:w="8640" w:type="dxa"/>
            <w:vAlign w:val="bottom"/>
          </w:tcPr>
          <w:p>
            <w:pPr>
              <w:jc w:val="right"/>
              <w:ind w:right="138"/>
              <w:spacing w:after="0" w:line="153" w:lineRule="exact"/>
              <w:rPr>
                <w:sz w:val="20"/>
                <w:szCs w:val="20"/>
                <w:color w:val="auto"/>
              </w:rPr>
            </w:pPr>
            <w:r>
              <w:rPr>
                <w:rFonts w:ascii="Arial" w:cs="Arial" w:eastAsia="Arial" w:hAnsi="Arial"/>
                <w:sz w:val="14"/>
                <w:szCs w:val="14"/>
                <w:b w:val="1"/>
                <w:bCs w:val="1"/>
                <w:color w:val="auto"/>
              </w:rPr>
              <w:t>For</w:t>
            </w:r>
          </w:p>
        </w:tc>
        <w:tc>
          <w:tcPr>
            <w:tcW w:w="12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Against</w:t>
            </w: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Abstain</w:t>
            </w:r>
          </w:p>
        </w:tc>
      </w:tr>
      <w:tr>
        <w:trPr>
          <w:trHeight w:val="216"/>
        </w:trPr>
        <w:tc>
          <w:tcPr>
            <w:tcW w:w="580" w:type="dxa"/>
            <w:vAlign w:val="bottom"/>
          </w:tcPr>
          <w:p>
            <w:pPr>
              <w:spacing w:after="0"/>
              <w:rPr>
                <w:sz w:val="18"/>
                <w:szCs w:val="18"/>
                <w:color w:val="auto"/>
              </w:rPr>
            </w:pPr>
          </w:p>
        </w:tc>
        <w:tc>
          <w:tcPr>
            <w:tcW w:w="8640" w:type="dxa"/>
            <w:vAlign w:val="bottom"/>
          </w:tcPr>
          <w:p>
            <w:pPr>
              <w:jc w:val="right"/>
              <w:ind w:right="138"/>
              <w:spacing w:after="0"/>
              <w:rPr>
                <w:sz w:val="20"/>
                <w:szCs w:val="20"/>
                <w:color w:val="auto"/>
              </w:rPr>
            </w:pPr>
            <w:r>
              <w:rPr>
                <w:rFonts w:ascii="Arial" w:cs="Arial" w:eastAsia="Arial" w:hAnsi="Arial"/>
                <w:sz w:val="18"/>
                <w:szCs w:val="18"/>
                <w:color w:val="auto"/>
              </w:rPr>
              <w:t>428,959,547</w:t>
            </w:r>
          </w:p>
        </w:tc>
        <w:tc>
          <w:tcPr>
            <w:tcW w:w="1220" w:type="dxa"/>
            <w:vAlign w:val="bottom"/>
          </w:tcPr>
          <w:p>
            <w:pPr>
              <w:jc w:val="right"/>
              <w:ind w:right="102"/>
              <w:spacing w:after="0"/>
              <w:rPr>
                <w:sz w:val="20"/>
                <w:szCs w:val="20"/>
                <w:color w:val="auto"/>
              </w:rPr>
            </w:pPr>
            <w:r>
              <w:rPr>
                <w:rFonts w:ascii="Arial" w:cs="Arial" w:eastAsia="Arial" w:hAnsi="Arial"/>
                <w:sz w:val="18"/>
                <w:szCs w:val="18"/>
                <w:color w:val="auto"/>
              </w:rPr>
              <w:t>13,034,148</w:t>
            </w:r>
          </w:p>
        </w:tc>
        <w:tc>
          <w:tcPr>
            <w:tcW w:w="980" w:type="dxa"/>
            <w:vAlign w:val="bottom"/>
          </w:tcPr>
          <w:p>
            <w:pPr>
              <w:jc w:val="right"/>
              <w:spacing w:after="0"/>
              <w:rPr>
                <w:sz w:val="20"/>
                <w:szCs w:val="20"/>
                <w:color w:val="auto"/>
              </w:rPr>
            </w:pPr>
            <w:r>
              <w:rPr>
                <w:rFonts w:ascii="Arial" w:cs="Arial" w:eastAsia="Arial" w:hAnsi="Arial"/>
                <w:sz w:val="18"/>
                <w:szCs w:val="18"/>
                <w:color w:val="auto"/>
              </w:rPr>
              <w:t>3,681,489</w:t>
            </w:r>
          </w:p>
        </w:tc>
      </w:tr>
      <w:tr>
        <w:trPr>
          <w:trHeight w:val="212"/>
        </w:trPr>
        <w:tc>
          <w:tcPr>
            <w:tcW w:w="580" w:type="dxa"/>
            <w:vAlign w:val="bottom"/>
          </w:tcPr>
          <w:p>
            <w:pPr>
              <w:spacing w:after="0"/>
              <w:rPr>
                <w:sz w:val="18"/>
                <w:szCs w:val="18"/>
                <w:color w:val="auto"/>
              </w:rPr>
            </w:pPr>
          </w:p>
        </w:tc>
        <w:tc>
          <w:tcPr>
            <w:tcW w:w="8640" w:type="dxa"/>
            <w:vAlign w:val="bottom"/>
          </w:tcPr>
          <w:p>
            <w:pPr>
              <w:ind w:left="80"/>
              <w:spacing w:after="0"/>
              <w:rPr>
                <w:sz w:val="20"/>
                <w:szCs w:val="20"/>
                <w:color w:val="auto"/>
              </w:rPr>
            </w:pPr>
            <w:r>
              <w:rPr>
                <w:rFonts w:ascii="Arial" w:cs="Arial" w:eastAsia="Arial" w:hAnsi="Arial"/>
                <w:sz w:val="18"/>
                <w:szCs w:val="18"/>
                <w:color w:val="auto"/>
              </w:rPr>
              <w:t>Appointment of PricewaterhouseCoopers LLP:</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53"/>
        </w:trPr>
        <w:tc>
          <w:tcPr>
            <w:tcW w:w="580" w:type="dxa"/>
            <w:vAlign w:val="bottom"/>
          </w:tcPr>
          <w:p>
            <w:pPr>
              <w:spacing w:after="0"/>
              <w:rPr>
                <w:sz w:val="13"/>
                <w:szCs w:val="13"/>
                <w:color w:val="auto"/>
              </w:rPr>
            </w:pPr>
          </w:p>
        </w:tc>
        <w:tc>
          <w:tcPr>
            <w:tcW w:w="8640" w:type="dxa"/>
            <w:vAlign w:val="bottom"/>
          </w:tcPr>
          <w:p>
            <w:pPr>
              <w:jc w:val="right"/>
              <w:ind w:right="138"/>
              <w:spacing w:after="0" w:line="153" w:lineRule="exact"/>
              <w:rPr>
                <w:sz w:val="20"/>
                <w:szCs w:val="20"/>
                <w:color w:val="auto"/>
              </w:rPr>
            </w:pPr>
            <w:r>
              <w:rPr>
                <w:rFonts w:ascii="Arial" w:cs="Arial" w:eastAsia="Arial" w:hAnsi="Arial"/>
                <w:sz w:val="14"/>
                <w:szCs w:val="14"/>
                <w:b w:val="1"/>
                <w:bCs w:val="1"/>
                <w:color w:val="auto"/>
              </w:rPr>
              <w:t>For</w:t>
            </w:r>
          </w:p>
        </w:tc>
        <w:tc>
          <w:tcPr>
            <w:tcW w:w="12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Against</w:t>
            </w: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Abstain</w:t>
            </w:r>
          </w:p>
        </w:tc>
      </w:tr>
      <w:tr>
        <w:trPr>
          <w:trHeight w:val="222"/>
        </w:trPr>
        <w:tc>
          <w:tcPr>
            <w:tcW w:w="580" w:type="dxa"/>
            <w:vAlign w:val="bottom"/>
          </w:tcPr>
          <w:p>
            <w:pPr>
              <w:spacing w:after="0"/>
              <w:rPr>
                <w:sz w:val="19"/>
                <w:szCs w:val="19"/>
                <w:color w:val="auto"/>
              </w:rPr>
            </w:pPr>
          </w:p>
        </w:tc>
        <w:tc>
          <w:tcPr>
            <w:tcW w:w="8640" w:type="dxa"/>
            <w:vAlign w:val="bottom"/>
          </w:tcPr>
          <w:p>
            <w:pPr>
              <w:jc w:val="right"/>
              <w:ind w:right="138"/>
              <w:spacing w:after="0"/>
              <w:rPr>
                <w:sz w:val="20"/>
                <w:szCs w:val="20"/>
                <w:color w:val="auto"/>
              </w:rPr>
            </w:pPr>
            <w:r>
              <w:rPr>
                <w:rFonts w:ascii="Arial" w:cs="Arial" w:eastAsia="Arial" w:hAnsi="Arial"/>
                <w:sz w:val="18"/>
                <w:szCs w:val="18"/>
                <w:color w:val="auto"/>
              </w:rPr>
              <w:t>503,079,430</w:t>
            </w:r>
          </w:p>
        </w:tc>
        <w:tc>
          <w:tcPr>
            <w:tcW w:w="1220" w:type="dxa"/>
            <w:vAlign w:val="bottom"/>
          </w:tcPr>
          <w:p>
            <w:pPr>
              <w:jc w:val="right"/>
              <w:ind w:right="102"/>
              <w:spacing w:after="0"/>
              <w:rPr>
                <w:sz w:val="20"/>
                <w:szCs w:val="20"/>
                <w:color w:val="auto"/>
              </w:rPr>
            </w:pPr>
            <w:r>
              <w:rPr>
                <w:rFonts w:ascii="Arial" w:cs="Arial" w:eastAsia="Arial" w:hAnsi="Arial"/>
                <w:sz w:val="18"/>
                <w:szCs w:val="18"/>
                <w:color w:val="auto"/>
              </w:rPr>
              <w:t>2,041,039</w:t>
            </w:r>
          </w:p>
        </w:tc>
        <w:tc>
          <w:tcPr>
            <w:tcW w:w="980" w:type="dxa"/>
            <w:vAlign w:val="bottom"/>
          </w:tcPr>
          <w:p>
            <w:pPr>
              <w:jc w:val="right"/>
              <w:spacing w:after="0"/>
              <w:rPr>
                <w:sz w:val="20"/>
                <w:szCs w:val="20"/>
                <w:color w:val="auto"/>
              </w:rPr>
            </w:pPr>
            <w:r>
              <w:rPr>
                <w:rFonts w:ascii="Arial" w:cs="Arial" w:eastAsia="Arial" w:hAnsi="Arial"/>
                <w:sz w:val="18"/>
                <w:szCs w:val="18"/>
                <w:color w:val="auto"/>
              </w:rPr>
              <w:t>3,124,897</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w w:val="96"/>
              </w:rPr>
              <w:t>Item 5:</w:t>
            </w:r>
          </w:p>
        </w:tc>
        <w:tc>
          <w:tcPr>
            <w:tcW w:w="8640" w:type="dxa"/>
            <w:vAlign w:val="bottom"/>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80" w:type="dxa"/>
            <w:vAlign w:val="bottom"/>
          </w:tcPr>
          <w:p>
            <w:pPr>
              <w:ind w:left="20"/>
              <w:spacing w:after="0"/>
              <w:rPr>
                <w:sz w:val="20"/>
                <w:szCs w:val="20"/>
                <w:color w:val="auto"/>
              </w:rPr>
            </w:pPr>
            <w:r>
              <w:rPr>
                <w:rFonts w:ascii="Arial" w:cs="Arial" w:eastAsia="Arial" w:hAnsi="Arial"/>
                <w:sz w:val="18"/>
                <w:szCs w:val="18"/>
                <w:color w:val="auto"/>
              </w:rPr>
              <w:t>None.</w:t>
            </w:r>
          </w:p>
        </w:tc>
        <w:tc>
          <w:tcPr>
            <w:tcW w:w="8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w w:val="96"/>
              </w:rPr>
              <w:t>Item 6:</w:t>
            </w:r>
          </w:p>
        </w:tc>
        <w:tc>
          <w:tcPr>
            <w:tcW w:w="86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80" w:type="dxa"/>
            <w:vAlign w:val="bottom"/>
          </w:tcPr>
          <w:p>
            <w:pPr>
              <w:spacing w:after="0"/>
              <w:rPr>
                <w:sz w:val="23"/>
                <w:szCs w:val="23"/>
                <w:color w:val="auto"/>
              </w:rPr>
            </w:pPr>
          </w:p>
        </w:tc>
        <w:tc>
          <w:tcPr>
            <w:tcW w:w="8640" w:type="dxa"/>
            <w:vAlign w:val="bottom"/>
          </w:tcPr>
          <w:p>
            <w:pPr>
              <w:jc w:val="right"/>
              <w:ind w:right="218"/>
              <w:spacing w:after="0"/>
              <w:rPr>
                <w:sz w:val="20"/>
                <w:szCs w:val="20"/>
                <w:color w:val="auto"/>
              </w:rPr>
            </w:pPr>
            <w:r>
              <w:rPr>
                <w:rFonts w:ascii="Arial" w:cs="Arial" w:eastAsia="Arial" w:hAnsi="Arial"/>
                <w:sz w:val="18"/>
                <w:szCs w:val="18"/>
                <w:color w:val="auto"/>
                <w:w w:val="89"/>
              </w:rPr>
              <w:t>Exhibit 3.1 Articles of Incorporation of Schlumberger Limited (Schlumberger N.V.) as last amended on April 12, 2006</w:t>
            </w:r>
          </w:p>
        </w:tc>
        <w:tc>
          <w:tcPr>
            <w:tcW w:w="12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61" w:lineRule="exact"/>
        <w:rPr>
          <w:sz w:val="20"/>
          <w:szCs w:val="20"/>
          <w:color w:val="auto"/>
        </w:rPr>
      </w:pPr>
    </w:p>
    <w:p>
      <w:pPr>
        <w:ind w:left="580" w:right="1400"/>
        <w:spacing w:after="0" w:line="268" w:lineRule="auto"/>
        <w:rPr>
          <w:sz w:val="20"/>
          <w:szCs w:val="20"/>
          <w:color w:val="auto"/>
        </w:rPr>
      </w:pPr>
      <w:r>
        <w:rPr>
          <w:rFonts w:ascii="Arial" w:cs="Arial" w:eastAsia="Arial" w:hAnsi="Arial"/>
          <w:sz w:val="18"/>
          <w:szCs w:val="18"/>
          <w:color w:val="auto"/>
        </w:rPr>
        <w:t>Exhibit 3.2 Amended and Restated Bylaws of Schlumberger Limited (Schlumberger N.V.) (incorporated by reference to Exhibit 3.1 to Schlumberger’s Current Report on Form 8-K filed on April 22, 2005).</w:t>
      </w:r>
    </w:p>
    <w:p>
      <w:pPr>
        <w:spacing w:after="0" w:line="37" w:lineRule="exact"/>
        <w:rPr>
          <w:sz w:val="20"/>
          <w:szCs w:val="20"/>
          <w:color w:val="auto"/>
        </w:rPr>
      </w:pPr>
    </w:p>
    <w:p>
      <w:pPr>
        <w:ind w:left="580" w:right="640"/>
        <w:spacing w:after="0" w:line="268" w:lineRule="auto"/>
        <w:rPr>
          <w:sz w:val="20"/>
          <w:szCs w:val="20"/>
          <w:color w:val="auto"/>
        </w:rPr>
      </w:pPr>
      <w:r>
        <w:rPr>
          <w:rFonts w:ascii="Arial" w:cs="Arial" w:eastAsia="Arial" w:hAnsi="Arial"/>
          <w:sz w:val="18"/>
          <w:szCs w:val="18"/>
          <w:color w:val="auto"/>
        </w:rPr>
        <w:t>Exhibit 10.1 Schlumberger 2005 Stock Incentive Plan (incorporated by reference to Appendix 1 to Schlumberger’s definitive proxy statement for the 2006 Annual General Meeting of Stockholders held on April 12, 2006).</w:t>
      </w:r>
    </w:p>
    <w:p>
      <w:pPr>
        <w:spacing w:after="0" w:line="37" w:lineRule="exact"/>
        <w:rPr>
          <w:sz w:val="20"/>
          <w:szCs w:val="20"/>
          <w:color w:val="auto"/>
        </w:rPr>
      </w:pPr>
    </w:p>
    <w:p>
      <w:pPr>
        <w:ind w:left="580" w:right="840"/>
        <w:spacing w:after="0" w:line="268" w:lineRule="auto"/>
        <w:rPr>
          <w:sz w:val="20"/>
          <w:szCs w:val="20"/>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sz w:val="20"/>
          <w:szCs w:val="20"/>
          <w:color w:val="auto"/>
        </w:rPr>
      </w:pPr>
    </w:p>
    <w:p>
      <w:pPr>
        <w:ind w:left="580" w:right="880"/>
        <w:spacing w:after="0" w:line="268" w:lineRule="auto"/>
        <w:rPr>
          <w:sz w:val="20"/>
          <w:szCs w:val="20"/>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sz w:val="20"/>
          <w:szCs w:val="20"/>
          <w:color w:val="auto"/>
        </w:rPr>
      </w:pPr>
    </w:p>
    <w:p>
      <w:pPr>
        <w:ind w:left="580" w:right="800"/>
        <w:spacing w:after="0" w:line="268" w:lineRule="auto"/>
        <w:rPr>
          <w:sz w:val="20"/>
          <w:szCs w:val="20"/>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sz w:val="20"/>
          <w:szCs w:val="20"/>
          <w:color w:val="auto"/>
        </w:rPr>
      </w:pPr>
    </w:p>
    <w:p>
      <w:pPr>
        <w:ind w:left="580" w:right="620"/>
        <w:spacing w:after="0" w:line="268" w:lineRule="auto"/>
        <w:rPr>
          <w:sz w:val="20"/>
          <w:szCs w:val="20"/>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Date: April 26, 2006</w:t>
            </w:r>
          </w:p>
        </w:tc>
        <w:tc>
          <w:tcPr>
            <w:tcW w:w="7860" w:type="dxa"/>
            <w:vAlign w:val="bottom"/>
            <w:gridSpan w:val="2"/>
          </w:tcPr>
          <w:p>
            <w:pPr>
              <w:ind w:left="25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3560" w:type="dxa"/>
            <w:vAlign w:val="bottom"/>
          </w:tcPr>
          <w:p>
            <w:pPr>
              <w:spacing w:after="0"/>
              <w:rPr>
                <w:sz w:val="19"/>
                <w:szCs w:val="19"/>
                <w:color w:val="auto"/>
              </w:rPr>
            </w:pPr>
          </w:p>
        </w:tc>
        <w:tc>
          <w:tcPr>
            <w:tcW w:w="7860" w:type="dxa"/>
            <w:vAlign w:val="bottom"/>
            <w:gridSpan w:val="2"/>
          </w:tcPr>
          <w:p>
            <w:pPr>
              <w:ind w:left="25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EGISTRANT</w:t>
            </w:r>
            <w:r>
              <w:rPr>
                <w:rFonts w:ascii="Arial" w:cs="Arial" w:eastAsia="Arial" w:hAnsi="Arial"/>
                <w:sz w:val="18"/>
                <w:szCs w:val="18"/>
                <w:color w:val="auto"/>
              </w:rPr>
              <w:t>)</w:t>
            </w:r>
          </w:p>
        </w:tc>
      </w:tr>
      <w:tr>
        <w:trPr>
          <w:trHeight w:val="446"/>
        </w:trPr>
        <w:tc>
          <w:tcPr>
            <w:tcW w:w="3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900" w:type="dxa"/>
            <w:vAlign w:val="bottom"/>
          </w:tcPr>
          <w:p>
            <w:pPr>
              <w:ind w:left="158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5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16"/>
        </w:trPr>
        <w:tc>
          <w:tcPr>
            <w:tcW w:w="35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 and</w:t>
            </w:r>
          </w:p>
        </w:tc>
      </w:tr>
      <w:tr>
        <w:trPr>
          <w:trHeight w:val="222"/>
        </w:trPr>
        <w:tc>
          <w:tcPr>
            <w:tcW w:w="3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Duly Authorized Signatory</w:t>
            </w:r>
          </w:p>
        </w:tc>
      </w:tr>
      <w:tr>
        <w:trPr>
          <w:trHeight w:val="326"/>
        </w:trPr>
        <w:tc>
          <w:tcPr>
            <w:tcW w:w="3560" w:type="dxa"/>
            <w:vAlign w:val="bottom"/>
          </w:tcPr>
          <w:p>
            <w:pPr>
              <w:spacing w:after="0"/>
              <w:rPr>
                <w:sz w:val="24"/>
                <w:szCs w:val="24"/>
                <w:color w:val="auto"/>
              </w:rPr>
            </w:pPr>
          </w:p>
        </w:tc>
        <w:tc>
          <w:tcPr>
            <w:tcW w:w="2960" w:type="dxa"/>
            <w:vAlign w:val="bottom"/>
          </w:tcPr>
          <w:p>
            <w:pPr>
              <w:jc w:val="right"/>
              <w:ind w:right="659"/>
              <w:spacing w:after="0"/>
              <w:rPr>
                <w:sz w:val="20"/>
                <w:szCs w:val="20"/>
                <w:color w:val="auto"/>
              </w:rPr>
            </w:pPr>
            <w:r>
              <w:rPr>
                <w:rFonts w:ascii="Arial" w:cs="Arial" w:eastAsia="Arial" w:hAnsi="Arial"/>
                <w:sz w:val="14"/>
                <w:szCs w:val="14"/>
                <w:color w:val="auto"/>
              </w:rPr>
              <w:t>26</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ARTICLES OF INCORPORATION OF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CORPORATION WITH LIMITED LIABILITY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N.V.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DOMICILE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name of the Company is: SCHLUMBERGER N.V.</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Abroad and in transactions with foreign entities, persons or organizations, the name SCHLUMBERGER LIMITED may be used.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Company is incorporated in the Netherlands Antilles and has its corporate seat in Curaçao.</w:t>
      </w:r>
    </w:p>
    <w:p>
      <w:pPr>
        <w:spacing w:after="0" w:line="77" w:lineRule="exact"/>
        <w:rPr>
          <w:sz w:val="20"/>
          <w:szCs w:val="20"/>
          <w:color w:val="auto"/>
        </w:rPr>
      </w:pPr>
    </w:p>
    <w:p>
      <w:pPr>
        <w:ind w:left="460" w:right="320" w:hanging="445"/>
        <w:spacing w:after="0" w:line="256" w:lineRule="auto"/>
        <w:tabs>
          <w:tab w:leader="none" w:pos="440" w:val="left"/>
        </w:tabs>
        <w:rPr>
          <w:sz w:val="20"/>
          <w:szCs w:val="20"/>
          <w:color w:val="auto"/>
        </w:rPr>
      </w:pPr>
      <w:r>
        <w:rPr>
          <w:rFonts w:ascii="Arial" w:cs="Arial" w:eastAsia="Arial" w:hAnsi="Arial"/>
          <w:sz w:val="18"/>
          <w:szCs w:val="18"/>
          <w:color w:val="auto"/>
        </w:rPr>
        <w:t>1.4.</w:t>
        <w:tab/>
        <w:t>The Board of Directors has the authority to move the corporate seat of the Company to, or to convert the Company into a legal entity under the laws of, another jurisdiction, as, when, and in the manner permitted by the laws of the Netherlands Antilles. In particular, the Company may change its place of domicile in accordance with the Netherlands Antilles Ordinance on Transfer of Domicile to Third Countries pursuant to a resolution of the Board of Directors.</w:t>
      </w:r>
    </w:p>
    <w:p>
      <w:pPr>
        <w:spacing w:after="0" w:line="13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OBJECTS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2</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objects of the Company are:</w:t>
      </w:r>
    </w:p>
    <w:p>
      <w:pPr>
        <w:spacing w:after="0" w:line="77" w:lineRule="exact"/>
        <w:rPr>
          <w:sz w:val="20"/>
          <w:szCs w:val="20"/>
          <w:color w:val="auto"/>
        </w:rPr>
      </w:pPr>
    </w:p>
    <w:p>
      <w:pPr>
        <w:ind w:left="900" w:right="2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37"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45"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76" w:lineRule="exact"/>
        <w:rPr>
          <w:rFonts w:ascii="Arial" w:cs="Arial" w:eastAsia="Arial" w:hAnsi="Arial"/>
          <w:sz w:val="18"/>
          <w:szCs w:val="18"/>
          <w:color w:val="auto"/>
        </w:rPr>
      </w:pPr>
    </w:p>
    <w:p>
      <w:pPr>
        <w:ind w:left="900" w:right="14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18"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74" w:right="239" w:bottom="1440" w:gutter="0" w:footer="0" w:header="0"/>
        </w:sectPr>
      </w:pPr>
    </w:p>
    <w:bookmarkStart w:id="27" w:name="page28"/>
    <w:bookmarkEnd w:id="2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industrial, commercial or scientific equipment, and from compensation or other consideration received for technical assistance or services;</w:t>
      </w:r>
    </w:p>
    <w:p>
      <w:pPr>
        <w:spacing w:after="0" w:line="113" w:lineRule="exact"/>
        <w:rPr>
          <w:sz w:val="20"/>
          <w:szCs w:val="20"/>
          <w:color w:val="auto"/>
        </w:rPr>
      </w:pPr>
    </w:p>
    <w:p>
      <w:pPr>
        <w:ind w:left="900" w:right="6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37" w:lineRule="exact"/>
        <w:rPr>
          <w:rFonts w:ascii="Arial" w:cs="Arial" w:eastAsia="Arial" w:hAnsi="Arial"/>
          <w:sz w:val="18"/>
          <w:szCs w:val="18"/>
          <w:color w:val="auto"/>
        </w:rPr>
      </w:pPr>
    </w:p>
    <w:p>
      <w:pPr>
        <w:jc w:val="both"/>
        <w:ind w:left="900" w:right="2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77"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2.2.</w:t>
        <w:tab/>
        <w:t>The Company is entitled to do all that in any way may be useful or necessary for the attainment of the above objects or that is connected therewith in the widest sense.</w:t>
      </w:r>
    </w:p>
    <w:p>
      <w:pPr>
        <w:spacing w:after="0" w:line="11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DURATION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CAPITAL AND SHARES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4</w:t>
      </w:r>
    </w:p>
    <w:p>
      <w:pPr>
        <w:spacing w:after="0" w:line="151" w:lineRule="exact"/>
        <w:rPr>
          <w:sz w:val="20"/>
          <w:szCs w:val="20"/>
          <w:color w:val="auto"/>
        </w:rPr>
      </w:pPr>
    </w:p>
    <w:p>
      <w:pPr>
        <w:ind w:left="460" w:hanging="445"/>
        <w:spacing w:after="0" w:line="289"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nominal capital of the Company (nominal capital being defined in the law and in these Articles of Incorporation as the sum of the par values of all of the issued and outstanding shares in the Company’s capital stock at any time) shall not exceed THIRTY-TWO MILLION UNITED STATES DOLLARS (US$32,000,000), divided into (a) three billion (3,000,000,000)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24"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4.2.</w:t>
        <w:tab/>
        <w:t>The actual issue of shares shall be effected by way of written instrument signed by the Company and the acquirer or as otherwise permitted by applicable law. The Company cannot issue shares to itself.</w:t>
      </w:r>
    </w:p>
    <w:p>
      <w:pPr>
        <w:spacing w:after="0" w:line="37" w:lineRule="exact"/>
        <w:rPr>
          <w:sz w:val="20"/>
          <w:szCs w:val="20"/>
          <w:color w:val="auto"/>
        </w:rPr>
      </w:pPr>
    </w:p>
    <w:p>
      <w:pPr>
        <w:ind w:left="460" w:right="200" w:hanging="445"/>
        <w:spacing w:after="0" w:line="306"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2"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4.4.</w:t>
        <w:tab/>
        <w:t>With respect to the issuance of shares, options, warrants or rights to purchase or subscribe for shares, the Board of Directors may enter into and conclude agreements without necessity of any action by the general meeting of stockholders:</w:t>
      </w:r>
    </w:p>
    <w:p>
      <w:pPr>
        <w:spacing w:after="0" w:line="3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40"/>
          </w:cols>
          <w:pgMar w:left="240" w:top="428" w:right="319" w:bottom="1440" w:gutter="0" w:footer="0" w:header="0"/>
        </w:sectPr>
      </w:pPr>
    </w:p>
    <w:bookmarkStart w:id="28" w:name="page29"/>
    <w:bookmarkEnd w:id="28"/>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providing for the payment for shares by means other than by legal tender of the Netherlands Antilles.</w:t>
      </w:r>
    </w:p>
    <w:p>
      <w:pPr>
        <w:spacing w:after="0" w:line="77" w:lineRule="exact"/>
        <w:rPr>
          <w:sz w:val="20"/>
          <w:szCs w:val="20"/>
          <w:color w:val="auto"/>
        </w:rPr>
      </w:pPr>
    </w:p>
    <w:p>
      <w:pPr>
        <w:ind w:left="460" w:right="120" w:hanging="445"/>
        <w:spacing w:after="0" w:line="298"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Prior to the issuance of any series of preferred shares, the Board of Directors shall specify:</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7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45" w:lineRule="exact"/>
        <w:rPr>
          <w:rFonts w:ascii="Arial" w:cs="Arial" w:eastAsia="Arial" w:hAnsi="Arial"/>
          <w:sz w:val="18"/>
          <w:szCs w:val="18"/>
          <w:color w:val="auto"/>
        </w:rPr>
      </w:pPr>
    </w:p>
    <w:p>
      <w:pPr>
        <w:ind w:left="1460" w:right="380" w:hanging="547"/>
        <w:spacing w:after="0" w:line="256"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48" w:lineRule="exact"/>
        <w:rPr>
          <w:rFonts w:ascii="Arial" w:cs="Arial" w:eastAsia="Arial" w:hAnsi="Arial"/>
          <w:sz w:val="18"/>
          <w:szCs w:val="18"/>
          <w:color w:val="auto"/>
        </w:rPr>
      </w:pPr>
    </w:p>
    <w:p>
      <w:pPr>
        <w:ind w:left="1460" w:right="140" w:hanging="547"/>
        <w:spacing w:after="0" w:line="331" w:lineRule="auto"/>
        <w:tabs>
          <w:tab w:leader="none" w:pos="146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2" w:lineRule="exact"/>
        <w:rPr>
          <w:rFonts w:ascii="Arial" w:cs="Arial" w:eastAsia="Arial" w:hAnsi="Arial"/>
          <w:sz w:val="15"/>
          <w:szCs w:val="15"/>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76" w:lineRule="exact"/>
        <w:rPr>
          <w:rFonts w:ascii="Arial" w:cs="Arial" w:eastAsia="Arial" w:hAnsi="Arial"/>
          <w:sz w:val="18"/>
          <w:szCs w:val="18"/>
          <w:color w:val="auto"/>
        </w:rPr>
      </w:pPr>
    </w:p>
    <w:p>
      <w:pPr>
        <w:ind w:left="900" w:right="540" w:hanging="446"/>
        <w:spacing w:after="0" w:line="32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1" w:lineRule="exact"/>
        <w:rPr>
          <w:rFonts w:ascii="Arial" w:cs="Arial" w:eastAsia="Arial" w:hAnsi="Arial"/>
          <w:sz w:val="16"/>
          <w:szCs w:val="16"/>
          <w:color w:val="auto"/>
        </w:rPr>
      </w:pPr>
    </w:p>
    <w:p>
      <w:pPr>
        <w:ind w:left="900" w:right="60" w:hanging="446"/>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terms and conditions of such series which are not inconsistent with these Articles of Incorporation or Netherlands Antilles law.</w:t>
      </w:r>
    </w:p>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Certificates for preferred shares may be issued bearing a legend describing the terms and conditions thereof specified by the Board of Directors.</w:t>
      </w:r>
    </w:p>
    <w:p>
      <w:pPr>
        <w:spacing w:after="0" w:line="77"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18" w:lineRule="exact"/>
        <w:rPr>
          <w:sz w:val="20"/>
          <w:szCs w:val="20"/>
          <w:color w:val="auto"/>
        </w:rPr>
      </w:pPr>
    </w:p>
    <w:p>
      <w:pPr>
        <w:ind w:left="460" w:right="80" w:hanging="445"/>
        <w:spacing w:after="0" w:line="268" w:lineRule="auto"/>
        <w:tabs>
          <w:tab w:leader="none" w:pos="440" w:val="left"/>
        </w:tabs>
        <w:rPr>
          <w:sz w:val="20"/>
          <w:szCs w:val="20"/>
          <w:color w:val="auto"/>
        </w:rPr>
      </w:pPr>
      <w:r>
        <w:rPr>
          <w:rFonts w:ascii="Arial" w:cs="Arial" w:eastAsia="Arial" w:hAnsi="Arial"/>
          <w:sz w:val="18"/>
          <w:szCs w:val="18"/>
          <w:color w:val="auto"/>
        </w:rPr>
        <w:t>4.9.</w:t>
        <w:tab/>
        <w:t>Upon liquidation of the Company, the holders of any series of preferred shares shall be entitled to receive, before any distribution is made to the holders of any other series of preferred shares ranking junior to such series as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428" w:right="259" w:bottom="1440" w:gutter="0" w:footer="0" w:header="0"/>
        </w:sectPr>
      </w:pPr>
    </w:p>
    <w:bookmarkStart w:id="29" w:name="page30"/>
    <w:bookmarkEnd w:id="29"/>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liquidation preference, and before any distribution to the holders of common shares, the amount of the liquidation preference of such shares which shall not exceed the sum of:</w:t>
      </w:r>
    </w:p>
    <w:p>
      <w:pPr>
        <w:spacing w:after="0" w:line="5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8"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Netherlands Antilles Civil Code (“NACC”)) of the Company at the time of acquisition at least equals the nominal capital and (y) as a result of the acquisition, the equity will not fall below the nominal capital. The authority to make any such acquisition is vested in the Board of Directors.</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Any shares so acquired may be canceled by the Board of Directors without the prior approval of the general meeting of stockholders.</w:t>
      </w:r>
    </w:p>
    <w:p>
      <w:pPr>
        <w:spacing w:after="0" w:line="77"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6.3.</w:t>
        <w:tab/>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46"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6.4.</w:t>
        <w:tab/>
        <w:t>Shares of its stock owned by the Company may be sold at such times, under such conditions and for such consideration as may be determined from time to time by the Board of Directors.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The shares shall be in registered form.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Share certificates for common shares may be issued at the request of the stockholder.</w:t>
      </w:r>
    </w:p>
    <w:p>
      <w:pPr>
        <w:spacing w:after="0" w:line="77"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NACC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24"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7.4.</w:t>
        <w:tab/>
        <w:t>Every transfer and devolution of a share shall be entered in the Register and every such entry shall be signed or otherwise acknowledged by or on behalf of the Board of Directors or by the Registrar.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28" w:right="259" w:bottom="1440" w:gutter="0" w:footer="0" w:header="0"/>
        </w:sectPr>
      </w:pPr>
    </w:p>
    <w:bookmarkStart w:id="30" w:name="page31"/>
    <w:bookmarkEnd w:id="30"/>
    <w:p>
      <w:pPr>
        <w:ind w:left="460" w:right="40" w:hanging="445"/>
        <w:spacing w:after="0" w:line="29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ab/>
      </w:r>
      <w:r>
        <w:rPr>
          <w:rFonts w:ascii="Arial" w:cs="Arial" w:eastAsia="Arial" w:hAnsi="Arial"/>
          <w:sz w:val="16"/>
          <w:szCs w:val="16"/>
          <w:color w:val="auto"/>
        </w:rPr>
        <w:t>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NACC). The transfer of shares listed on a stock exchange may also be effected in accordance with the trading system applied by such exchange.</w:t>
      </w:r>
    </w:p>
    <w:p>
      <w:pPr>
        <w:spacing w:after="0" w:line="26"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provisions of the preceding paragraphs shall also apply in the event of a division of joint ownership.</w:t>
      </w:r>
    </w:p>
    <w:p>
      <w:pPr>
        <w:spacing w:after="0" w:line="77" w:lineRule="exact"/>
        <w:rPr>
          <w:sz w:val="20"/>
          <w:szCs w:val="20"/>
          <w:color w:val="auto"/>
        </w:rPr>
      </w:pPr>
    </w:p>
    <w:p>
      <w:pPr>
        <w:ind w:left="460" w:right="40" w:hanging="445"/>
        <w:spacing w:after="0" w:line="289" w:lineRule="auto"/>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151" w:lineRule="exact"/>
        <w:rPr>
          <w:sz w:val="20"/>
          <w:szCs w:val="20"/>
          <w:color w:val="auto"/>
        </w:rPr>
      </w:pPr>
    </w:p>
    <w:p>
      <w:pPr>
        <w:ind w:left="460" w:right="440" w:hanging="445"/>
        <w:spacing w:after="0" w:line="325"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1" w:lineRule="exact"/>
        <w:rPr>
          <w:sz w:val="20"/>
          <w:szCs w:val="20"/>
          <w:color w:val="auto"/>
        </w:rPr>
      </w:pPr>
    </w:p>
    <w:p>
      <w:pPr>
        <w:ind w:left="460" w:right="340" w:hanging="445"/>
        <w:spacing w:after="0" w:line="256" w:lineRule="auto"/>
        <w:tabs>
          <w:tab w:leader="none" w:pos="440" w:val="left"/>
        </w:tabs>
        <w:rPr>
          <w:sz w:val="20"/>
          <w:szCs w:val="20"/>
          <w:color w:val="auto"/>
        </w:rPr>
      </w:pPr>
      <w:r>
        <w:rPr>
          <w:rFonts w:ascii="Arial" w:cs="Arial" w:eastAsia="Arial" w:hAnsi="Arial"/>
          <w:sz w:val="18"/>
          <w:szCs w:val="18"/>
          <w:color w:val="auto"/>
        </w:rPr>
        <w:t>8.2.</w:t>
        <w:tab/>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49" w:lineRule="exact"/>
        <w:rPr>
          <w:sz w:val="20"/>
          <w:szCs w:val="20"/>
          <w:color w:val="auto"/>
        </w:rPr>
      </w:pPr>
    </w:p>
    <w:p>
      <w:pPr>
        <w:ind w:left="460" w:right="100" w:hanging="445"/>
        <w:spacing w:after="0" w:line="302"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The directors shall be elected at a general meeting of stockholders by a majority of votes cast, in person or by proxy, by the stockholders entitled to vote.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w:t>
      </w:r>
    </w:p>
    <w:p>
      <w:pPr>
        <w:spacing w:after="0" w:line="1" w:lineRule="exact"/>
        <w:rPr>
          <w:sz w:val="20"/>
          <w:szCs w:val="20"/>
          <w:color w:val="auto"/>
        </w:rPr>
      </w:pPr>
    </w:p>
    <w:p>
      <w:pPr>
        <w:ind w:left="460" w:right="380" w:hanging="6"/>
        <w:spacing w:after="0" w:line="255" w:lineRule="auto"/>
        <w:tabs>
          <w:tab w:leader="none" w:pos="7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28" w:right="239" w:bottom="1440" w:gutter="0" w:footer="0" w:header="0"/>
        </w:sectPr>
      </w:pPr>
    </w:p>
    <w:bookmarkStart w:id="31" w:name="page32"/>
    <w:bookmarkEnd w:id="31"/>
    <w:p>
      <w:pPr>
        <w:ind w:left="460" w:right="80" w:hanging="445"/>
        <w:spacing w:after="0" w:line="26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8.4.</w:t>
        <w:tab/>
        <w:t>Each director shall be elected to serve until the next annual general meeting of stockholders and until his successor shall be elected and qualify, or until his death, resignation or removal.</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color w:val="auto"/>
        </w:rPr>
        <w:t>Directors need not be Netherlands Antilles citizens or residents of the Netherlands Antilles or stockholders of the Company.</w:t>
      </w:r>
    </w:p>
    <w:p>
      <w:pPr>
        <w:spacing w:after="0" w:line="77" w:lineRule="exact"/>
        <w:rPr>
          <w:sz w:val="20"/>
          <w:szCs w:val="20"/>
          <w:color w:val="auto"/>
        </w:rPr>
      </w:pPr>
    </w:p>
    <w:p>
      <w:pPr>
        <w:ind w:left="460" w:right="60" w:hanging="445"/>
        <w:spacing w:after="0" w:line="287"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28" w:lineRule="exact"/>
        <w:rPr>
          <w:sz w:val="20"/>
          <w:szCs w:val="20"/>
          <w:color w:val="auto"/>
        </w:rPr>
      </w:pPr>
    </w:p>
    <w:p>
      <w:pPr>
        <w:ind w:left="460" w:right="80" w:hanging="445"/>
        <w:spacing w:after="0" w:line="325"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the Netherlands Antilles.</w:t>
      </w:r>
    </w:p>
    <w:p>
      <w:pPr>
        <w:spacing w:after="0" w:line="77"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8.9.</w:t>
        <w:tab/>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46" w:lineRule="exact"/>
        <w:rPr>
          <w:sz w:val="20"/>
          <w:szCs w:val="20"/>
          <w:color w:val="auto"/>
        </w:rPr>
      </w:pPr>
    </w:p>
    <w:p>
      <w:pPr>
        <w:ind w:left="460" w:right="60" w:hanging="458"/>
        <w:spacing w:after="0" w:line="306" w:lineRule="auto"/>
        <w:rPr>
          <w:sz w:val="20"/>
          <w:szCs w:val="20"/>
          <w:color w:val="auto"/>
        </w:rPr>
      </w:pPr>
      <w:r>
        <w:rPr>
          <w:rFonts w:ascii="Arial" w:cs="Arial" w:eastAsia="Arial" w:hAnsi="Arial"/>
          <w:sz w:val="16"/>
          <w:szCs w:val="16"/>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2" w:lineRule="exact"/>
        <w:rPr>
          <w:sz w:val="20"/>
          <w:szCs w:val="20"/>
          <w:color w:val="auto"/>
        </w:rPr>
      </w:pPr>
    </w:p>
    <w:p>
      <w:pPr>
        <w:ind w:left="460" w:hanging="458"/>
        <w:spacing w:after="0" w:line="256"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8"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28" w:right="259" w:bottom="1440" w:gutter="0" w:footer="0" w:header="0"/>
        </w:sectPr>
      </w:pPr>
    </w:p>
    <w:bookmarkStart w:id="32" w:name="page33"/>
    <w:bookmarkEnd w:id="3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r>
      <w:r>
        <w:rPr>
          <w:sz w:val="20"/>
          <w:szCs w:val="20"/>
          <w:color w:val="auto"/>
        </w:rPr>
        <w:tab/>
      </w:r>
      <w:r>
        <w:rPr>
          <w:rFonts w:ascii="Arial" w:cs="Arial" w:eastAsia="Arial" w:hAnsi="Arial"/>
          <w:sz w:val="15"/>
          <w:szCs w:val="15"/>
          <w:color w:val="auto"/>
        </w:rPr>
        <w:t>The Company shall be represented at law and otherwise, and shall be bound with respect to third parties, by the Board of Directors and by:</w:t>
      </w:r>
    </w:p>
    <w:p>
      <w:pPr>
        <w:spacing w:after="0" w:line="77" w:lineRule="exact"/>
        <w:rPr>
          <w:sz w:val="20"/>
          <w:szCs w:val="20"/>
          <w:color w:val="auto"/>
        </w:rPr>
      </w:pPr>
    </w:p>
    <w:p>
      <w:pPr>
        <w:ind w:left="900" w:right="2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37"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76"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37"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President;</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Controller;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Secretary.</w:t>
      </w:r>
    </w:p>
    <w:p>
      <w:pPr>
        <w:spacing w:after="0" w:line="77"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9.3.</w:t>
        <w:tab/>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3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9.4.</w:t>
        <w:tab/>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37" w:lineRule="exact"/>
        <w:rPr>
          <w:sz w:val="20"/>
          <w:szCs w:val="20"/>
          <w:color w:val="auto"/>
        </w:rPr>
      </w:pPr>
    </w:p>
    <w:p>
      <w:pPr>
        <w:ind w:left="460" w:right="300" w:hanging="445"/>
        <w:spacing w:after="0" w:line="325" w:lineRule="auto"/>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1"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9.6.</w:t>
        <w:tab/>
        <w:t>The Board of Directors may grant general or specific authority to additional agents or to committees, giving such agents or committees such general or limited powers or duties as it may deem appropriate.</w:t>
      </w:r>
    </w:p>
    <w:p>
      <w:pPr>
        <w:spacing w:after="0" w:line="37"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9.7.</w:t>
        <w:tab/>
        <w:t>In the event of a conflict of interest between the Company and one or more directors, the Company shall be represented as determined from time to time by the Board of Directors.</w:t>
      </w:r>
    </w:p>
    <w:p>
      <w:pPr>
        <w:spacing w:after="0" w:line="37"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9.8.</w:t>
        <w:tab/>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49"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9.9.</w:t>
        <w:tab/>
        <w:t>The directors, the holders of the above-mentioned offices and other persons authorized by the Board of Directors to represent the Company shall receive such compensation as the Board of Directors may from time to time prescribe.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28"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w:t>
      </w:r>
    </w:p>
    <w:p>
      <w:pPr>
        <w:spacing w:after="0" w:line="158" w:lineRule="exact"/>
        <w:rPr>
          <w:sz w:val="20"/>
          <w:szCs w:val="20"/>
          <w:color w:val="auto"/>
        </w:rPr>
      </w:pPr>
    </w:p>
    <w:p>
      <w:pPr>
        <w:ind w:left="440" w:hanging="458"/>
        <w:spacing w:after="0" w:line="284"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33" w:lineRule="exact"/>
        <w:rPr>
          <w:sz w:val="20"/>
          <w:szCs w:val="20"/>
          <w:color w:val="auto"/>
        </w:rPr>
      </w:pPr>
    </w:p>
    <w:p>
      <w:pPr>
        <w:ind w:left="440" w:right="40" w:hanging="458"/>
        <w:spacing w:after="0" w:line="286" w:lineRule="auto"/>
        <w:rPr>
          <w:sz w:val="20"/>
          <w:szCs w:val="20"/>
          <w:color w:val="auto"/>
        </w:rPr>
      </w:pPr>
      <w:r>
        <w:rPr>
          <w:rFonts w:ascii="Arial" w:cs="Arial" w:eastAsia="Arial" w:hAnsi="Arial"/>
          <w:sz w:val="16"/>
          <w:szCs w:val="16"/>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26" w:lineRule="exact"/>
        <w:rPr>
          <w:sz w:val="20"/>
          <w:szCs w:val="20"/>
          <w:color w:val="auto"/>
        </w:rPr>
      </w:pPr>
    </w:p>
    <w:p>
      <w:pPr>
        <w:jc w:val="both"/>
        <w:ind w:left="440" w:right="280" w:hanging="458"/>
        <w:spacing w:after="0" w:line="306" w:lineRule="auto"/>
        <w:rPr>
          <w:sz w:val="20"/>
          <w:szCs w:val="20"/>
          <w:color w:val="auto"/>
        </w:rPr>
      </w:pPr>
      <w:r>
        <w:rPr>
          <w:rFonts w:ascii="Arial" w:cs="Arial" w:eastAsia="Arial" w:hAnsi="Arial"/>
          <w:sz w:val="16"/>
          <w:szCs w:val="16"/>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60" w:top="428" w:right="259" w:bottom="1440" w:gutter="0" w:footer="0" w:header="0"/>
        </w:sectPr>
      </w:pPr>
    </w:p>
    <w:bookmarkStart w:id="34" w:name="page35"/>
    <w:bookmarkEnd w:id="34"/>
    <w:p>
      <w:pPr>
        <w:ind w:left="460" w:right="220" w:hanging="45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46" w:lineRule="exact"/>
        <w:rPr>
          <w:sz w:val="20"/>
          <w:szCs w:val="20"/>
          <w:color w:val="auto"/>
        </w:rPr>
      </w:pPr>
    </w:p>
    <w:p>
      <w:pPr>
        <w:ind w:left="460" w:hanging="458"/>
        <w:spacing w:after="0" w:line="294" w:lineRule="auto"/>
        <w:rPr>
          <w:sz w:val="20"/>
          <w:szCs w:val="20"/>
          <w:color w:val="auto"/>
        </w:rPr>
      </w:pPr>
      <w:r>
        <w:rPr>
          <w:rFonts w:ascii="Arial" w:cs="Arial" w:eastAsia="Arial" w:hAnsi="Arial"/>
          <w:sz w:val="16"/>
          <w:szCs w:val="16"/>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21" w:lineRule="exact"/>
        <w:rPr>
          <w:sz w:val="20"/>
          <w:szCs w:val="20"/>
          <w:color w:val="auto"/>
        </w:rPr>
      </w:pPr>
    </w:p>
    <w:p>
      <w:pPr>
        <w:ind w:left="460" w:right="60" w:hanging="458"/>
        <w:spacing w:after="0" w:line="294" w:lineRule="auto"/>
        <w:rPr>
          <w:sz w:val="20"/>
          <w:szCs w:val="20"/>
          <w:color w:val="auto"/>
        </w:rPr>
      </w:pPr>
      <w:r>
        <w:rPr>
          <w:rFonts w:ascii="Arial" w:cs="Arial" w:eastAsia="Arial" w:hAnsi="Arial"/>
          <w:sz w:val="16"/>
          <w:szCs w:val="16"/>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1" w:lineRule="exact"/>
        <w:rPr>
          <w:sz w:val="20"/>
          <w:szCs w:val="20"/>
          <w:color w:val="auto"/>
        </w:rPr>
      </w:pPr>
    </w:p>
    <w:p>
      <w:pPr>
        <w:jc w:val="both"/>
        <w:ind w:left="460" w:right="260" w:hanging="458"/>
        <w:spacing w:after="0" w:line="323" w:lineRule="auto"/>
        <w:rPr>
          <w:sz w:val="20"/>
          <w:szCs w:val="20"/>
          <w:color w:val="auto"/>
        </w:rPr>
      </w:pPr>
      <w:r>
        <w:rPr>
          <w:rFonts w:ascii="Arial" w:cs="Arial" w:eastAsia="Arial" w:hAnsi="Arial"/>
          <w:sz w:val="15"/>
          <w:szCs w:val="15"/>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3" w:lineRule="exact"/>
        <w:rPr>
          <w:sz w:val="20"/>
          <w:szCs w:val="20"/>
          <w:color w:val="auto"/>
        </w:rPr>
      </w:pPr>
    </w:p>
    <w:p>
      <w:pPr>
        <w:ind w:left="460" w:hanging="458"/>
        <w:spacing w:after="0" w:line="291" w:lineRule="auto"/>
        <w:rPr>
          <w:sz w:val="20"/>
          <w:szCs w:val="20"/>
          <w:color w:val="auto"/>
        </w:rPr>
      </w:pPr>
      <w:r>
        <w:rPr>
          <w:rFonts w:ascii="Arial" w:cs="Arial" w:eastAsia="Arial" w:hAnsi="Arial"/>
          <w:sz w:val="16"/>
          <w:szCs w:val="16"/>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26" w:lineRule="exact"/>
        <w:rPr>
          <w:sz w:val="20"/>
          <w:szCs w:val="20"/>
          <w:color w:val="auto"/>
        </w:rPr>
      </w:pPr>
    </w:p>
    <w:p>
      <w:pPr>
        <w:ind w:left="460" w:hanging="458"/>
        <w:spacing w:after="0" w:line="254"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STOCKHOLDERS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11.1.  All general meetings of stockholders shall be held in Curaçao or anywhere else in the Netherlands Antilles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11.2.  The annual general meeting of stockholders shall be held within the maximum period allowed under applicable law, on a date determined from year to year</w:t>
      </w:r>
    </w:p>
    <w:p>
      <w:pPr>
        <w:spacing w:after="0" w:line="38"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color w:val="auto"/>
        </w:rPr>
        <w:t>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28" w:right="259" w:bottom="1440" w:gutter="0" w:footer="0" w:header="0"/>
        </w:sectPr>
      </w:pPr>
    </w:p>
    <w:bookmarkStart w:id="35" w:name="page36"/>
    <w:bookmarkEnd w:id="35"/>
    <w:p>
      <w:pPr>
        <w:ind w:left="460" w:right="60" w:hanging="45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NACC, or by one or more holders of shares representing in the aggregate a majority of the shares then outstanding, or as provided for in Article 8.6.</w:t>
      </w:r>
    </w:p>
    <w:p>
      <w:pPr>
        <w:spacing w:after="0" w:line="18" w:lineRule="exact"/>
        <w:rPr>
          <w:sz w:val="20"/>
          <w:szCs w:val="20"/>
          <w:color w:val="auto"/>
        </w:rPr>
      </w:pPr>
    </w:p>
    <w:p>
      <w:pPr>
        <w:ind w:left="460" w:right="120" w:hanging="458"/>
        <w:spacing w:after="0" w:line="259" w:lineRule="auto"/>
        <w:rPr>
          <w:sz w:val="20"/>
          <w:szCs w:val="20"/>
          <w:color w:val="auto"/>
        </w:rPr>
      </w:pPr>
      <w:r>
        <w:rPr>
          <w:rFonts w:ascii="Arial" w:cs="Arial" w:eastAsia="Arial" w:hAnsi="Arial"/>
          <w:sz w:val="18"/>
          <w:szCs w:val="18"/>
          <w:color w:val="auto"/>
        </w:rPr>
        <w:t>11.4. Notice of meetings of stockholders, whether annual general meetings or special general meetings, stating the time and place of the meeting, shall be given to the stockholders not less than twenty (20) or more than sixty (60) days prior to the date of the meeting in question by notice to each stockholder at the address thereof appearing in the Register.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11.5.  All notices of general meetings of stockholders shall state the matters to be considered at the meeting.</w:t>
      </w:r>
    </w:p>
    <w:p>
      <w:pPr>
        <w:spacing w:after="0" w:line="77" w:lineRule="exact"/>
        <w:rPr>
          <w:sz w:val="20"/>
          <w:szCs w:val="20"/>
          <w:color w:val="auto"/>
        </w:rPr>
      </w:pPr>
    </w:p>
    <w:p>
      <w:pPr>
        <w:ind w:left="460" w:right="280" w:hanging="458"/>
        <w:spacing w:after="0" w:line="259" w:lineRule="auto"/>
        <w:rPr>
          <w:sz w:val="20"/>
          <w:szCs w:val="20"/>
          <w:color w:val="auto"/>
        </w:rPr>
      </w:pPr>
      <w:r>
        <w:rPr>
          <w:rFonts w:ascii="Arial" w:cs="Arial" w:eastAsia="Arial" w:hAnsi="Arial"/>
          <w:sz w:val="18"/>
          <w:szCs w:val="18"/>
          <w:color w:val="auto"/>
        </w:rPr>
        <w:t>11.6. 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46" w:lineRule="exact"/>
        <w:rPr>
          <w:sz w:val="20"/>
          <w:szCs w:val="20"/>
          <w:color w:val="auto"/>
        </w:rPr>
      </w:pPr>
    </w:p>
    <w:p>
      <w:pPr>
        <w:ind w:left="460" w:right="60" w:hanging="458"/>
        <w:spacing w:after="0" w:line="318" w:lineRule="auto"/>
        <w:rPr>
          <w:sz w:val="20"/>
          <w:szCs w:val="20"/>
          <w:color w:val="auto"/>
        </w:rPr>
      </w:pPr>
      <w:r>
        <w:rPr>
          <w:rFonts w:ascii="Arial" w:cs="Arial" w:eastAsia="Arial" w:hAnsi="Arial"/>
          <w:sz w:val="15"/>
          <w:szCs w:val="15"/>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5" w:lineRule="exact"/>
        <w:rPr>
          <w:sz w:val="20"/>
          <w:szCs w:val="20"/>
          <w:color w:val="auto"/>
        </w:rPr>
      </w:pPr>
    </w:p>
    <w:p>
      <w:pPr>
        <w:ind w:left="460" w:right="800" w:hanging="458"/>
        <w:spacing w:after="0" w:line="332" w:lineRule="auto"/>
        <w:rPr>
          <w:sz w:val="20"/>
          <w:szCs w:val="20"/>
          <w:color w:val="auto"/>
        </w:rPr>
      </w:pPr>
      <w:r>
        <w:rPr>
          <w:rFonts w:ascii="Arial" w:cs="Arial" w:eastAsia="Arial" w:hAnsi="Arial"/>
          <w:sz w:val="16"/>
          <w:szCs w:val="16"/>
          <w:color w:val="auto"/>
        </w:rPr>
        <w:t>11.8. 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58" w:lineRule="exact"/>
        <w:rPr>
          <w:sz w:val="20"/>
          <w:szCs w:val="20"/>
          <w:color w:val="auto"/>
        </w:rPr>
      </w:pPr>
    </w:p>
    <w:p>
      <w:pPr>
        <w:jc w:val="both"/>
        <w:ind w:left="460" w:hanging="458"/>
        <w:spacing w:after="0" w:line="259" w:lineRule="auto"/>
        <w:rPr>
          <w:sz w:val="20"/>
          <w:szCs w:val="20"/>
          <w:color w:val="auto"/>
        </w:rPr>
      </w:pPr>
      <w:r>
        <w:rPr>
          <w:rFonts w:ascii="Arial" w:cs="Arial" w:eastAsia="Arial" w:hAnsi="Arial"/>
          <w:sz w:val="18"/>
          <w:szCs w:val="18"/>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 Each holder of common shares and each holder of preferred shares shall be entitled to one vote for each common share or preferred share held.</w:t>
      </w:r>
    </w:p>
    <w:p>
      <w:pPr>
        <w:spacing w:after="0" w:line="100" w:lineRule="exact"/>
        <w:rPr>
          <w:sz w:val="20"/>
          <w:szCs w:val="20"/>
          <w:color w:val="auto"/>
        </w:rPr>
      </w:pPr>
    </w:p>
    <w:p>
      <w:pPr>
        <w:ind w:left="460" w:right="40" w:hanging="458"/>
        <w:spacing w:after="0" w:line="287"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28" w:right="239" w:bottom="1440" w:gutter="0" w:footer="0" w:header="0"/>
        </w:sectPr>
      </w:pPr>
    </w:p>
    <w:bookmarkStart w:id="36" w:name="page37"/>
    <w:bookmarkEnd w:id="36"/>
    <w:p>
      <w:pPr>
        <w:ind w:left="4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158" w:lineRule="exact"/>
        <w:rPr>
          <w:sz w:val="20"/>
          <w:szCs w:val="20"/>
          <w:color w:val="auto"/>
        </w:rPr>
      </w:pPr>
    </w:p>
    <w:p>
      <w:pPr>
        <w:ind w:left="460" w:right="220" w:hanging="458"/>
        <w:spacing w:after="0" w:line="325" w:lineRule="auto"/>
        <w:rPr>
          <w:sz w:val="20"/>
          <w:szCs w:val="20"/>
          <w:color w:val="auto"/>
        </w:rPr>
      </w:pPr>
      <w:r>
        <w:rPr>
          <w:rFonts w:ascii="Arial" w:cs="Arial" w:eastAsia="Arial" w:hAnsi="Arial"/>
          <w:sz w:val="16"/>
          <w:szCs w:val="16"/>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1" w:lineRule="exact"/>
        <w:rPr>
          <w:sz w:val="20"/>
          <w:szCs w:val="20"/>
          <w:color w:val="auto"/>
        </w:rPr>
      </w:pPr>
    </w:p>
    <w:p>
      <w:pPr>
        <w:ind w:left="460" w:right="80" w:hanging="458"/>
        <w:spacing w:after="0" w:line="298" w:lineRule="auto"/>
        <w:rPr>
          <w:sz w:val="20"/>
          <w:szCs w:val="20"/>
          <w:color w:val="auto"/>
        </w:rPr>
      </w:pPr>
      <w:r>
        <w:rPr>
          <w:rFonts w:ascii="Arial" w:cs="Arial" w:eastAsia="Arial" w:hAnsi="Arial"/>
          <w:sz w:val="16"/>
          <w:szCs w:val="16"/>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8"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77" w:lineRule="exact"/>
        <w:rPr>
          <w:sz w:val="20"/>
          <w:szCs w:val="20"/>
          <w:color w:val="auto"/>
        </w:rPr>
      </w:pPr>
    </w:p>
    <w:p>
      <w:pPr>
        <w:ind w:left="460" w:right="80" w:hanging="458"/>
        <w:spacing w:after="0" w:line="325" w:lineRule="auto"/>
        <w:rPr>
          <w:sz w:val="20"/>
          <w:szCs w:val="20"/>
          <w:color w:val="auto"/>
        </w:rPr>
      </w:pPr>
      <w:r>
        <w:rPr>
          <w:rFonts w:ascii="Arial" w:cs="Arial" w:eastAsia="Arial" w:hAnsi="Arial"/>
          <w:sz w:val="16"/>
          <w:szCs w:val="16"/>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13.6. Shares belonging to a legal entity, if a majority of the shares entitled to vote in the election of directors of such entity are held, directly or indirectly, by the</w:t>
      </w:r>
    </w:p>
    <w:p>
      <w:pPr>
        <w:spacing w:after="0" w:line="38" w:lineRule="exact"/>
        <w:rPr>
          <w:sz w:val="20"/>
          <w:szCs w:val="20"/>
          <w:color w:val="auto"/>
        </w:rPr>
      </w:pPr>
    </w:p>
    <w:p>
      <w:pPr>
        <w:ind w:left="460" w:right="520"/>
        <w:spacing w:after="0" w:line="261" w:lineRule="auto"/>
        <w:rPr>
          <w:sz w:val="20"/>
          <w:szCs w:val="20"/>
          <w:color w:val="auto"/>
        </w:rPr>
      </w:pPr>
      <w:r>
        <w:rPr>
          <w:rFonts w:ascii="Arial" w:cs="Arial" w:eastAsia="Arial" w:hAnsi="Arial"/>
          <w:sz w:val="18"/>
          <w:szCs w:val="18"/>
          <w:color w:val="auto"/>
        </w:rPr>
        <w:t>Company, shall neither be entitled to vote nor be counted for quorum purposes, except in the event that such shares are held by such legal entity in a fiduciary capacity for others than for the Company itself.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SEPARATE MEETINGS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151" w:lineRule="exact"/>
        <w:rPr>
          <w:sz w:val="20"/>
          <w:szCs w:val="20"/>
          <w:color w:val="auto"/>
        </w:rPr>
      </w:pPr>
    </w:p>
    <w:p>
      <w:pPr>
        <w:ind w:left="460" w:right="160" w:hanging="458"/>
        <w:spacing w:after="0" w:line="268"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37" w:lineRule="exact"/>
        <w:rPr>
          <w:sz w:val="20"/>
          <w:szCs w:val="20"/>
          <w:color w:val="auto"/>
        </w:rPr>
      </w:pPr>
    </w:p>
    <w:p>
      <w:pPr>
        <w:ind w:left="460" w:right="20" w:hanging="458"/>
        <w:spacing w:after="0" w:line="268"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37" w:lineRule="exact"/>
        <w:rPr>
          <w:sz w:val="20"/>
          <w:szCs w:val="20"/>
          <w:color w:val="auto"/>
        </w:rPr>
      </w:pPr>
    </w:p>
    <w:p>
      <w:pPr>
        <w:ind w:left="460" w:right="440" w:hanging="458"/>
        <w:spacing w:after="0" w:line="268"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14.4. The Series Meetings do not have to be held in the Netherlands Antilles but may be held in conjunction with any general meeting of stockholders.</w:t>
      </w:r>
    </w:p>
    <w:p>
      <w:pPr>
        <w:spacing w:after="0" w:line="100" w:lineRule="exact"/>
        <w:rPr>
          <w:sz w:val="20"/>
          <w:szCs w:val="20"/>
          <w:color w:val="auto"/>
        </w:rPr>
      </w:pPr>
    </w:p>
    <w:p>
      <w:pPr>
        <w:ind w:left="460" w:right="200" w:hanging="458"/>
        <w:spacing w:after="0" w:line="268" w:lineRule="auto"/>
        <w:rPr>
          <w:sz w:val="20"/>
          <w:szCs w:val="20"/>
          <w:color w:val="auto"/>
        </w:rPr>
      </w:pPr>
      <w:r>
        <w:rPr>
          <w:rFonts w:ascii="Arial" w:cs="Arial" w:eastAsia="Arial" w:hAnsi="Arial"/>
          <w:sz w:val="18"/>
          <w:szCs w:val="18"/>
          <w:color w:val="auto"/>
        </w:rPr>
        <w:t>14.5. To a Series Meeting all the provisions of these Articles of Incorporation and the laws of the Netherlands Antilles as to General Meetings of Stockholders shall, mutatis mutandis, apply, if not otherwise provided in this Article.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00"/>
          </w:cols>
          <w:pgMar w:left="240" w:top="428"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BALANCE SHEET AND PROFIT AND LOSS ACCOUNT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70" w:lineRule="exact"/>
        <w:rPr>
          <w:sz w:val="20"/>
          <w:szCs w:val="20"/>
          <w:color w:val="auto"/>
        </w:rPr>
      </w:pPr>
    </w:p>
    <w:p>
      <w:pPr>
        <w:ind w:left="460" w:right="20" w:hanging="458"/>
        <w:spacing w:after="0" w:line="291" w:lineRule="auto"/>
        <w:rPr>
          <w:sz w:val="20"/>
          <w:szCs w:val="20"/>
          <w:color w:val="auto"/>
        </w:rPr>
      </w:pPr>
      <w:r>
        <w:rPr>
          <w:rFonts w:ascii="Arial" w:cs="Arial" w:eastAsia="Arial" w:hAnsi="Arial"/>
          <w:sz w:val="16"/>
          <w:szCs w:val="16"/>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26" w:lineRule="exact"/>
        <w:rPr>
          <w:sz w:val="20"/>
          <w:szCs w:val="20"/>
          <w:color w:val="auto"/>
        </w:rPr>
      </w:pPr>
    </w:p>
    <w:p>
      <w:pPr>
        <w:ind w:left="460" w:right="100" w:hanging="458"/>
        <w:spacing w:after="0" w:line="268"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 OF PROFITS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17</w:t>
      </w:r>
    </w:p>
    <w:p>
      <w:pPr>
        <w:spacing w:after="0" w:line="70" w:lineRule="exact"/>
        <w:rPr>
          <w:sz w:val="20"/>
          <w:szCs w:val="20"/>
          <w:color w:val="auto"/>
        </w:rPr>
      </w:pPr>
    </w:p>
    <w:p>
      <w:pPr>
        <w:ind w:left="460" w:right="60" w:hanging="458"/>
        <w:spacing w:after="0" w:line="256" w:lineRule="auto"/>
        <w:rPr>
          <w:sz w:val="20"/>
          <w:szCs w:val="20"/>
          <w:color w:val="auto"/>
        </w:rPr>
      </w:pPr>
      <w:r>
        <w:rPr>
          <w:rFonts w:ascii="Arial" w:cs="Arial" w:eastAsia="Arial" w:hAnsi="Arial"/>
          <w:sz w:val="18"/>
          <w:szCs w:val="18"/>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49" w:lineRule="exact"/>
        <w:rPr>
          <w:sz w:val="20"/>
          <w:szCs w:val="20"/>
          <w:color w:val="auto"/>
        </w:rPr>
      </w:pPr>
    </w:p>
    <w:p>
      <w:pPr>
        <w:ind w:left="460" w:right="480" w:hanging="458"/>
        <w:spacing w:after="0" w:line="347" w:lineRule="auto"/>
        <w:rPr>
          <w:sz w:val="20"/>
          <w:szCs w:val="20"/>
          <w:color w:val="auto"/>
        </w:rPr>
      </w:pPr>
      <w:r>
        <w:rPr>
          <w:rFonts w:ascii="Arial" w:cs="Arial" w:eastAsia="Arial" w:hAnsi="Arial"/>
          <w:sz w:val="15"/>
          <w:szCs w:val="15"/>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1" w:lineRule="exact"/>
        <w:rPr>
          <w:sz w:val="20"/>
          <w:szCs w:val="20"/>
          <w:color w:val="auto"/>
        </w:rPr>
      </w:pPr>
    </w:p>
    <w:p>
      <w:pPr>
        <w:ind w:left="460" w:right="400" w:hanging="458"/>
        <w:spacing w:after="0" w:line="268"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37" w:lineRule="exact"/>
        <w:rPr>
          <w:sz w:val="20"/>
          <w:szCs w:val="20"/>
          <w:color w:val="auto"/>
        </w:rPr>
      </w:pPr>
    </w:p>
    <w:p>
      <w:pPr>
        <w:ind w:left="460" w:right="700" w:hanging="458"/>
        <w:spacing w:after="0" w:line="268"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37"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DISPOSITION OF THE COMPANY’S ASSETS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18</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LIQUIDATION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19</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28" w:right="23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or holders of at least a majority of the shares at the time outstanding and entitled to vote, the notice of which meeting shall have specified the nature of any such resolution to be voted upon at such meeting.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BUY OUT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20</w:t>
      </w:r>
    </w:p>
    <w:p>
      <w:pPr>
        <w:spacing w:after="0" w:line="15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NACC.</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21</w:t>
      </w:r>
    </w:p>
    <w:p>
      <w:pPr>
        <w:spacing w:after="0" w:line="70" w:lineRule="exact"/>
        <w:rPr>
          <w:sz w:val="20"/>
          <w:szCs w:val="20"/>
          <w:color w:val="auto"/>
        </w:rPr>
      </w:pPr>
    </w:p>
    <w:p>
      <w:pPr>
        <w:ind w:left="460" w:hanging="458"/>
        <w:spacing w:after="0" w:line="255" w:lineRule="auto"/>
        <w:rPr>
          <w:sz w:val="20"/>
          <w:szCs w:val="20"/>
          <w:color w:val="auto"/>
        </w:rPr>
      </w:pPr>
      <w:r>
        <w:rPr>
          <w:rFonts w:ascii="Arial" w:cs="Arial" w:eastAsia="Arial" w:hAnsi="Arial"/>
          <w:sz w:val="18"/>
          <w:szCs w:val="18"/>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48" w:lineRule="exact"/>
        <w:rPr>
          <w:sz w:val="20"/>
          <w:szCs w:val="20"/>
          <w:color w:val="auto"/>
        </w:rPr>
      </w:pPr>
    </w:p>
    <w:p>
      <w:pPr>
        <w:jc w:val="both"/>
        <w:ind w:left="460" w:right="100" w:hanging="458"/>
        <w:spacing w:after="0" w:line="256"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OFFICIAL LANGUAGE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80"/>
          </w:cols>
          <w:pgMar w:left="240" w:top="428"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April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6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20" w:hanging="184"/>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April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26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March 31, 2006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820" w:hanging="24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820" w:hanging="241"/>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April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26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March 31, 2006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820" w:hanging="241"/>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20" w:hanging="241"/>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April 26,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13"/>
    </w:lvl>
  </w:abstractNum>
  <w:abstractNum w:abstractNumId="9">
    <w:nsid w:val="257130A3"/>
    <w:multiLevelType w:val="hybridMultilevel"/>
    <w:lvl w:ilvl="0">
      <w:lvlJc w:val="left"/>
      <w:lvlText w:val="%1."/>
      <w:numFmt w:val="decimal"/>
      <w:start w:val="14"/>
    </w:lvl>
  </w:abstractNum>
  <w:abstractNum w:abstractNumId="10">
    <w:nsid w:val="62BBD95A"/>
    <w:multiLevelType w:val="hybridMultilevel"/>
    <w:lvl w:ilvl="0">
      <w:lvlJc w:val="left"/>
      <w:lvlText w:val="%1."/>
      <w:numFmt w:val="decimal"/>
      <w:start w:val="15"/>
    </w:lvl>
  </w:abstractNum>
  <w:abstractNum w:abstractNumId="11">
    <w:nsid w:val="436C6125"/>
    <w:multiLevelType w:val="hybridMultilevel"/>
    <w:lvl w:ilvl="0">
      <w:lvlJc w:val="left"/>
      <w:lvlText w:val="%1."/>
      <w:numFmt w:val="decimal"/>
      <w:start w:val="16"/>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8"/>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8"/>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lowerLetter"/>
      <w:start w:val="1"/>
    </w:lvl>
    <w:lvl w:ilvl="1">
      <w:lvlJc w:val="left"/>
      <w:lvlText w:val="(%2)"/>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lowerLetter"/>
      <w:start w:val="1"/>
    </w:lvl>
    <w:lvl w:ilvl="1">
      <w:lvlJc w:val="left"/>
      <w:lvlText w:val="(%2)"/>
      <w:numFmt w:val="lowerRoman"/>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2019-12-11T18:55:07Z</dcterms:created>
  <dcterms:modified xsi:type="dcterms:W3CDTF">2019-12-11T18:55:07Z</dcterms:modified>
</cp:coreProperties>
</file>