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Schlumberger N.V.</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7"/>
          <w:szCs w:val="17"/>
          <w:color w:val="auto"/>
        </w:rPr>
        <w:t>pursuant to Rule 425 under the Securities Act of 1933</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jc w:val="right"/>
        <w:spacing w:after="0" w:line="234"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ChampionX Corporation</w:t>
      </w:r>
    </w:p>
    <w:p>
      <w:pPr>
        <w:jc w:val="right"/>
        <w:spacing w:after="0" w:line="235" w:lineRule="auto"/>
        <w:rPr>
          <w:sz w:val="20"/>
          <w:szCs w:val="20"/>
          <w:color w:val="auto"/>
        </w:rPr>
      </w:pPr>
      <w:r>
        <w:rPr>
          <w:rFonts w:ascii="Arial" w:cs="Arial" w:eastAsia="Arial" w:hAnsi="Arial"/>
          <w:sz w:val="18"/>
          <w:szCs w:val="18"/>
          <w:color w:val="auto"/>
        </w:rPr>
        <w:t>Filer’s SEC File No.: 001-38441</w:t>
      </w:r>
    </w:p>
    <w:p>
      <w:pPr>
        <w:jc w:val="right"/>
        <w:spacing w:after="0"/>
        <w:rPr>
          <w:sz w:val="20"/>
          <w:szCs w:val="20"/>
          <w:color w:val="auto"/>
        </w:rPr>
      </w:pPr>
      <w:r>
        <w:rPr>
          <w:rFonts w:ascii="Arial" w:cs="Arial" w:eastAsia="Arial" w:hAnsi="Arial"/>
          <w:sz w:val="18"/>
          <w:szCs w:val="18"/>
          <w:color w:val="auto"/>
        </w:rPr>
        <w:t>Date: April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151765</wp:posOffset>
            </wp:positionV>
            <wp:extent cx="4517390" cy="7543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17390" cy="7543800"/>
                    </a:xfrm>
                    <a:prstGeom prst="rect">
                      <a:avLst/>
                    </a:prstGeom>
                    <a:noFill/>
                  </pic:spPr>
                </pic:pic>
              </a:graphicData>
            </a:graphic>
          </wp:anchor>
        </w:drawing>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96"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Exchange Act of 1934, as amended.</w:t>
      </w:r>
    </w:p>
    <w:p>
      <w:pPr>
        <w:spacing w:after="0" w:line="23"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w:t>
      </w:r>
    </w:p>
    <w:p>
      <w:pPr>
        <w:sectPr>
          <w:pgSz w:w="11900" w:h="16838" w:orient="portrait"/>
          <w:cols w:equalWidth="0" w:num="1">
            <w:col w:w="10980"/>
          </w:cols>
          <w:pgMar w:left="440" w:top="264" w:right="479" w:bottom="1440" w:gutter="0" w:footer="0" w:header="0"/>
        </w:sectPr>
      </w:pPr>
    </w:p>
    <w:bookmarkStart w:id="2" w:name="page3"/>
    <w:bookmarkEnd w:id="2"/>
    <w:p>
      <w:pPr>
        <w:ind w:right="200"/>
        <w:spacing w:after="0" w:line="23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388"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w:t>
      </w:r>
    </w:p>
    <w:p>
      <w:pPr>
        <w:sectPr>
          <w:pgSz w:w="11900" w:h="16838" w:orient="portrait"/>
          <w:cols w:equalWidth="0" w:num="1">
            <w:col w:w="11000"/>
          </w:cols>
          <w:pgMar w:left="440" w:top="266" w:right="459" w:bottom="1440" w:gutter="0" w:footer="0" w:header="0"/>
        </w:sectPr>
      </w:pPr>
    </w:p>
    <w:bookmarkStart w:id="3" w:name="page4"/>
    <w:bookmarkEnd w:id="3"/>
    <w:p>
      <w:pPr>
        <w:ind w:right="40"/>
        <w:spacing w:after="0" w:line="23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388"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about the Transaction and Where to Find It</w:t>
      </w:r>
    </w:p>
    <w:p>
      <w:pPr>
        <w:spacing w:after="0" w:line="6" w:lineRule="exact"/>
        <w:rPr>
          <w:sz w:val="20"/>
          <w:szCs w:val="20"/>
          <w:color w:val="auto"/>
        </w:rPr>
      </w:pPr>
    </w:p>
    <w:p>
      <w:pPr>
        <w:ind w:right="100"/>
        <w:spacing w:after="0" w:line="228" w:lineRule="auto"/>
        <w:rPr>
          <w:sz w:val="20"/>
          <w:szCs w:val="20"/>
          <w:color w:val="auto"/>
        </w:rPr>
      </w:pPr>
      <w:r>
        <w:rPr>
          <w:rFonts w:ascii="Arial" w:cs="Arial" w:eastAsia="Arial" w:hAnsi="Arial"/>
          <w:sz w:val="20"/>
          <w:szCs w:val="20"/>
          <w:color w:val="auto"/>
        </w:rPr>
        <w:t>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w:t>
      </w:r>
    </w:p>
    <w:p>
      <w:pPr>
        <w:sectPr>
          <w:pgSz w:w="11900" w:h="16838" w:orient="portrait"/>
          <w:cols w:equalWidth="0" w:num="1">
            <w:col w:w="11000"/>
          </w:cols>
          <w:pgMar w:left="440" w:top="266" w:right="459" w:bottom="1440" w:gutter="0" w:footer="0" w:header="0"/>
        </w:sectPr>
      </w:pPr>
    </w:p>
    <w:bookmarkStart w:id="4" w:name="page5"/>
    <w:bookmarkEnd w:id="4"/>
    <w:p>
      <w:pPr>
        <w:ind w:right="140"/>
        <w:spacing w:after="0" w:line="24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31" w:lineRule="auto"/>
        <w:rPr>
          <w:sz w:val="20"/>
          <w:szCs w:val="20"/>
          <w:color w:val="auto"/>
        </w:rPr>
      </w:pPr>
      <w:r>
        <w:rPr>
          <w:rFonts w:ascii="Arial" w:cs="Arial" w:eastAsia="Arial" w:hAnsi="Arial"/>
          <w:sz w:val="20"/>
          <w:szCs w:val="20"/>
          <w:color w:val="auto"/>
        </w:rPr>
        <w:t>SLB, ChampionX and certain of their respective directors and executive officers may be deemed to be participants in the</w:t>
      </w:r>
    </w:p>
    <w:p>
      <w:pPr>
        <w:spacing w:after="0" w:line="226" w:lineRule="auto"/>
        <w:rPr>
          <w:sz w:val="20"/>
          <w:szCs w:val="20"/>
          <w:color w:val="auto"/>
        </w:rPr>
      </w:pPr>
      <w:r>
        <w:rPr>
          <w:rFonts w:ascii="Arial" w:cs="Arial" w:eastAsia="Arial" w:hAnsi="Arial"/>
          <w:sz w:val="20"/>
          <w:szCs w:val="20"/>
          <w:color w:val="auto"/>
        </w:rPr>
        <w:t>solicitation of proxies in respect of the proposed transaction. Information about the directors and executive officers of SLB,</w:t>
      </w:r>
    </w:p>
    <w:p>
      <w:pPr>
        <w:spacing w:after="0" w:line="225" w:lineRule="auto"/>
        <w:rPr>
          <w:sz w:val="20"/>
          <w:szCs w:val="20"/>
          <w:color w:val="auto"/>
        </w:rPr>
      </w:pPr>
      <w:r>
        <w:rPr>
          <w:rFonts w:ascii="Arial" w:cs="Arial" w:eastAsia="Arial" w:hAnsi="Arial"/>
          <w:sz w:val="20"/>
          <w:szCs w:val="20"/>
          <w:color w:val="auto"/>
        </w:rPr>
        <w:t>including a description of their direct or indirect interests, by security holdings or otherwise, is set forth in SLB’s proxy</w:t>
      </w:r>
    </w:p>
    <w:p>
      <w:pPr>
        <w:spacing w:after="0" w:line="225" w:lineRule="auto"/>
        <w:rPr>
          <w:sz w:val="20"/>
          <w:szCs w:val="20"/>
          <w:color w:val="auto"/>
        </w:rPr>
      </w:pPr>
      <w:r>
        <w:rPr>
          <w:rFonts w:ascii="Arial" w:cs="Arial" w:eastAsia="Arial" w:hAnsi="Arial"/>
          <w:sz w:val="20"/>
          <w:szCs w:val="20"/>
          <w:color w:val="auto"/>
        </w:rPr>
        <w:t>statement for its 2024 Annual General Meeting of Stockholders (</w:t>
      </w:r>
      <w:r>
        <w:rPr>
          <w:rFonts w:ascii="Arial" w:cs="Arial" w:eastAsia="Arial" w:hAnsi="Arial"/>
          <w:sz w:val="20"/>
          <w:szCs w:val="20"/>
          <w:u w:val="single" w:color="auto"/>
          <w:color w:val="0563C1"/>
        </w:rPr>
        <w:t>https://www.sec.gov/ix?</w:t>
      </w:r>
    </w:p>
    <w:p>
      <w:pPr>
        <w:spacing w:after="0" w:line="226" w:lineRule="auto"/>
        <w:rPr>
          <w:sz w:val="20"/>
          <w:szCs w:val="20"/>
          <w:color w:val="auto"/>
        </w:rPr>
      </w:pPr>
      <w:r>
        <w:rPr>
          <w:rFonts w:ascii="Arial" w:cs="Arial" w:eastAsia="Arial" w:hAnsi="Arial"/>
          <w:sz w:val="20"/>
          <w:szCs w:val="20"/>
          <w:u w:val="single" w:color="auto"/>
          <w:color w:val="0563C1"/>
        </w:rPr>
        <w:t>doc=/Archives/edgar/data/0000087347/000130817924000033/lslb2024_def14a.htm</w:t>
      </w:r>
      <w:r>
        <w:rPr>
          <w:rFonts w:ascii="Arial" w:cs="Arial" w:eastAsia="Arial" w:hAnsi="Arial"/>
          <w:sz w:val="20"/>
          <w:szCs w:val="20"/>
          <w:color w:val="000000"/>
        </w:rPr>
        <w:t>), which was filed with the SEC on</w:t>
      </w:r>
    </w:p>
    <w:p>
      <w:pPr>
        <w:spacing w:after="0" w:line="225" w:lineRule="auto"/>
        <w:rPr>
          <w:sz w:val="20"/>
          <w:szCs w:val="20"/>
          <w:color w:val="auto"/>
        </w:rPr>
      </w:pPr>
      <w:r>
        <w:rPr>
          <w:rFonts w:ascii="Arial" w:cs="Arial" w:eastAsia="Arial" w:hAnsi="Arial"/>
          <w:sz w:val="20"/>
          <w:szCs w:val="20"/>
          <w:color w:val="auto"/>
        </w:rPr>
        <w:t>February 22, 2024, including under the sections entitled “Director Compensation”, “Security Ownership by Management and</w:t>
      </w:r>
    </w:p>
    <w:p>
      <w:pPr>
        <w:spacing w:after="0" w:line="238" w:lineRule="auto"/>
        <w:rPr>
          <w:sz w:val="20"/>
          <w:szCs w:val="20"/>
          <w:color w:val="auto"/>
        </w:rPr>
      </w:pPr>
      <w:r>
        <w:rPr>
          <w:rFonts w:ascii="Arial" w:cs="Arial" w:eastAsia="Arial" w:hAnsi="Arial"/>
          <w:sz w:val="19"/>
          <w:szCs w:val="19"/>
          <w:color w:val="auto"/>
        </w:rPr>
        <w:t>Our Board”, “Compensation Discussion and Analysis”, “2023 Compensation Decisions and Results”, “Elements of 2023 Total</w:t>
      </w:r>
    </w:p>
    <w:p>
      <w:pPr>
        <w:spacing w:after="0" w:line="225" w:lineRule="auto"/>
        <w:rPr>
          <w:sz w:val="20"/>
          <w:szCs w:val="20"/>
          <w:color w:val="auto"/>
        </w:rPr>
      </w:pPr>
      <w:r>
        <w:rPr>
          <w:rFonts w:ascii="Arial" w:cs="Arial" w:eastAsia="Arial" w:hAnsi="Arial"/>
          <w:sz w:val="20"/>
          <w:szCs w:val="20"/>
          <w:color w:val="auto"/>
        </w:rPr>
        <w:t>Compensation”, “Long-Term Equity Incentive Awards”, “Executive Compensation Tables”, “Grants of Plan-Based Awards in</w:t>
      </w:r>
    </w:p>
    <w:p>
      <w:pPr>
        <w:spacing w:after="0" w:line="237" w:lineRule="auto"/>
        <w:rPr>
          <w:sz w:val="20"/>
          <w:szCs w:val="20"/>
          <w:color w:val="auto"/>
        </w:rPr>
      </w:pPr>
      <w:r>
        <w:rPr>
          <w:rFonts w:ascii="Arial" w:cs="Arial" w:eastAsia="Arial" w:hAnsi="Arial"/>
          <w:sz w:val="19"/>
          <w:szCs w:val="19"/>
          <w:color w:val="auto"/>
        </w:rPr>
        <w:t>2023”, “Outstanding Equity Awards at Year-End 2023”, “Potential Payments Upon Termination or Change in Control” and “Pay</w:t>
      </w:r>
    </w:p>
    <w:p>
      <w:pPr>
        <w:spacing w:after="0" w:line="226" w:lineRule="auto"/>
        <w:rPr>
          <w:sz w:val="20"/>
          <w:szCs w:val="20"/>
          <w:color w:val="auto"/>
        </w:rPr>
      </w:pPr>
      <w:r>
        <w:rPr>
          <w:rFonts w:ascii="Arial" w:cs="Arial" w:eastAsia="Arial" w:hAnsi="Arial"/>
          <w:sz w:val="20"/>
          <w:szCs w:val="20"/>
          <w:color w:val="auto"/>
        </w:rPr>
        <w:t>vs. Performance Comparison”, and SLB’s Annual Report on Form 10-K for the fiscal year ended December 31, 2023</w:t>
      </w:r>
    </w:p>
    <w:p>
      <w:pPr>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0563C1"/>
        </w:rPr>
        <w:t>https://www.sec.gov/ix?doc=/Archives/edgar/data/0000087347/000095017024006884/slb-20231231.htm</w:t>
      </w:r>
      <w:r>
        <w:rPr>
          <w:rFonts w:ascii="Arial" w:cs="Arial" w:eastAsia="Arial" w:hAnsi="Arial"/>
          <w:sz w:val="20"/>
          <w:szCs w:val="20"/>
          <w:color w:val="auto"/>
        </w:rPr>
        <w:t>), which was filed</w:t>
      </w:r>
    </w:p>
    <w:p>
      <w:pPr>
        <w:spacing w:after="0" w:line="237" w:lineRule="auto"/>
        <w:rPr>
          <w:sz w:val="20"/>
          <w:szCs w:val="20"/>
          <w:color w:val="auto"/>
        </w:rPr>
      </w:pPr>
      <w:r>
        <w:rPr>
          <w:rFonts w:ascii="Arial" w:cs="Arial" w:eastAsia="Arial" w:hAnsi="Arial"/>
          <w:sz w:val="19"/>
          <w:szCs w:val="19"/>
          <w:color w:val="auto"/>
        </w:rPr>
        <w:t>with the SEC on January 24, 2024, including under the sections entitled “Item 10. Directors, Executive Officers and Corporate</w:t>
      </w:r>
    </w:p>
    <w:p>
      <w:pPr>
        <w:spacing w:after="0" w:line="226" w:lineRule="auto"/>
        <w:rPr>
          <w:sz w:val="20"/>
          <w:szCs w:val="20"/>
          <w:color w:val="auto"/>
        </w:rPr>
      </w:pPr>
      <w:r>
        <w:rPr>
          <w:rFonts w:ascii="Arial" w:cs="Arial" w:eastAsia="Arial" w:hAnsi="Arial"/>
          <w:sz w:val="20"/>
          <w:szCs w:val="20"/>
          <w:color w:val="auto"/>
        </w:rPr>
        <w:t>Governance”, “Item 11. Executive Compensation”, “Item 12. Security Ownership of Certain Beneficial Owners and</w:t>
      </w:r>
    </w:p>
    <w:p>
      <w:pPr>
        <w:spacing w:after="0" w:line="225" w:lineRule="auto"/>
        <w:rPr>
          <w:sz w:val="20"/>
          <w:szCs w:val="20"/>
          <w:color w:val="auto"/>
        </w:rPr>
      </w:pPr>
      <w:r>
        <w:rPr>
          <w:rFonts w:ascii="Arial" w:cs="Arial" w:eastAsia="Arial" w:hAnsi="Arial"/>
          <w:sz w:val="20"/>
          <w:szCs w:val="20"/>
          <w:color w:val="auto"/>
        </w:rPr>
        <w:t>Management and Related Stockholder Matters”, and “Item 13. Certain Relationships and Related Transactions, and Director</w:t>
      </w:r>
    </w:p>
    <w:p>
      <w:pPr>
        <w:spacing w:after="0" w:line="237" w:lineRule="auto"/>
        <w:rPr>
          <w:sz w:val="20"/>
          <w:szCs w:val="20"/>
          <w:color w:val="auto"/>
        </w:rPr>
      </w:pPr>
      <w:r>
        <w:rPr>
          <w:rFonts w:ascii="Arial" w:cs="Arial" w:eastAsia="Arial" w:hAnsi="Arial"/>
          <w:sz w:val="19"/>
          <w:szCs w:val="19"/>
          <w:color w:val="auto"/>
        </w:rPr>
        <w:t>Independence”. Information about the directors and executive officers of ChampionX, including a description of their direct or</w:t>
      </w:r>
    </w:p>
    <w:p>
      <w:pPr>
        <w:spacing w:after="0" w:line="226" w:lineRule="auto"/>
        <w:rPr>
          <w:sz w:val="20"/>
          <w:szCs w:val="20"/>
          <w:color w:val="auto"/>
        </w:rPr>
      </w:pPr>
      <w:r>
        <w:rPr>
          <w:rFonts w:ascii="Arial" w:cs="Arial" w:eastAsia="Arial" w:hAnsi="Arial"/>
          <w:sz w:val="20"/>
          <w:szCs w:val="20"/>
          <w:color w:val="auto"/>
        </w:rPr>
        <w:t>indirect interests, by security holdings or otherwise, is set forth in ChampionX’s proxy statement for its 2024 Annual Meeting</w:t>
      </w:r>
    </w:p>
    <w:p>
      <w:pPr>
        <w:spacing w:after="0" w:line="225" w:lineRule="auto"/>
        <w:rPr>
          <w:sz w:val="20"/>
          <w:szCs w:val="20"/>
          <w:color w:val="auto"/>
        </w:rPr>
      </w:pPr>
      <w:r>
        <w:rPr>
          <w:rFonts w:ascii="Arial" w:cs="Arial" w:eastAsia="Arial" w:hAnsi="Arial"/>
          <w:sz w:val="20"/>
          <w:szCs w:val="20"/>
          <w:color w:val="auto"/>
        </w:rPr>
        <w:t>of Shareholders (</w:t>
      </w:r>
      <w:r>
        <w:rPr>
          <w:rFonts w:ascii="Arial" w:cs="Arial" w:eastAsia="Arial" w:hAnsi="Arial"/>
          <w:sz w:val="20"/>
          <w:szCs w:val="20"/>
          <w:u w:val="single" w:color="auto"/>
          <w:color w:val="0563C1"/>
        </w:rPr>
        <w:t>https://www.sec.gov/ix?doc=/Archives/edgar/data/0001723089/000172308924000079/championx-</w:t>
      </w:r>
    </w:p>
    <w:p>
      <w:pPr>
        <w:spacing w:after="0" w:line="238" w:lineRule="auto"/>
        <w:rPr>
          <w:sz w:val="20"/>
          <w:szCs w:val="20"/>
          <w:color w:val="auto"/>
        </w:rPr>
      </w:pPr>
      <w:r>
        <w:rPr>
          <w:rFonts w:ascii="Arial" w:cs="Arial" w:eastAsia="Arial" w:hAnsi="Arial"/>
          <w:sz w:val="19"/>
          <w:szCs w:val="19"/>
          <w:u w:val="single" w:color="auto"/>
          <w:color w:val="0563C1"/>
        </w:rPr>
        <w:t>20240401.htm</w:t>
      </w:r>
      <w:r>
        <w:rPr>
          <w:rFonts w:ascii="Arial" w:cs="Arial" w:eastAsia="Arial" w:hAnsi="Arial"/>
          <w:sz w:val="19"/>
          <w:szCs w:val="19"/>
          <w:color w:val="000000"/>
        </w:rPr>
        <w:t>), which was filed with the SEC on April 3, 2024, including under the sections entitled “Executive Compensation</w:t>
      </w:r>
    </w:p>
    <w:p>
      <w:pPr>
        <w:spacing w:after="0"/>
        <w:rPr>
          <w:sz w:val="20"/>
          <w:szCs w:val="20"/>
          <w:color w:val="auto"/>
        </w:rPr>
      </w:pPr>
      <w:r>
        <w:rPr>
          <w:rFonts w:ascii="Arial" w:cs="Arial" w:eastAsia="Arial" w:hAnsi="Arial"/>
          <w:sz w:val="20"/>
          <w:szCs w:val="20"/>
          <w:color w:val="auto"/>
        </w:rPr>
        <w:t>Highlights”, “Director Compensation”, “2023 Director Compensation</w:t>
      </w:r>
    </w:p>
    <w:p>
      <w:pPr>
        <w:sectPr>
          <w:pgSz w:w="11900" w:h="16838" w:orient="portrait"/>
          <w:cols w:equalWidth="0" w:num="1">
            <w:col w:w="11000"/>
          </w:cols>
          <w:pgMar w:left="440" w:top="266" w:right="459" w:bottom="1440" w:gutter="0" w:footer="0" w:header="0"/>
        </w:sectPr>
      </w:pPr>
    </w:p>
    <w:bookmarkStart w:id="5" w:name="page6"/>
    <w:bookmarkEnd w:id="5"/>
    <w:p>
      <w:pPr>
        <w:spacing w:after="0" w:line="22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“Security Ownership of Certain Beneficial Owners and Management”, “Compensation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r>
        <w:rPr>
          <w:rFonts w:ascii="Arial" w:cs="Arial" w:eastAsia="Arial" w:hAnsi="Arial"/>
          <w:sz w:val="20"/>
          <w:szCs w:val="20"/>
          <w:u w:val="single" w:color="auto"/>
          <w:color w:val="0563C1"/>
        </w:rPr>
        <w:t>https://www.sec.gov/ix?</w:t>
      </w:r>
      <w:r>
        <w:rPr>
          <w:rFonts w:ascii="Arial" w:cs="Arial" w:eastAsia="Arial" w:hAnsi="Arial"/>
          <w:sz w:val="20"/>
          <w:szCs w:val="20"/>
          <w:color w:val="auto"/>
        </w:rPr>
        <w:t xml:space="preserve"> </w:t>
      </w:r>
      <w:r>
        <w:rPr>
          <w:rFonts w:ascii="Arial" w:cs="Arial" w:eastAsia="Arial" w:hAnsi="Arial"/>
          <w:sz w:val="20"/>
          <w:szCs w:val="20"/>
          <w:u w:val="single" w:color="auto"/>
          <w:color w:val="0563C1"/>
        </w:rPr>
        <w:t>doc=/Archives/edgar/data/1723089/000172308924000011/championx-20231231.htm</w:t>
      </w:r>
      <w:r>
        <w:rPr>
          <w:rFonts w:ascii="Arial" w:cs="Arial" w:eastAsia="Arial" w:hAnsi="Arial"/>
          <w:sz w:val="20"/>
          <w:szCs w:val="20"/>
          <w:color w:val="000000"/>
        </w:rPr>
        <w:t>), which was filed with the SEC on</w:t>
      </w:r>
      <w:r>
        <w:rPr>
          <w:rFonts w:ascii="Arial" w:cs="Arial" w:eastAsia="Arial" w:hAnsi="Arial"/>
          <w:sz w:val="20"/>
          <w:szCs w:val="20"/>
          <w:color w:val="0563C1"/>
        </w:rPr>
        <w:t xml:space="preserve"> </w:t>
      </w:r>
      <w:r>
        <w:rPr>
          <w:rFonts w:ascii="Arial" w:cs="Arial" w:eastAsia="Arial" w:hAnsi="Arial"/>
          <w:sz w:val="20"/>
          <w:szCs w:val="20"/>
          <w:color w:val="000000"/>
        </w:rPr>
        <w:t>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2024-04-11T11:37:03Z</dcterms:created>
  <dcterms:modified xsi:type="dcterms:W3CDTF">2024-04-11T11:37:03Z</dcterms:modified>
</cp:coreProperties>
</file>