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June 30, 2021</w:t>
      </w:r>
    </w:p>
    <w:p>
      <w:pPr>
        <w:jc w:val="center"/>
        <w:ind w:right="-19"/>
        <w:spacing w:after="0" w:line="225" w:lineRule="auto"/>
        <w:rPr>
          <w:sz w:val="20"/>
          <w:szCs w:val="20"/>
          <w:color w:val="auto"/>
        </w:rPr>
      </w:pPr>
      <w:r>
        <w:rPr>
          <w:rFonts w:ascii="Arial" w:cs="Arial" w:eastAsia="Arial" w:hAnsi="Arial"/>
          <w:sz w:val="14"/>
          <w:szCs w:val="14"/>
          <w:b w:val="1"/>
          <w:bCs w:val="1"/>
          <w:color w:val="auto"/>
        </w:rPr>
        <w:t>OR</w:t>
      </w:r>
    </w:p>
    <w:p>
      <w:pPr>
        <w:spacing w:after="0" w:line="1" w:lineRule="exact"/>
        <w:rPr>
          <w:sz w:val="24"/>
          <w:szCs w:val="24"/>
          <w:color w:val="auto"/>
        </w:rPr>
      </w:pPr>
    </w:p>
    <w:p>
      <w:pPr>
        <w:ind w:left="4540" w:right="1580" w:hanging="4532"/>
        <w:spacing w:after="0" w:line="344" w:lineRule="auto"/>
        <w:tabs>
          <w:tab w:leader="none" w:pos="5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29210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LIMITED)</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1160" w:type="dxa"/>
        <w:tblCellMar>
          <w:top w:w="0" w:type="dxa"/>
          <w:left w:w="0" w:type="dxa"/>
          <w:bottom w:w="0" w:type="dxa"/>
          <w:right w:w="0" w:type="dxa"/>
        </w:tblCellMar>
      </w:tblPr>
      <w:tr>
        <w:trPr>
          <w:trHeight w:val="216"/>
        </w:trPr>
        <w:tc>
          <w:tcPr>
            <w:tcW w:w="5000" w:type="dxa"/>
            <w:vAlign w:val="bottom"/>
          </w:tcPr>
          <w:p>
            <w:pPr>
              <w:jc w:val="center"/>
              <w:ind w:right="1695"/>
              <w:spacing w:after="0"/>
              <w:rPr>
                <w:sz w:val="20"/>
                <w:szCs w:val="20"/>
                <w:color w:val="auto"/>
              </w:rPr>
            </w:pPr>
            <w:r>
              <w:rPr>
                <w:rFonts w:ascii="Arial" w:cs="Arial" w:eastAsia="Arial" w:hAnsi="Arial"/>
                <w:sz w:val="18"/>
                <w:szCs w:val="18"/>
                <w:b w:val="1"/>
                <w:bCs w:val="1"/>
                <w:color w:val="auto"/>
                <w:w w:val="91"/>
              </w:rPr>
              <w:t>Curaçao</w:t>
            </w:r>
          </w:p>
        </w:tc>
        <w:tc>
          <w:tcPr>
            <w:tcW w:w="2860" w:type="dxa"/>
            <w:vAlign w:val="bottom"/>
          </w:tcPr>
          <w:p>
            <w:pPr>
              <w:jc w:val="center"/>
              <w:ind w:left="1717"/>
              <w:spacing w:after="0"/>
              <w:rPr>
                <w:sz w:val="20"/>
                <w:szCs w:val="20"/>
                <w:color w:val="auto"/>
              </w:rPr>
            </w:pPr>
            <w:r>
              <w:rPr>
                <w:rFonts w:ascii="Arial" w:cs="Arial" w:eastAsia="Arial" w:hAnsi="Arial"/>
                <w:sz w:val="18"/>
                <w:szCs w:val="18"/>
                <w:b w:val="1"/>
                <w:bCs w:val="1"/>
                <w:color w:val="auto"/>
                <w:w w:val="89"/>
              </w:rPr>
              <w:t>52-0684746</w:t>
            </w:r>
          </w:p>
        </w:tc>
      </w:tr>
      <w:tr>
        <w:trPr>
          <w:trHeight w:val="148"/>
        </w:trPr>
        <w:tc>
          <w:tcPr>
            <w:tcW w:w="5000" w:type="dxa"/>
            <w:vAlign w:val="bottom"/>
          </w:tcPr>
          <w:p>
            <w:pPr>
              <w:jc w:val="center"/>
              <w:ind w:right="1715"/>
              <w:spacing w:after="0" w:line="149" w:lineRule="exact"/>
              <w:rPr>
                <w:sz w:val="20"/>
                <w:szCs w:val="20"/>
                <w:color w:val="auto"/>
              </w:rPr>
            </w:pPr>
            <w:r>
              <w:rPr>
                <w:rFonts w:ascii="Arial" w:cs="Arial" w:eastAsia="Arial" w:hAnsi="Arial"/>
                <w:sz w:val="14"/>
                <w:szCs w:val="14"/>
                <w:color w:val="auto"/>
                <w:w w:val="95"/>
              </w:rPr>
              <w:t>(State or other jurisdiction of</w:t>
            </w:r>
          </w:p>
        </w:tc>
        <w:tc>
          <w:tcPr>
            <w:tcW w:w="2860" w:type="dxa"/>
            <w:vAlign w:val="bottom"/>
          </w:tcPr>
          <w:p>
            <w:pPr>
              <w:jc w:val="center"/>
              <w:ind w:left="1737"/>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5000" w:type="dxa"/>
            <w:vAlign w:val="bottom"/>
          </w:tcPr>
          <w:p>
            <w:pPr>
              <w:jc w:val="center"/>
              <w:ind w:right="1715"/>
              <w:spacing w:after="0"/>
              <w:rPr>
                <w:sz w:val="20"/>
                <w:szCs w:val="20"/>
                <w:color w:val="auto"/>
              </w:rPr>
            </w:pPr>
            <w:r>
              <w:rPr>
                <w:rFonts w:ascii="Arial" w:cs="Arial" w:eastAsia="Arial" w:hAnsi="Arial"/>
                <w:sz w:val="14"/>
                <w:szCs w:val="14"/>
                <w:color w:val="auto"/>
                <w:w w:val="94"/>
              </w:rPr>
              <w:t>incorporation or organization)</w:t>
            </w:r>
          </w:p>
        </w:tc>
        <w:tc>
          <w:tcPr>
            <w:tcW w:w="2860" w:type="dxa"/>
            <w:vAlign w:val="bottom"/>
          </w:tcPr>
          <w:p>
            <w:pPr>
              <w:jc w:val="center"/>
              <w:ind w:left="1717"/>
              <w:spacing w:after="0"/>
              <w:rPr>
                <w:sz w:val="20"/>
                <w:szCs w:val="20"/>
                <w:color w:val="auto"/>
              </w:rPr>
            </w:pPr>
            <w:r>
              <w:rPr>
                <w:rFonts w:ascii="Arial" w:cs="Arial" w:eastAsia="Arial" w:hAnsi="Arial"/>
                <w:sz w:val="14"/>
                <w:szCs w:val="14"/>
                <w:color w:val="auto"/>
                <w:w w:val="97"/>
              </w:rPr>
              <w:t>Identification No.)</w:t>
            </w:r>
          </w:p>
        </w:tc>
      </w:tr>
      <w:tr>
        <w:trPr>
          <w:trHeight w:val="304"/>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91"/>
              </w:rPr>
              <w:t>42 rue Saint-Dominique</w:t>
            </w:r>
          </w:p>
        </w:tc>
        <w:tc>
          <w:tcPr>
            <w:tcW w:w="2860" w:type="dxa"/>
            <w:vAlign w:val="bottom"/>
          </w:tcPr>
          <w:p>
            <w:pPr>
              <w:spacing w:after="0"/>
              <w:rPr>
                <w:sz w:val="24"/>
                <w:szCs w:val="24"/>
                <w:color w:val="auto"/>
              </w:rPr>
            </w:pPr>
          </w:p>
        </w:tc>
      </w:tr>
      <w:tr>
        <w:trPr>
          <w:trHeight w:val="234"/>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91"/>
              </w:rPr>
              <w:t>Paris, France</w:t>
            </w:r>
          </w:p>
        </w:tc>
        <w:tc>
          <w:tcPr>
            <w:tcW w:w="2860" w:type="dxa"/>
            <w:vAlign w:val="bottom"/>
          </w:tcPr>
          <w:p>
            <w:pPr>
              <w:jc w:val="center"/>
              <w:ind w:left="1717"/>
              <w:spacing w:after="0"/>
              <w:rPr>
                <w:sz w:val="20"/>
                <w:szCs w:val="20"/>
                <w:color w:val="auto"/>
              </w:rPr>
            </w:pPr>
            <w:r>
              <w:rPr>
                <w:rFonts w:ascii="Arial" w:cs="Arial" w:eastAsia="Arial" w:hAnsi="Arial"/>
                <w:sz w:val="18"/>
                <w:szCs w:val="18"/>
                <w:b w:val="1"/>
                <w:bCs w:val="1"/>
                <w:color w:val="auto"/>
                <w:w w:val="91"/>
              </w:rPr>
              <w:t>75007</w:t>
            </w:r>
          </w:p>
        </w:tc>
      </w:tr>
      <w:tr>
        <w:trPr>
          <w:trHeight w:val="319"/>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88"/>
              </w:rPr>
              <w:t>5599 San Felipe</w:t>
            </w:r>
          </w:p>
        </w:tc>
        <w:tc>
          <w:tcPr>
            <w:tcW w:w="2860" w:type="dxa"/>
            <w:vAlign w:val="bottom"/>
          </w:tcPr>
          <w:p>
            <w:pPr>
              <w:spacing w:after="0"/>
              <w:rPr>
                <w:sz w:val="24"/>
                <w:szCs w:val="24"/>
                <w:color w:val="auto"/>
              </w:rPr>
            </w:pPr>
          </w:p>
        </w:tc>
      </w:tr>
      <w:tr>
        <w:trPr>
          <w:trHeight w:val="234"/>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89"/>
              </w:rPr>
              <w:t>Houston, Texas, United States of America</w:t>
            </w:r>
          </w:p>
        </w:tc>
        <w:tc>
          <w:tcPr>
            <w:tcW w:w="2860" w:type="dxa"/>
            <w:vAlign w:val="bottom"/>
          </w:tcPr>
          <w:p>
            <w:pPr>
              <w:jc w:val="center"/>
              <w:ind w:left="1717"/>
              <w:spacing w:after="0"/>
              <w:rPr>
                <w:sz w:val="20"/>
                <w:szCs w:val="20"/>
                <w:color w:val="auto"/>
              </w:rPr>
            </w:pPr>
            <w:r>
              <w:rPr>
                <w:rFonts w:ascii="Arial" w:cs="Arial" w:eastAsia="Arial" w:hAnsi="Arial"/>
                <w:sz w:val="18"/>
                <w:szCs w:val="18"/>
                <w:b w:val="1"/>
                <w:bCs w:val="1"/>
                <w:color w:val="auto"/>
                <w:w w:val="91"/>
              </w:rPr>
              <w:t>77056</w:t>
            </w:r>
          </w:p>
        </w:tc>
      </w:tr>
      <w:tr>
        <w:trPr>
          <w:trHeight w:val="319"/>
        </w:trPr>
        <w:tc>
          <w:tcPr>
            <w:tcW w:w="5000" w:type="dxa"/>
            <w:vAlign w:val="bottom"/>
          </w:tcPr>
          <w:p>
            <w:pPr>
              <w:jc w:val="center"/>
              <w:ind w:right="1695"/>
              <w:spacing w:after="0"/>
              <w:rPr>
                <w:sz w:val="20"/>
                <w:szCs w:val="20"/>
                <w:color w:val="auto"/>
              </w:rPr>
            </w:pPr>
            <w:r>
              <w:rPr>
                <w:rFonts w:ascii="Arial" w:cs="Arial" w:eastAsia="Arial" w:hAnsi="Arial"/>
                <w:sz w:val="18"/>
                <w:szCs w:val="18"/>
                <w:b w:val="1"/>
                <w:bCs w:val="1"/>
                <w:color w:val="auto"/>
                <w:w w:val="90"/>
              </w:rPr>
              <w:t>62 Buckingham Gate</w:t>
            </w:r>
          </w:p>
        </w:tc>
        <w:tc>
          <w:tcPr>
            <w:tcW w:w="2860" w:type="dxa"/>
            <w:vAlign w:val="bottom"/>
          </w:tcPr>
          <w:p>
            <w:pPr>
              <w:spacing w:after="0"/>
              <w:rPr>
                <w:sz w:val="24"/>
                <w:szCs w:val="24"/>
                <w:color w:val="auto"/>
              </w:rPr>
            </w:pPr>
          </w:p>
        </w:tc>
      </w:tr>
      <w:tr>
        <w:trPr>
          <w:trHeight w:val="234"/>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91"/>
              </w:rPr>
              <w:t>London, United Kingdom</w:t>
            </w:r>
          </w:p>
        </w:tc>
        <w:tc>
          <w:tcPr>
            <w:tcW w:w="2860" w:type="dxa"/>
            <w:vAlign w:val="bottom"/>
          </w:tcPr>
          <w:p>
            <w:pPr>
              <w:jc w:val="center"/>
              <w:ind w:left="1737"/>
              <w:spacing w:after="0"/>
              <w:rPr>
                <w:sz w:val="20"/>
                <w:szCs w:val="20"/>
                <w:color w:val="auto"/>
              </w:rPr>
            </w:pPr>
            <w:r>
              <w:rPr>
                <w:rFonts w:ascii="Arial" w:cs="Arial" w:eastAsia="Arial" w:hAnsi="Arial"/>
                <w:sz w:val="18"/>
                <w:szCs w:val="18"/>
                <w:b w:val="1"/>
                <w:bCs w:val="1"/>
                <w:color w:val="auto"/>
                <w:w w:val="94"/>
              </w:rPr>
              <w:t>SW1E 6AJ</w:t>
            </w:r>
          </w:p>
        </w:tc>
      </w:tr>
      <w:tr>
        <w:trPr>
          <w:trHeight w:val="319"/>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92"/>
              </w:rPr>
              <w:t>Parkstraat 83, The Hague,</w:t>
            </w:r>
          </w:p>
        </w:tc>
        <w:tc>
          <w:tcPr>
            <w:tcW w:w="2860" w:type="dxa"/>
            <w:vAlign w:val="bottom"/>
          </w:tcPr>
          <w:p>
            <w:pPr>
              <w:spacing w:after="0"/>
              <w:rPr>
                <w:sz w:val="24"/>
                <w:szCs w:val="24"/>
                <w:color w:val="auto"/>
              </w:rPr>
            </w:pPr>
          </w:p>
        </w:tc>
      </w:tr>
      <w:tr>
        <w:trPr>
          <w:trHeight w:val="216"/>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90"/>
              </w:rPr>
              <w:t>The Netherlands</w:t>
            </w:r>
          </w:p>
        </w:tc>
        <w:tc>
          <w:tcPr>
            <w:tcW w:w="2860" w:type="dxa"/>
            <w:vAlign w:val="bottom"/>
          </w:tcPr>
          <w:p>
            <w:pPr>
              <w:jc w:val="center"/>
              <w:ind w:left="1737"/>
              <w:spacing w:after="0"/>
              <w:rPr>
                <w:sz w:val="20"/>
                <w:szCs w:val="20"/>
                <w:color w:val="auto"/>
              </w:rPr>
            </w:pPr>
            <w:r>
              <w:rPr>
                <w:rFonts w:ascii="Arial" w:cs="Arial" w:eastAsia="Arial" w:hAnsi="Arial"/>
                <w:sz w:val="18"/>
                <w:szCs w:val="18"/>
                <w:b w:val="1"/>
                <w:bCs w:val="1"/>
                <w:color w:val="auto"/>
                <w:w w:val="92"/>
              </w:rPr>
              <w:t>2514 JG</w:t>
            </w:r>
          </w:p>
        </w:tc>
      </w:tr>
      <w:tr>
        <w:trPr>
          <w:trHeight w:val="182"/>
        </w:trPr>
        <w:tc>
          <w:tcPr>
            <w:tcW w:w="5000" w:type="dxa"/>
            <w:vAlign w:val="bottom"/>
          </w:tcPr>
          <w:p>
            <w:pPr>
              <w:jc w:val="center"/>
              <w:ind w:right="1715"/>
              <w:spacing w:after="0"/>
              <w:rPr>
                <w:sz w:val="20"/>
                <w:szCs w:val="20"/>
                <w:color w:val="auto"/>
              </w:rPr>
            </w:pPr>
            <w:r>
              <w:rPr>
                <w:rFonts w:ascii="Arial" w:cs="Arial" w:eastAsia="Arial" w:hAnsi="Arial"/>
                <w:sz w:val="14"/>
                <w:szCs w:val="14"/>
                <w:color w:val="auto"/>
                <w:w w:val="94"/>
              </w:rPr>
              <w:t>(Addresses of principal executive offices)</w:t>
            </w:r>
          </w:p>
        </w:tc>
        <w:tc>
          <w:tcPr>
            <w:tcW w:w="2860" w:type="dxa"/>
            <w:vAlign w:val="bottom"/>
          </w:tcPr>
          <w:p>
            <w:pPr>
              <w:jc w:val="center"/>
              <w:ind w:left="1717"/>
              <w:spacing w:after="0"/>
              <w:rPr>
                <w:sz w:val="20"/>
                <w:szCs w:val="20"/>
                <w:color w:val="auto"/>
              </w:rPr>
            </w:pPr>
            <w:r>
              <w:rPr>
                <w:rFonts w:ascii="Arial" w:cs="Arial" w:eastAsia="Arial" w:hAnsi="Arial"/>
                <w:sz w:val="14"/>
                <w:szCs w:val="14"/>
                <w:color w:val="auto"/>
                <w:w w:val="95"/>
              </w:rPr>
              <w:t>(Zip Codes)</w:t>
            </w:r>
          </w:p>
        </w:tc>
      </w:tr>
    </w:tbl>
    <w:p>
      <w:pPr>
        <w:spacing w:after="0" w:line="75"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8"/>
          <w:szCs w:val="18"/>
          <w:b w:val="1"/>
          <w:bCs w:val="1"/>
          <w:color w:val="auto"/>
        </w:rPr>
        <w:t>Registrant’s telephone number in the United States, including area code, is:</w:t>
      </w:r>
      <w:r>
        <w:rPr>
          <w:sz w:val="20"/>
          <w:szCs w:val="20"/>
          <w:color w:val="auto"/>
        </w:rPr>
        <w:tab/>
      </w:r>
      <w:r>
        <w:rPr>
          <w:rFonts w:ascii="Arial" w:cs="Arial" w:eastAsia="Arial" w:hAnsi="Arial"/>
          <w:sz w:val="16"/>
          <w:szCs w:val="16"/>
          <w:b w:val="1"/>
          <w:bCs w:val="1"/>
          <w:color w:val="auto"/>
        </w:rPr>
        <w:t>(713) 513-2000</w:t>
      </w:r>
    </w:p>
    <w:p>
      <w:pPr>
        <w:spacing w:after="0" w:line="85" w:lineRule="exact"/>
        <w:rPr>
          <w:sz w:val="24"/>
          <w:szCs w:val="24"/>
          <w:color w:val="auto"/>
        </w:rPr>
      </w:pPr>
    </w:p>
    <w:tbl>
      <w:tblPr>
        <w:tblLayout w:type="fixed"/>
        <w:tblInd w:w="92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20" w:type="dxa"/>
            <w:vAlign w:val="bottom"/>
            <w:gridSpan w:val="3"/>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000" w:type="dxa"/>
            <w:vAlign w:val="bottom"/>
          </w:tcPr>
          <w:p>
            <w:pPr>
              <w:spacing w:after="0"/>
              <w:rPr>
                <w:sz w:val="17"/>
                <w:szCs w:val="17"/>
                <w:color w:val="auto"/>
              </w:rPr>
            </w:pPr>
          </w:p>
        </w:tc>
      </w:tr>
      <w:tr>
        <w:trPr>
          <w:trHeight w:val="290"/>
        </w:trPr>
        <w:tc>
          <w:tcPr>
            <w:tcW w:w="720" w:type="dxa"/>
            <w:vAlign w:val="bottom"/>
          </w:tcPr>
          <w:p>
            <w:pPr>
              <w:spacing w:after="0"/>
              <w:rPr>
                <w:sz w:val="24"/>
                <w:szCs w:val="24"/>
                <w:color w:val="auto"/>
              </w:rPr>
            </w:pPr>
          </w:p>
        </w:tc>
        <w:tc>
          <w:tcPr>
            <w:tcW w:w="2040" w:type="dxa"/>
            <w:vAlign w:val="bottom"/>
            <w:gridSpan w:val="2"/>
          </w:tcPr>
          <w:p>
            <w:pPr>
              <w:jc w:val="center"/>
              <w:ind w:right="820"/>
              <w:spacing w:after="0"/>
              <w:rPr>
                <w:sz w:val="20"/>
                <w:szCs w:val="20"/>
                <w:color w:val="auto"/>
              </w:rPr>
            </w:pPr>
            <w:r>
              <w:rPr>
                <w:rFonts w:ascii="Arial" w:cs="Arial" w:eastAsia="Arial" w:hAnsi="Arial"/>
                <w:sz w:val="16"/>
                <w:szCs w:val="16"/>
                <w:b w:val="1"/>
                <w:bCs w:val="1"/>
                <w:color w:val="auto"/>
                <w:w w:val="88"/>
              </w:rPr>
              <w:t>Title of each class</w:t>
            </w:r>
          </w:p>
        </w:tc>
        <w:tc>
          <w:tcPr>
            <w:tcW w:w="1300" w:type="dxa"/>
            <w:vAlign w:val="bottom"/>
          </w:tcPr>
          <w:p>
            <w:pPr>
              <w:spacing w:after="0"/>
              <w:rPr>
                <w:sz w:val="24"/>
                <w:szCs w:val="24"/>
                <w:color w:val="auto"/>
              </w:rPr>
            </w:pPr>
          </w:p>
        </w:tc>
        <w:tc>
          <w:tcPr>
            <w:tcW w:w="2520" w:type="dxa"/>
            <w:vAlign w:val="bottom"/>
            <w:gridSpan w:val="2"/>
          </w:tcPr>
          <w:p>
            <w:pPr>
              <w:jc w:val="center"/>
              <w:ind w:right="1220"/>
              <w:spacing w:after="0"/>
              <w:rPr>
                <w:sz w:val="20"/>
                <w:szCs w:val="20"/>
                <w:color w:val="auto"/>
              </w:rPr>
            </w:pPr>
            <w:r>
              <w:rPr>
                <w:rFonts w:ascii="Arial" w:cs="Arial" w:eastAsia="Arial" w:hAnsi="Arial"/>
                <w:sz w:val="16"/>
                <w:szCs w:val="16"/>
                <w:b w:val="1"/>
                <w:bCs w:val="1"/>
                <w:color w:val="auto"/>
                <w:w w:val="92"/>
              </w:rPr>
              <w:t>Trading Symbol(s)</w:t>
            </w: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17"/>
        </w:trPr>
        <w:tc>
          <w:tcPr>
            <w:tcW w:w="2760" w:type="dxa"/>
            <w:vAlign w:val="bottom"/>
            <w:gridSpan w:val="3"/>
          </w:tcPr>
          <w:p>
            <w:pPr>
              <w:jc w:val="center"/>
              <w:ind w:right="100"/>
              <w:spacing w:after="0"/>
              <w:rPr>
                <w:sz w:val="20"/>
                <w:szCs w:val="20"/>
                <w:color w:val="auto"/>
              </w:rPr>
            </w:pPr>
            <w:r>
              <w:rPr>
                <w:rFonts w:ascii="Arial" w:cs="Arial" w:eastAsia="Arial" w:hAnsi="Arial"/>
                <w:sz w:val="16"/>
                <w:szCs w:val="16"/>
                <w:color w:val="auto"/>
                <w:w w:val="90"/>
              </w:rPr>
              <w:t>common stock, par value $0.01 per share</w:t>
            </w:r>
          </w:p>
        </w:tc>
        <w:tc>
          <w:tcPr>
            <w:tcW w:w="1300" w:type="dxa"/>
            <w:vAlign w:val="bottom"/>
          </w:tcPr>
          <w:p>
            <w:pPr>
              <w:spacing w:after="0"/>
              <w:rPr>
                <w:sz w:val="18"/>
                <w:szCs w:val="18"/>
                <w:color w:val="auto"/>
              </w:rPr>
            </w:pPr>
          </w:p>
        </w:tc>
        <w:tc>
          <w:tcPr>
            <w:tcW w:w="2520" w:type="dxa"/>
            <w:vAlign w:val="bottom"/>
            <w:gridSpan w:val="2"/>
          </w:tcPr>
          <w:p>
            <w:pPr>
              <w:jc w:val="center"/>
              <w:ind w:right="1220"/>
              <w:spacing w:after="0"/>
              <w:rPr>
                <w:sz w:val="20"/>
                <w:szCs w:val="20"/>
                <w:color w:val="auto"/>
              </w:rPr>
            </w:pPr>
            <w:r>
              <w:rPr>
                <w:rFonts w:ascii="Arial" w:cs="Arial" w:eastAsia="Arial" w:hAnsi="Arial"/>
                <w:sz w:val="16"/>
                <w:szCs w:val="16"/>
                <w:color w:val="auto"/>
                <w:w w:val="99"/>
              </w:rPr>
              <w:t>SLB</w:t>
            </w: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104" w:lineRule="exact"/>
        <w:rPr>
          <w:sz w:val="24"/>
          <w:szCs w:val="24"/>
          <w:color w:val="auto"/>
        </w:rPr>
      </w:pPr>
    </w:p>
    <w:p>
      <w:pPr>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400"/>
        <w:spacing w:after="0" w:line="21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00"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8060" w:type="dxa"/>
            <w:vAlign w:val="bottom"/>
            <w:gridSpan w:val="3"/>
          </w:tcPr>
          <w:p>
            <w:pPr>
              <w:spacing w:after="0" w:line="184" w:lineRule="exact"/>
              <w:rPr>
                <w:sz w:val="20"/>
                <w:szCs w:val="20"/>
                <w:color w:val="auto"/>
              </w:rPr>
            </w:pPr>
            <w:r>
              <w:rPr>
                <w:rFonts w:ascii="Arial" w:cs="Arial" w:eastAsia="Arial" w:hAnsi="Arial"/>
                <w:sz w:val="16"/>
                <w:szCs w:val="16"/>
                <w:color w:val="auto"/>
                <w:w w:val="93"/>
              </w:rPr>
              <w:t xml:space="preserve">Indicate by check mark whether the registrant is a shell company (as defined in Rule 12b-2 of the Exchange Act).  Yes </w:t>
            </w:r>
            <w:r>
              <w:rPr>
                <w:rFonts w:ascii="MS PGothic" w:cs="MS PGothic" w:eastAsia="MS PGothic" w:hAnsi="MS PGothic"/>
                <w:sz w:val="16"/>
                <w:szCs w:val="16"/>
                <w:color w:val="auto"/>
                <w:w w:val="93"/>
              </w:rPr>
              <w:t>☐</w:t>
            </w:r>
          </w:p>
        </w:tc>
        <w:tc>
          <w:tcPr>
            <w:tcW w:w="2500" w:type="dxa"/>
            <w:vAlign w:val="bottom"/>
            <w:gridSpan w:val="2"/>
          </w:tcPr>
          <w:p>
            <w:pPr>
              <w:jc w:val="right"/>
              <w:ind w:right="1899"/>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92"/>
        </w:trPr>
        <w:tc>
          <w:tcPr>
            <w:tcW w:w="8060" w:type="dxa"/>
            <w:vAlign w:val="bottom"/>
            <w:gridSpan w:val="3"/>
          </w:tcPr>
          <w:p>
            <w:pPr>
              <w:spacing w:after="0"/>
              <w:rPr>
                <w:sz w:val="20"/>
                <w:szCs w:val="20"/>
                <w:color w:val="auto"/>
              </w:rPr>
            </w:pPr>
            <w:r>
              <w:rPr>
                <w:rFonts w:ascii="Arial" w:cs="Arial" w:eastAsia="Arial" w:hAnsi="Arial"/>
                <w:sz w:val="16"/>
                <w:szCs w:val="16"/>
                <w:color w:val="auto"/>
                <w:w w:val="91"/>
              </w:rPr>
              <w:t>Indicate the number of shares outstanding of each of the issuer’s classes of common stock, as of the latest practicable date.</w:t>
            </w: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97"/>
        </w:trPr>
        <w:tc>
          <w:tcPr>
            <w:tcW w:w="8060" w:type="dxa"/>
            <w:vAlign w:val="bottom"/>
            <w:gridSpan w:val="3"/>
          </w:tcPr>
          <w:p>
            <w:pPr>
              <w:ind w:left="3760"/>
              <w:spacing w:after="0"/>
              <w:rPr>
                <w:sz w:val="20"/>
                <w:szCs w:val="20"/>
                <w:color w:val="auto"/>
              </w:rPr>
            </w:pPr>
            <w:r>
              <w:rPr>
                <w:rFonts w:ascii="Arial" w:cs="Arial" w:eastAsia="Arial" w:hAnsi="Arial"/>
                <w:sz w:val="16"/>
                <w:szCs w:val="16"/>
                <w:b w:val="1"/>
                <w:bCs w:val="1"/>
                <w:color w:val="auto"/>
              </w:rPr>
              <w:t>Class</w:t>
            </w:r>
          </w:p>
        </w:tc>
        <w:tc>
          <w:tcPr>
            <w:tcW w:w="480" w:type="dxa"/>
            <w:vAlign w:val="bottom"/>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Outstanding at June 30, 2021</w:t>
            </w:r>
          </w:p>
        </w:tc>
      </w:tr>
      <w:tr>
        <w:trPr>
          <w:trHeight w:val="223"/>
        </w:trPr>
        <w:tc>
          <w:tcPr>
            <w:tcW w:w="8060" w:type="dxa"/>
            <w:vAlign w:val="bottom"/>
            <w:gridSpan w:val="3"/>
          </w:tcPr>
          <w:p>
            <w:pPr>
              <w:spacing w:after="0"/>
              <w:rPr>
                <w:sz w:val="20"/>
                <w:szCs w:val="20"/>
                <w:color w:val="auto"/>
              </w:rPr>
            </w:pPr>
            <w:r>
              <w:rPr>
                <w:rFonts w:ascii="Arial" w:cs="Arial" w:eastAsia="Arial" w:hAnsi="Arial"/>
                <w:sz w:val="16"/>
                <w:szCs w:val="16"/>
                <w:color w:val="auto"/>
              </w:rPr>
              <w:t>COMMON STOCK, $0.01 PAR VALUE PER SHARE</w:t>
            </w:r>
          </w:p>
        </w:tc>
        <w:tc>
          <w:tcPr>
            <w:tcW w:w="2500" w:type="dxa"/>
            <w:vAlign w:val="bottom"/>
            <w:gridSpan w:val="2"/>
          </w:tcPr>
          <w:p>
            <w:pPr>
              <w:jc w:val="right"/>
              <w:ind w:right="499"/>
              <w:spacing w:after="0"/>
              <w:rPr>
                <w:sz w:val="20"/>
                <w:szCs w:val="20"/>
                <w:color w:val="auto"/>
              </w:rPr>
            </w:pPr>
            <w:r>
              <w:rPr>
                <w:rFonts w:ascii="Arial" w:cs="Arial" w:eastAsia="Arial" w:hAnsi="Arial"/>
                <w:sz w:val="16"/>
                <w:szCs w:val="16"/>
                <w:color w:val="auto"/>
              </w:rPr>
              <w:t>1,398,433,008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1405255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2021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60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9600" w:type="dxa"/>
            <w:vAlign w:val="bottom"/>
            <w:gridSpan w:val="11"/>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0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vMerge w:val="continue"/>
          </w:tcPr>
          <w:p>
            <w:pPr>
              <w:spacing w:after="0"/>
              <w:rPr>
                <w:sz w:val="24"/>
                <w:szCs w:val="24"/>
                <w:color w:val="auto"/>
              </w:rPr>
            </w:pPr>
          </w:p>
        </w:tc>
        <w:tc>
          <w:tcPr>
            <w:tcW w:w="64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3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600" w:type="dxa"/>
            <w:vAlign w:val="bottom"/>
            <w:gridSpan w:val="1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2520" w:type="dxa"/>
            <w:vAlign w:val="bottom"/>
            <w:tcBorders>
              <w:top w:val="single" w:sz="8" w:color="0000EE"/>
            </w:tcBorders>
            <w:gridSpan w:val="2"/>
          </w:tcPr>
          <w:p>
            <w:pPr>
              <w:spacing w:after="0"/>
              <w:rPr>
                <w:sz w:val="24"/>
                <w:szCs w:val="24"/>
                <w:color w:val="auto"/>
              </w:rPr>
            </w:pPr>
          </w:p>
        </w:tc>
        <w:tc>
          <w:tcPr>
            <w:tcW w:w="530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0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8260" w:type="dxa"/>
            <w:vAlign w:val="bottom"/>
            <w:gridSpan w:val="7"/>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vMerge w:val="continue"/>
          </w:tcPr>
          <w:p>
            <w:pPr>
              <w:spacing w:after="0"/>
              <w:rPr>
                <w:sz w:val="24"/>
                <w:szCs w:val="24"/>
                <w:color w:val="auto"/>
              </w:rPr>
            </w:pPr>
          </w:p>
        </w:tc>
        <w:tc>
          <w:tcPr>
            <w:tcW w:w="960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526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24"/>
                <w:szCs w:val="24"/>
                <w:color w:val="auto"/>
              </w:rPr>
            </w:pPr>
          </w:p>
        </w:tc>
        <w:tc>
          <w:tcPr>
            <w:tcW w:w="728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Other Information</w:t>
              </w:r>
            </w:hyperlink>
          </w:p>
        </w:tc>
        <w:tc>
          <w:tcPr>
            <w:tcW w:w="828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600" w:type="dxa"/>
            <w:vAlign w:val="bottom"/>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53"/>
        </w:trPr>
        <w:tc>
          <w:tcPr>
            <w:tcW w:w="114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52" w:lineRule="exact"/>
        <w:rPr>
          <w:sz w:val="20"/>
          <w:szCs w:val="20"/>
          <w:color w:val="auto"/>
        </w:rPr>
      </w:pPr>
    </w:p>
    <w:p>
      <w:pPr>
        <w:ind w:left="35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u w:val="single" w:color="auto"/>
          <w:color w:val="auto"/>
        </w:rPr>
        <w:t>CONSOLIDATED STATEMENT OF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w w:val="94"/>
              </w:rPr>
              <w:t>(Stated in millions, except per share amounts</w:t>
            </w:r>
            <w:r>
              <w:rPr>
                <w:rFonts w:ascii="Arial" w:cs="Arial" w:eastAsia="Arial" w:hAnsi="Arial"/>
                <w:sz w:val="14"/>
                <w:szCs w:val="14"/>
                <w:color w:val="auto"/>
                <w:w w:val="94"/>
              </w:rPr>
              <w:t>)</w:t>
            </w:r>
          </w:p>
        </w:tc>
      </w:tr>
      <w:tr>
        <w:trPr>
          <w:trHeight w:val="444"/>
        </w:trPr>
        <w:tc>
          <w:tcPr>
            <w:tcW w:w="4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Second Quarter</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82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Services</w:t>
            </w:r>
          </w:p>
        </w:tc>
        <w:tc>
          <w:tcPr>
            <w:tcW w:w="12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3,789</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19"/>
                <w:szCs w:val="19"/>
                <w:color w:val="auto"/>
              </w:rPr>
            </w:pPr>
          </w:p>
        </w:tc>
        <w:tc>
          <w:tcPr>
            <w:tcW w:w="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7,271</w:t>
            </w:r>
          </w:p>
        </w:tc>
        <w:tc>
          <w:tcPr>
            <w:tcW w:w="26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9,147</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sales</w:t>
            </w:r>
          </w:p>
        </w:tc>
        <w:tc>
          <w:tcPr>
            <w:tcW w:w="9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1,845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3,586</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FF0FC"/>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i w:val="1"/>
                <w:iCs w:val="1"/>
                <w:color w:val="auto"/>
              </w:rPr>
              <w:t>Total Revenue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5,634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10,857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12,811</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Interest &amp; other income</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3,223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6,255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8,109</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Cost of sales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1,545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3,019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3,439</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&amp; engineering</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General &amp; administrative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Impairments &amp; other</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12,247</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w:t>
            </w: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Income (loss) before taxes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(11,716)</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Tax expense (benefit)</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(920)</w:t>
            </w: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443</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755</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(loss) attributable to Schlumberger</w:t>
            </w:r>
          </w:p>
        </w:tc>
        <w:tc>
          <w:tcPr>
            <w:tcW w:w="9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431</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(3,434)</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730</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income (loss) per share of Schlumberger</w:t>
            </w:r>
          </w:p>
        </w:tc>
        <w:tc>
          <w:tcPr>
            <w:tcW w:w="12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(2.47)</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0.52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(7.79)</w:t>
            </w: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4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 income (loss) per share of Schlumberger</w:t>
            </w:r>
          </w:p>
        </w:tc>
        <w:tc>
          <w:tcPr>
            <w:tcW w:w="12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(2.47)</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0.51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(7.79)</w:t>
            </w: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4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shares outstanding:</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1,398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1,398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Assuming dilution</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1,421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1,420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FF0FC"/>
          </w:tcPr>
          <w:p>
            <w:pPr>
              <w:spacing w:after="0"/>
              <w:rPr>
                <w:sz w:val="19"/>
                <w:szCs w:val="19"/>
                <w:color w:val="auto"/>
              </w:rPr>
            </w:pPr>
          </w:p>
        </w:tc>
      </w:tr>
    </w:tbl>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ind w:left="35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CONSOLIDATED STATEMENT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5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8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Second Quarter</w:t>
            </w:r>
          </w:p>
        </w:tc>
        <w:tc>
          <w:tcPr>
            <w:tcW w:w="24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30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4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98"/>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755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(10,796)</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net change arising during the period</w:t>
            </w:r>
          </w:p>
        </w:tc>
        <w:tc>
          <w:tcPr>
            <w:tcW w:w="4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(24)</w:t>
            </w: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w:t>
            </w:r>
          </w:p>
        </w:tc>
      </w:tr>
      <w:tr>
        <w:trPr>
          <w:trHeight w:val="230"/>
        </w:trPr>
        <w:tc>
          <w:tcPr>
            <w:tcW w:w="530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(loss) on cash flow hedges</w:t>
            </w:r>
          </w:p>
        </w:tc>
        <w:tc>
          <w:tcPr>
            <w:tcW w:w="4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w w:val="99"/>
              </w:rPr>
              <w:t>(128)</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(231)</w:t>
            </w: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Reclassification to net income (loss) of net realized (gain) loss</w:t>
            </w: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4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Amortization to net income (loss) of net actuarial loss</w:t>
            </w: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to net income (loss) of net prior service credit</w:t>
            </w:r>
          </w:p>
        </w:tc>
        <w:tc>
          <w:tcPr>
            <w:tcW w:w="4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(11)</w:t>
            </w: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Impact of curtailment</w:t>
            </w: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Income taxes on pension and other postretirement benefit plans</w:t>
            </w:r>
          </w:p>
        </w:tc>
        <w:tc>
          <w:tcPr>
            <w:tcW w:w="4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(3)</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w:t>
            </w:r>
          </w:p>
        </w:tc>
        <w:tc>
          <w:tcPr>
            <w:tcW w:w="4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(3,443)</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863</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4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tcPr>
          <w:p>
            <w:pPr>
              <w:spacing w:after="0"/>
              <w:rPr>
                <w:sz w:val="19"/>
                <w:szCs w:val="19"/>
                <w:color w:val="auto"/>
              </w:rPr>
            </w:pP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 attributable to Schlumberger</w:t>
            </w:r>
          </w:p>
        </w:tc>
        <w:tc>
          <w:tcPr>
            <w:tcW w:w="4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98"/>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319</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(3,449)</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838</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Jun. 30,</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Dec. 31,</w:t>
            </w:r>
          </w:p>
        </w:tc>
      </w:tr>
      <w:tr>
        <w:trPr>
          <w:trHeight w:val="234"/>
        </w:trPr>
        <w:tc>
          <w:tcPr>
            <w:tcW w:w="7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37"/>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1,439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1,243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Receivables less allowance for doubtful accounts (2021 - $314; 2020 - $301)</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5,347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5,247</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3,267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781</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12,077</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12,919</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2,035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6,473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6,826</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Goodwill</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12,987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12,980</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i w:val="1"/>
                <w:iCs w:val="1"/>
                <w:color w:val="auto"/>
              </w:rPr>
              <w:t>Intangible Assets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3,311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4,025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4,193</w:t>
            </w:r>
          </w:p>
        </w:tc>
        <w:tc>
          <w:tcPr>
            <w:tcW w:w="100" w:type="dxa"/>
            <w:vAlign w:val="bottom"/>
            <w:shd w:val="clear" w:color="auto" w:fill="CFF0FC"/>
          </w:tcPr>
          <w:p>
            <w:pPr>
              <w:spacing w:after="0"/>
              <w:rPr>
                <w:sz w:val="19"/>
                <w:szCs w:val="19"/>
                <w:color w:val="auto"/>
              </w:rPr>
            </w:pPr>
          </w:p>
        </w:tc>
      </w:tr>
      <w:tr>
        <w:trPr>
          <w:trHeight w:val="263"/>
        </w:trPr>
        <w:tc>
          <w:tcPr>
            <w:tcW w:w="76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40,908</w:t>
            </w:r>
          </w:p>
        </w:tc>
        <w:tc>
          <w:tcPr>
            <w:tcW w:w="3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42,434</w:t>
            </w:r>
          </w:p>
        </w:tc>
        <w:tc>
          <w:tcPr>
            <w:tcW w:w="100" w:type="dxa"/>
            <w:vAlign w:val="bottom"/>
            <w:tcBorders>
              <w:bottom w:val="single" w:sz="8" w:color="CFF0FC"/>
            </w:tcBorders>
          </w:tcPr>
          <w:p>
            <w:pPr>
              <w:spacing w:after="0"/>
              <w:rPr>
                <w:sz w:val="22"/>
                <w:szCs w:val="22"/>
                <w:color w:val="auto"/>
              </w:rPr>
            </w:pPr>
          </w:p>
        </w:tc>
      </w:tr>
      <w:tr>
        <w:trPr>
          <w:trHeight w:val="210"/>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7,635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8,442</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Estimated liability for taxes on income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924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Dividends payable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8,784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10,491</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15,687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16,036</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Postretirement Benefits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2,422</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27,849</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29,945</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i w:val="1"/>
                <w:iCs w:val="1"/>
                <w:color w:val="auto"/>
              </w:rPr>
              <w:t>Equity</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12,730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12,970</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Treasury stock</w:t>
            </w:r>
          </w:p>
        </w:tc>
        <w:tc>
          <w:tcPr>
            <w:tcW w:w="22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(2,591)</w:t>
            </w:r>
          </w:p>
        </w:tc>
        <w:tc>
          <w:tcPr>
            <w:tcW w:w="2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(3,033)</w:t>
            </w: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7,399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7,018</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(4,776)</w:t>
            </w:r>
          </w:p>
        </w:tc>
        <w:tc>
          <w:tcPr>
            <w:tcW w:w="2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(4,884)</w:t>
            </w:r>
          </w:p>
        </w:tc>
      </w:tr>
      <w:tr>
        <w:trPr>
          <w:trHeight w:val="223"/>
        </w:trPr>
        <w:tc>
          <w:tcPr>
            <w:tcW w:w="76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Schlumberger stockholders’ equity</w:t>
            </w: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12,762</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13,059</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12,489</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40,908</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42,434</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60"/>
        </w:trPr>
        <w:tc>
          <w:tcPr>
            <w:tcW w:w="6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60" w:type="dxa"/>
            <w:vAlign w:val="bottom"/>
            <w:gridSpan w:val="6"/>
          </w:tcPr>
          <w:p>
            <w:pPr>
              <w:jc w:val="right"/>
              <w:ind w:right="88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206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755</w:t>
            </w:r>
          </w:p>
        </w:tc>
        <w:tc>
          <w:tcPr>
            <w:tcW w:w="3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(10,796)</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(loss) to cash provided by operating activities:</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Impairments and other charges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620"/>
              <w:spacing w:after="0" w:line="218"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5"/>
                <w:szCs w:val="25"/>
                <w:color w:val="auto"/>
                <w:vertAlign w:val="superscript"/>
              </w:rPr>
              <w:t>(1)</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1,058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Deferred taxes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(18)</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Earnings of equity method investments, less dividends received</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(15)</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5"/>
                <w:szCs w:val="25"/>
                <w:color w:val="auto"/>
                <w:vertAlign w:val="superscript"/>
              </w:rPr>
              <w:t>(2)</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(Increase) decrease in receivables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(114)</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(increase) in inventories</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Decrease in other current assets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538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(Increase) decrease in other assets</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(28)</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Decrease in accounts payable and accrued liabilities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(700)</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(2,204)</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 estimated liability for taxes on income</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(91)</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Increase (decrease) in other liabilities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Other</w:t>
            </w:r>
          </w:p>
        </w:tc>
        <w:tc>
          <w:tcPr>
            <w:tcW w:w="10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1,649</w:t>
            </w:r>
          </w:p>
        </w:tc>
        <w:tc>
          <w:tcPr>
            <w:tcW w:w="3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(421)</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APS investments</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(188)</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Multiclient seismic data costs capitalized</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(12)</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Business acquisitions and investments, net of cash acquired</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(35)</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Net proceeds from divestitures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Sale (purchase) of investments, net</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921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(39)</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6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PROVIDED BY (USED IN) INVESTING ACTIVITIES</w:t>
            </w:r>
          </w:p>
        </w:tc>
        <w:tc>
          <w:tcPr>
            <w:tcW w:w="10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8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226</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(1,859)</w:t>
            </w:r>
          </w:p>
        </w:tc>
        <w:tc>
          <w:tcPr>
            <w:tcW w:w="0" w:type="dxa"/>
            <w:vAlign w:val="bottom"/>
          </w:tcPr>
          <w:p>
            <w:pPr>
              <w:spacing w:after="0"/>
              <w:rPr>
                <w:sz w:val="1"/>
                <w:szCs w:val="1"/>
                <w:color w:val="auto"/>
              </w:rPr>
            </w:pP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0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Dividends paid</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(349)</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Proceeds from employee stock purchase plan</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 repurchase program</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Repayment of long-term debt</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(887)</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(3,070)</w:t>
            </w: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Net (decrease) increase in short-term borrowings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(83)</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(59)</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7"/>
        </w:trPr>
        <w:tc>
          <w:tcPr>
            <w:tcW w:w="6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(USED IN) PROVIDED BY FINANCING ACTIVITIES</w:t>
            </w:r>
          </w:p>
        </w:tc>
        <w:tc>
          <w:tcPr>
            <w:tcW w:w="1000" w:type="dxa"/>
            <w:vAlign w:val="bottom"/>
            <w:tcBorders>
              <w:bottom w:val="single" w:sz="8" w:color="CFF0FC"/>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(1,282)</w:t>
            </w:r>
          </w:p>
        </w:tc>
        <w:tc>
          <w:tcPr>
            <w:tcW w:w="30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Net increase in cash before translation effect</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593</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80" w:type="dxa"/>
            <w:vAlign w:val="bottom"/>
          </w:tcPr>
          <w:p>
            <w:pPr>
              <w:spacing w:after="0"/>
              <w:rPr>
                <w:sz w:val="20"/>
                <w:szCs w:val="20"/>
                <w:color w:val="auto"/>
              </w:rPr>
            </w:pPr>
            <w:r>
              <w:rPr>
                <w:rFonts w:ascii="Arial" w:cs="Arial" w:eastAsia="Arial" w:hAnsi="Arial"/>
                <w:sz w:val="16"/>
                <w:szCs w:val="16"/>
                <w:color w:val="auto"/>
              </w:rPr>
              <w:t>Translation effect on cash</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Cash, beginning of period</w:t>
            </w:r>
          </w:p>
        </w:tc>
        <w:tc>
          <w:tcPr>
            <w:tcW w:w="10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844</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Cash, end of period</w:t>
            </w:r>
          </w:p>
        </w:tc>
        <w:tc>
          <w:tcPr>
            <w:tcW w:w="1000" w:type="dxa"/>
            <w:vAlign w:val="bottom"/>
          </w:tcPr>
          <w:p>
            <w:pPr>
              <w:spacing w:after="0"/>
              <w:rPr>
                <w:sz w:val="17"/>
                <w:szCs w:val="17"/>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1,439</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380" w:hanging="372"/>
        <w:spacing w:after="0"/>
        <w:tabs>
          <w:tab w:leader="none" w:pos="380" w:val="left"/>
        </w:tabs>
        <w:numPr>
          <w:ilvl w:val="0"/>
          <w:numId w:val="3"/>
        </w:numPr>
        <w:rPr>
          <w:rFonts w:ascii="Arial" w:cs="Arial" w:eastAsia="Arial" w:hAnsi="Arial"/>
          <w:sz w:val="28"/>
          <w:szCs w:val="28"/>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118"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 and divestitures.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January 1, 2021 – June 30, 2021</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7"/>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2021</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12,970</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(3,033)</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7,018</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(4,884)</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418</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12,489</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(24)</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(26)</w:t>
            </w: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Vesting of restricted stock</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Dividends declared ($0.250 per share)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(349)</w:t>
            </w: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Deconsolidation of subsidiary</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(123)</w:t>
            </w: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(123)</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(21)</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(41)</w:t>
            </w:r>
          </w:p>
        </w:tc>
      </w:tr>
      <w:tr>
        <w:trPr>
          <w:trHeight w:val="155"/>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Balance, June 30, 2021</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12,730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(2,591)</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7,399</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(4,776)</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297</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13,059</w:t>
            </w:r>
          </w:p>
        </w:tc>
        <w:tc>
          <w:tcPr>
            <w:tcW w:w="100" w:type="dxa"/>
            <w:vAlign w:val="bottom"/>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8"/>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January 1, 2020 – June 30, 2020</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7"/>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5"/>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2020</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13,078</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(3,631)</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18,751</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(4,438)</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416</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24,176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(10,810)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(10,796)</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(106)</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(108)</w:t>
            </w: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(226)</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(226)</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Vesting of restricted stock</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Stock repurchase program</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r>
      <w:tr>
        <w:trPr>
          <w:trHeight w:val="162"/>
        </w:trPr>
        <w:tc>
          <w:tcPr>
            <w:tcW w:w="3780" w:type="dxa"/>
            <w:vAlign w:val="bottom"/>
            <w:gridSpan w:val="2"/>
            <w:shd w:val="clear" w:color="auto" w:fill="CFF0FA"/>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CFF0FA"/>
          </w:tcPr>
          <w:p>
            <w:pPr>
              <w:spacing w:after="0"/>
              <w:rPr>
                <w:sz w:val="14"/>
                <w:szCs w:val="14"/>
                <w:color w:val="auto"/>
              </w:rPr>
            </w:pPr>
          </w:p>
        </w:tc>
        <w:tc>
          <w:tcPr>
            <w:tcW w:w="800" w:type="dxa"/>
            <w:vAlign w:val="bottom"/>
            <w:shd w:val="clear" w:color="auto" w:fill="CFF0FA"/>
          </w:tcPr>
          <w:p>
            <w:pPr>
              <w:jc w:val="right"/>
              <w:spacing w:after="0"/>
              <w:rPr>
                <w:sz w:val="20"/>
                <w:szCs w:val="20"/>
                <w:color w:val="auto"/>
              </w:rPr>
            </w:pPr>
            <w:r>
              <w:rPr>
                <w:rFonts w:ascii="Arial" w:cs="Arial" w:eastAsia="Arial" w:hAnsi="Arial"/>
                <w:sz w:val="14"/>
                <w:szCs w:val="14"/>
                <w:color w:val="auto"/>
              </w:rPr>
              <w:t>213</w:t>
            </w:r>
          </w:p>
        </w:tc>
        <w:tc>
          <w:tcPr>
            <w:tcW w:w="160" w:type="dxa"/>
            <w:vAlign w:val="bottom"/>
            <w:shd w:val="clear" w:color="auto" w:fill="CFF0FA"/>
          </w:tcPr>
          <w:p>
            <w:pPr>
              <w:spacing w:after="0"/>
              <w:rPr>
                <w:sz w:val="14"/>
                <w:szCs w:val="14"/>
                <w:color w:val="auto"/>
              </w:rPr>
            </w:pPr>
          </w:p>
        </w:tc>
        <w:tc>
          <w:tcPr>
            <w:tcW w:w="100" w:type="dxa"/>
            <w:vAlign w:val="bottom"/>
            <w:shd w:val="clear" w:color="auto" w:fill="CFF0FA"/>
          </w:tcPr>
          <w:p>
            <w:pPr>
              <w:spacing w:after="0"/>
              <w:rPr>
                <w:sz w:val="14"/>
                <w:szCs w:val="14"/>
                <w:color w:val="auto"/>
              </w:rPr>
            </w:pPr>
          </w:p>
        </w:tc>
        <w:tc>
          <w:tcPr>
            <w:tcW w:w="100" w:type="dxa"/>
            <w:vAlign w:val="bottom"/>
            <w:shd w:val="clear" w:color="auto" w:fill="CFF0FA"/>
          </w:tcPr>
          <w:p>
            <w:pPr>
              <w:spacing w:after="0"/>
              <w:rPr>
                <w:sz w:val="14"/>
                <w:szCs w:val="14"/>
                <w:color w:val="auto"/>
              </w:rPr>
            </w:pPr>
          </w:p>
        </w:tc>
        <w:tc>
          <w:tcPr>
            <w:tcW w:w="900" w:type="dxa"/>
            <w:vAlign w:val="bottom"/>
            <w:shd w:val="clear" w:color="auto" w:fill="CFF0FA"/>
          </w:tcPr>
          <w:p>
            <w:pPr>
              <w:spacing w:after="0"/>
              <w:rPr>
                <w:sz w:val="14"/>
                <w:szCs w:val="14"/>
                <w:color w:val="auto"/>
              </w:rPr>
            </w:pPr>
          </w:p>
        </w:tc>
        <w:tc>
          <w:tcPr>
            <w:tcW w:w="260" w:type="dxa"/>
            <w:vAlign w:val="bottom"/>
            <w:shd w:val="clear" w:color="auto" w:fill="CFF0FA"/>
          </w:tcPr>
          <w:p>
            <w:pPr>
              <w:spacing w:after="0"/>
              <w:rPr>
                <w:sz w:val="14"/>
                <w:szCs w:val="14"/>
                <w:color w:val="auto"/>
              </w:rPr>
            </w:pPr>
          </w:p>
        </w:tc>
        <w:tc>
          <w:tcPr>
            <w:tcW w:w="140" w:type="dxa"/>
            <w:vAlign w:val="bottom"/>
            <w:shd w:val="clear" w:color="auto" w:fill="CFF0FA"/>
          </w:tcPr>
          <w:p>
            <w:pPr>
              <w:spacing w:after="0"/>
              <w:rPr>
                <w:sz w:val="14"/>
                <w:szCs w:val="14"/>
                <w:color w:val="auto"/>
              </w:rPr>
            </w:pPr>
          </w:p>
        </w:tc>
        <w:tc>
          <w:tcPr>
            <w:tcW w:w="880" w:type="dxa"/>
            <w:vAlign w:val="bottom"/>
            <w:shd w:val="clear" w:color="auto" w:fill="CFF0FA"/>
          </w:tcPr>
          <w:p>
            <w:pPr>
              <w:spacing w:after="0"/>
              <w:rPr>
                <w:sz w:val="14"/>
                <w:szCs w:val="14"/>
                <w:color w:val="auto"/>
              </w:rPr>
            </w:pPr>
          </w:p>
        </w:tc>
        <w:tc>
          <w:tcPr>
            <w:tcW w:w="240" w:type="dxa"/>
            <w:vAlign w:val="bottom"/>
            <w:shd w:val="clear" w:color="auto" w:fill="CFF0FA"/>
          </w:tcPr>
          <w:p>
            <w:pPr>
              <w:spacing w:after="0"/>
              <w:rPr>
                <w:sz w:val="14"/>
                <w:szCs w:val="14"/>
                <w:color w:val="auto"/>
              </w:rPr>
            </w:pPr>
          </w:p>
        </w:tc>
        <w:tc>
          <w:tcPr>
            <w:tcW w:w="100" w:type="dxa"/>
            <w:vAlign w:val="bottom"/>
            <w:shd w:val="clear" w:color="auto" w:fill="CFF0FA"/>
          </w:tcPr>
          <w:p>
            <w:pPr>
              <w:spacing w:after="0"/>
              <w:rPr>
                <w:sz w:val="14"/>
                <w:szCs w:val="14"/>
                <w:color w:val="auto"/>
              </w:rPr>
            </w:pPr>
          </w:p>
        </w:tc>
        <w:tc>
          <w:tcPr>
            <w:tcW w:w="920" w:type="dxa"/>
            <w:vAlign w:val="bottom"/>
            <w:shd w:val="clear" w:color="auto" w:fill="CFF0FA"/>
          </w:tcPr>
          <w:p>
            <w:pPr>
              <w:spacing w:after="0"/>
              <w:rPr>
                <w:sz w:val="14"/>
                <w:szCs w:val="14"/>
                <w:color w:val="auto"/>
              </w:rPr>
            </w:pPr>
          </w:p>
        </w:tc>
        <w:tc>
          <w:tcPr>
            <w:tcW w:w="260" w:type="dxa"/>
            <w:vAlign w:val="bottom"/>
            <w:shd w:val="clear" w:color="auto" w:fill="CFF0FA"/>
          </w:tcPr>
          <w:p>
            <w:pPr>
              <w:spacing w:after="0"/>
              <w:rPr>
                <w:sz w:val="14"/>
                <w:szCs w:val="14"/>
                <w:color w:val="auto"/>
              </w:rPr>
            </w:pPr>
          </w:p>
        </w:tc>
        <w:tc>
          <w:tcPr>
            <w:tcW w:w="140" w:type="dxa"/>
            <w:vAlign w:val="bottom"/>
            <w:shd w:val="clear" w:color="auto" w:fill="CFF0FA"/>
          </w:tcPr>
          <w:p>
            <w:pPr>
              <w:spacing w:after="0"/>
              <w:rPr>
                <w:sz w:val="14"/>
                <w:szCs w:val="14"/>
                <w:color w:val="auto"/>
              </w:rPr>
            </w:pPr>
          </w:p>
        </w:tc>
        <w:tc>
          <w:tcPr>
            <w:tcW w:w="860" w:type="dxa"/>
            <w:vAlign w:val="bottom"/>
            <w:shd w:val="clear" w:color="auto" w:fill="CFF0FA"/>
          </w:tcPr>
          <w:p>
            <w:pPr>
              <w:spacing w:after="0"/>
              <w:rPr>
                <w:sz w:val="14"/>
                <w:szCs w:val="14"/>
                <w:color w:val="auto"/>
              </w:rPr>
            </w:pPr>
          </w:p>
        </w:tc>
        <w:tc>
          <w:tcPr>
            <w:tcW w:w="260" w:type="dxa"/>
            <w:vAlign w:val="bottom"/>
            <w:shd w:val="clear" w:color="auto" w:fill="CFF0FA"/>
          </w:tcPr>
          <w:p>
            <w:pPr>
              <w:spacing w:after="0"/>
              <w:rPr>
                <w:sz w:val="14"/>
                <w:szCs w:val="14"/>
                <w:color w:val="auto"/>
              </w:rPr>
            </w:pPr>
          </w:p>
        </w:tc>
        <w:tc>
          <w:tcPr>
            <w:tcW w:w="220" w:type="dxa"/>
            <w:vAlign w:val="bottom"/>
            <w:shd w:val="clear" w:color="auto" w:fill="CFF0FA"/>
          </w:tcPr>
          <w:p>
            <w:pPr>
              <w:spacing w:after="0"/>
              <w:rPr>
                <w:sz w:val="14"/>
                <w:szCs w:val="14"/>
                <w:color w:val="auto"/>
              </w:rPr>
            </w:pPr>
          </w:p>
        </w:tc>
        <w:tc>
          <w:tcPr>
            <w:tcW w:w="820" w:type="dxa"/>
            <w:vAlign w:val="bottom"/>
            <w:shd w:val="clear" w:color="auto" w:fill="CFF0FA"/>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FF0FA"/>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Dividends declared ($0.625 per share)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(868)</w:t>
            </w:r>
          </w:p>
        </w:tc>
      </w:tr>
      <w:tr>
        <w:trPr>
          <w:trHeight w:val="162"/>
        </w:trPr>
        <w:tc>
          <w:tcPr>
            <w:tcW w:w="3780" w:type="dxa"/>
            <w:vAlign w:val="bottom"/>
            <w:gridSpan w:val="2"/>
            <w:shd w:val="clear" w:color="auto" w:fill="CFF0FA"/>
          </w:tcPr>
          <w:p>
            <w:pPr>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FF0FA"/>
          </w:tcPr>
          <w:p>
            <w:pPr>
              <w:spacing w:after="0"/>
              <w:rPr>
                <w:sz w:val="14"/>
                <w:szCs w:val="14"/>
                <w:color w:val="auto"/>
              </w:rPr>
            </w:pPr>
          </w:p>
        </w:tc>
        <w:tc>
          <w:tcPr>
            <w:tcW w:w="960" w:type="dxa"/>
            <w:vAlign w:val="bottom"/>
            <w:gridSpan w:val="2"/>
            <w:shd w:val="clear" w:color="auto" w:fill="CFF0FA"/>
          </w:tcPr>
          <w:p>
            <w:pPr>
              <w:jc w:val="right"/>
              <w:ind w:right="10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FF0FA"/>
          </w:tcPr>
          <w:p>
            <w:pPr>
              <w:spacing w:after="0"/>
              <w:rPr>
                <w:sz w:val="14"/>
                <w:szCs w:val="14"/>
                <w:color w:val="auto"/>
              </w:rPr>
            </w:pPr>
          </w:p>
        </w:tc>
        <w:tc>
          <w:tcPr>
            <w:tcW w:w="100" w:type="dxa"/>
            <w:vAlign w:val="bottom"/>
            <w:shd w:val="clear" w:color="auto" w:fill="CFF0FA"/>
          </w:tcPr>
          <w:p>
            <w:pPr>
              <w:spacing w:after="0"/>
              <w:rPr>
                <w:sz w:val="14"/>
                <w:szCs w:val="14"/>
                <w:color w:val="auto"/>
              </w:rPr>
            </w:pPr>
          </w:p>
        </w:tc>
        <w:tc>
          <w:tcPr>
            <w:tcW w:w="900" w:type="dxa"/>
            <w:vAlign w:val="bottom"/>
            <w:shd w:val="clear" w:color="auto" w:fill="CFF0FA"/>
          </w:tcPr>
          <w:p>
            <w:pPr>
              <w:jc w:val="right"/>
              <w:spacing w:after="0"/>
              <w:rPr>
                <w:sz w:val="20"/>
                <w:szCs w:val="20"/>
                <w:color w:val="auto"/>
              </w:rPr>
            </w:pPr>
            <w:r>
              <w:rPr>
                <w:rFonts w:ascii="Arial" w:cs="Arial" w:eastAsia="Arial" w:hAnsi="Arial"/>
                <w:sz w:val="14"/>
                <w:szCs w:val="14"/>
                <w:color w:val="auto"/>
              </w:rPr>
              <w:t>7</w:t>
            </w:r>
          </w:p>
        </w:tc>
        <w:tc>
          <w:tcPr>
            <w:tcW w:w="260" w:type="dxa"/>
            <w:vAlign w:val="bottom"/>
            <w:shd w:val="clear" w:color="auto" w:fill="CFF0FA"/>
          </w:tcPr>
          <w:p>
            <w:pPr>
              <w:spacing w:after="0"/>
              <w:rPr>
                <w:sz w:val="14"/>
                <w:szCs w:val="14"/>
                <w:color w:val="auto"/>
              </w:rPr>
            </w:pPr>
          </w:p>
        </w:tc>
        <w:tc>
          <w:tcPr>
            <w:tcW w:w="140" w:type="dxa"/>
            <w:vAlign w:val="bottom"/>
            <w:shd w:val="clear" w:color="auto" w:fill="CFF0FA"/>
          </w:tcPr>
          <w:p>
            <w:pPr>
              <w:spacing w:after="0"/>
              <w:rPr>
                <w:sz w:val="14"/>
                <w:szCs w:val="14"/>
                <w:color w:val="auto"/>
              </w:rPr>
            </w:pPr>
          </w:p>
        </w:tc>
        <w:tc>
          <w:tcPr>
            <w:tcW w:w="880" w:type="dxa"/>
            <w:vAlign w:val="bottom"/>
            <w:shd w:val="clear" w:color="auto" w:fill="CFF0FA"/>
          </w:tcPr>
          <w:p>
            <w:pPr>
              <w:spacing w:after="0"/>
              <w:rPr>
                <w:sz w:val="14"/>
                <w:szCs w:val="14"/>
                <w:color w:val="auto"/>
              </w:rPr>
            </w:pPr>
          </w:p>
        </w:tc>
        <w:tc>
          <w:tcPr>
            <w:tcW w:w="240" w:type="dxa"/>
            <w:vAlign w:val="bottom"/>
            <w:shd w:val="clear" w:color="auto" w:fill="CFF0FA"/>
          </w:tcPr>
          <w:p>
            <w:pPr>
              <w:spacing w:after="0"/>
              <w:rPr>
                <w:sz w:val="14"/>
                <w:szCs w:val="14"/>
                <w:color w:val="auto"/>
              </w:rPr>
            </w:pPr>
          </w:p>
        </w:tc>
        <w:tc>
          <w:tcPr>
            <w:tcW w:w="100" w:type="dxa"/>
            <w:vAlign w:val="bottom"/>
            <w:shd w:val="clear" w:color="auto" w:fill="CFF0FA"/>
          </w:tcPr>
          <w:p>
            <w:pPr>
              <w:spacing w:after="0"/>
              <w:rPr>
                <w:sz w:val="14"/>
                <w:szCs w:val="14"/>
                <w:color w:val="auto"/>
              </w:rPr>
            </w:pPr>
          </w:p>
        </w:tc>
        <w:tc>
          <w:tcPr>
            <w:tcW w:w="920" w:type="dxa"/>
            <w:vAlign w:val="bottom"/>
            <w:shd w:val="clear" w:color="auto" w:fill="CFF0FA"/>
          </w:tcPr>
          <w:p>
            <w:pPr>
              <w:spacing w:after="0"/>
              <w:rPr>
                <w:sz w:val="14"/>
                <w:szCs w:val="14"/>
                <w:color w:val="auto"/>
              </w:rPr>
            </w:pPr>
          </w:p>
        </w:tc>
        <w:tc>
          <w:tcPr>
            <w:tcW w:w="260" w:type="dxa"/>
            <w:vAlign w:val="bottom"/>
            <w:shd w:val="clear" w:color="auto" w:fill="CFF0FA"/>
          </w:tcPr>
          <w:p>
            <w:pPr>
              <w:spacing w:after="0"/>
              <w:rPr>
                <w:sz w:val="14"/>
                <w:szCs w:val="14"/>
                <w:color w:val="auto"/>
              </w:rPr>
            </w:pPr>
          </w:p>
        </w:tc>
        <w:tc>
          <w:tcPr>
            <w:tcW w:w="140" w:type="dxa"/>
            <w:vAlign w:val="bottom"/>
            <w:shd w:val="clear" w:color="auto" w:fill="CFF0FA"/>
          </w:tcPr>
          <w:p>
            <w:pPr>
              <w:spacing w:after="0"/>
              <w:rPr>
                <w:sz w:val="14"/>
                <w:szCs w:val="14"/>
                <w:color w:val="auto"/>
              </w:rPr>
            </w:pPr>
          </w:p>
        </w:tc>
        <w:tc>
          <w:tcPr>
            <w:tcW w:w="1120" w:type="dxa"/>
            <w:vAlign w:val="bottom"/>
            <w:gridSpan w:val="2"/>
            <w:shd w:val="clear" w:color="auto" w:fill="CFF0FA"/>
          </w:tcPr>
          <w:p>
            <w:pPr>
              <w:jc w:val="right"/>
              <w:ind w:right="200"/>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FF0FA"/>
          </w:tcPr>
          <w:p>
            <w:pPr>
              <w:spacing w:after="0"/>
              <w:rPr>
                <w:sz w:val="14"/>
                <w:szCs w:val="14"/>
                <w:color w:val="auto"/>
              </w:rPr>
            </w:pPr>
          </w:p>
        </w:tc>
        <w:tc>
          <w:tcPr>
            <w:tcW w:w="920" w:type="dxa"/>
            <w:vAlign w:val="bottom"/>
            <w:gridSpan w:val="2"/>
            <w:shd w:val="clear" w:color="auto" w:fill="CFF0FA"/>
          </w:tcPr>
          <w:p>
            <w:pPr>
              <w:jc w:val="right"/>
              <w:ind w:right="60"/>
              <w:spacing w:after="0"/>
              <w:rPr>
                <w:sz w:val="20"/>
                <w:szCs w:val="20"/>
                <w:color w:val="auto"/>
              </w:rPr>
            </w:pPr>
            <w:r>
              <w:rPr>
                <w:rFonts w:ascii="Arial" w:cs="Arial" w:eastAsia="Arial" w:hAnsi="Arial"/>
                <w:sz w:val="14"/>
                <w:szCs w:val="14"/>
                <w:color w:val="auto"/>
              </w:rPr>
              <w:t>(26)</w:t>
            </w:r>
          </w:p>
        </w:tc>
      </w:tr>
      <w:tr>
        <w:trPr>
          <w:trHeight w:val="155"/>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Balance, June 30, 2020</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13,044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(3,339)</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7,073</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(4,738)</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12,456</w:t>
            </w:r>
          </w:p>
        </w:tc>
        <w:tc>
          <w:tcPr>
            <w:tcW w:w="100" w:type="dxa"/>
            <w:vAlign w:val="bottom"/>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2"/>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ind w:left="4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April 1, 2021 – June 30, 2021</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7"/>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5"/>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April 1, 2021</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12,663</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(2,598)</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7,142</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(4,664)</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429</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12,972</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(38)</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w:t>
            </w: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(131)</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(131)</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Vesting of restricted stock</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Dividends declared ($0.125 per share)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(174)</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Deconsolidation of subsidiary</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(123)</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(123)</w:t>
            </w: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r>
      <w:tr>
        <w:trPr>
          <w:trHeight w:val="155"/>
        </w:trPr>
        <w:tc>
          <w:tcPr>
            <w:tcW w:w="378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Balance, June 30, 2021</w:t>
            </w: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12,730</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(2,591)</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7,399</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(4,776)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297</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13,059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7"/>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ind w:left="4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April 1, 2020 – June 30, 2020</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7"/>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5"/>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April 1, 2020</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12,963</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(3,360)</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10,681</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(4,723)</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422</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15,983</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(3,434)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(3,428)</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w:t>
            </w: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Vesting of restricted stock</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Dividends declared ($0.125 per share)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(174)</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w:t>
            </w:r>
          </w:p>
        </w:tc>
      </w:tr>
      <w:tr>
        <w:trPr>
          <w:trHeight w:val="155"/>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Balance, June 30, 2020</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13,044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(3,339)</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7,073</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(4,738)</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12,456</w:t>
            </w:r>
          </w:p>
        </w:tc>
        <w:tc>
          <w:tcPr>
            <w:tcW w:w="100" w:type="dxa"/>
            <w:vAlign w:val="bottom"/>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i w:val="1"/>
                <w:iCs w:val="1"/>
                <w:color w:val="auto"/>
              </w:rPr>
              <w:t>(Stated in millions)</w:t>
            </w:r>
          </w:p>
        </w:tc>
      </w:tr>
      <w:tr>
        <w:trPr>
          <w:trHeight w:val="372"/>
        </w:trPr>
        <w:tc>
          <w:tcPr>
            <w:tcW w:w="6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Shares</w:t>
            </w:r>
          </w:p>
        </w:tc>
      </w:tr>
      <w:tr>
        <w:trPr>
          <w:trHeight w:val="234"/>
        </w:trPr>
        <w:tc>
          <w:tcPr>
            <w:tcW w:w="6600" w:type="dxa"/>
            <w:vAlign w:val="bottom"/>
          </w:tcPr>
          <w:p>
            <w:pPr>
              <w:spacing w:after="0"/>
              <w:rPr>
                <w:sz w:val="20"/>
                <w:szCs w:val="20"/>
                <w:color w:val="auto"/>
              </w:rPr>
            </w:pPr>
          </w:p>
        </w:tc>
        <w:tc>
          <w:tcPr>
            <w:tcW w:w="900" w:type="dxa"/>
            <w:vAlign w:val="bottom"/>
          </w:tcPr>
          <w:p>
            <w:pPr>
              <w:ind w:left="420"/>
              <w:spacing w:after="0"/>
              <w:rPr>
                <w:sz w:val="20"/>
                <w:szCs w:val="20"/>
                <w:color w:val="auto"/>
              </w:rPr>
            </w:pPr>
            <w:r>
              <w:rPr>
                <w:rFonts w:ascii="Arial" w:cs="Arial" w:eastAsia="Arial" w:hAnsi="Arial"/>
                <w:sz w:val="18"/>
                <w:szCs w:val="18"/>
                <w:b w:val="1"/>
                <w:bCs w:val="1"/>
                <w:color w:val="auto"/>
                <w:w w:val="80"/>
              </w:rPr>
              <w:t>Issued</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Arial" w:cs="Arial" w:eastAsia="Arial" w:hAnsi="Arial"/>
                <w:sz w:val="18"/>
                <w:szCs w:val="18"/>
                <w:b w:val="1"/>
                <w:bCs w:val="1"/>
                <w:color w:val="auto"/>
              </w:rPr>
              <w:t>In Treasury</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2021</w:t>
            </w:r>
          </w:p>
        </w:tc>
        <w:tc>
          <w:tcPr>
            <w:tcW w:w="9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7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issued under employee stock purchase plan</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Balance, June 30, 2021</w:t>
            </w:r>
          </w:p>
        </w:tc>
        <w:tc>
          <w:tcPr>
            <w:tcW w:w="9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ind w:left="35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six-month period ended June 30, 2021 are not necessarily indicative of the results that may be expected for the full year ending December 31, 2021. The December 31, 2020 balance sheet information has been derived from the Schlumberger 2020 audited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2020, filed with the Securities and Exchange Commission on January 27, 2021.</w:t>
      </w:r>
    </w:p>
    <w:p>
      <w:pPr>
        <w:spacing w:after="0" w:line="270"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Schlumberger did not record any charges or credits during the first six months of 2021.</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During the first six months of 2020, Schlumberger recorded the following charges and credits, all of which are classified as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Pretax</w:t>
            </w:r>
          </w:p>
        </w:tc>
        <w:tc>
          <w:tcPr>
            <w:tcW w:w="320" w:type="dxa"/>
            <w:vAlign w:val="bottom"/>
          </w:tcPr>
          <w:p>
            <w:pPr>
              <w:spacing w:after="0"/>
              <w:rPr>
                <w:sz w:val="24"/>
                <w:szCs w:val="24"/>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Net</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First quarter:</w:t>
            </w: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3,070</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180"/>
              <w:spacing w:after="0"/>
              <w:rPr>
                <w:sz w:val="20"/>
                <w:szCs w:val="20"/>
                <w:color w:val="auto"/>
              </w:rPr>
            </w:pPr>
            <w:r>
              <w:rPr>
                <w:rFonts w:ascii="Arial" w:cs="Arial" w:eastAsia="Arial" w:hAnsi="Arial"/>
                <w:sz w:val="18"/>
                <w:szCs w:val="18"/>
                <w:color w:val="auto"/>
              </w:rPr>
              <w:t>Asset Performance Solutions investments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North American pressure pumping</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Severance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Second quarter: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Asset Performance Solutions investments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180"/>
              <w:spacing w:after="0"/>
              <w:rPr>
                <w:sz w:val="20"/>
                <w:szCs w:val="20"/>
                <w:color w:val="auto"/>
              </w:rPr>
            </w:pPr>
            <w:r>
              <w:rPr>
                <w:rFonts w:ascii="Arial" w:cs="Arial" w:eastAsia="Arial" w:hAnsi="Arial"/>
                <w:sz w:val="18"/>
                <w:szCs w:val="18"/>
                <w:color w:val="auto"/>
              </w:rPr>
              <w:t>Fixed asset impairments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Inventory write-downs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Right-of-use asset impairments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Costs associated with exiting certain activities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180"/>
              <w:spacing w:after="0"/>
              <w:rPr>
                <w:sz w:val="20"/>
                <w:szCs w:val="20"/>
                <w:color w:val="auto"/>
              </w:rPr>
            </w:pPr>
            <w:r>
              <w:rPr>
                <w:rFonts w:ascii="Arial" w:cs="Arial" w:eastAsia="Arial" w:hAnsi="Arial"/>
                <w:sz w:val="18"/>
                <w:szCs w:val="18"/>
                <w:color w:val="auto"/>
              </w:rPr>
              <w:t>Multiclient seismic data impairment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Repurchase of bonds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Postretirement benefits curtailment gain</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30"/>
        </w:trPr>
        <w:tc>
          <w:tcPr>
            <w:tcW w:w="6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12,247</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11,230</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2020:</w:t>
      </w:r>
    </w:p>
    <w:p>
      <w:pPr>
        <w:spacing w:after="0" w:line="225" w:lineRule="exact"/>
        <w:rPr>
          <w:sz w:val="20"/>
          <w:szCs w:val="20"/>
          <w:color w:val="auto"/>
        </w:rPr>
      </w:pPr>
    </w:p>
    <w:p>
      <w:pPr>
        <w:jc w:val="both"/>
        <w:ind w:left="740" w:hanging="368"/>
        <w:spacing w:after="0" w:line="255"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Geopolitical events that increased the supply of low-priced oil to the global market occurred at the same time that demand weakened due to the worldwide effects of the COVID-19 pandemic, leading to a collapse in oil prices during March 2020. As a result, Schlumberger’s market capitalization deteriorated significantly compared to the end of 2019. Schlumberger’s stock price reached a low during the first quarter of 2020 not seen since 1995. Additionally, the Philadelphia Oil Services Sector index, which is comprised of companies involved in the oil services sector, reached an all-time low. As a result of these facts, Schlumberger determined that it was more likely than not that the fair value of certain of its reporting units were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ind w:left="740"/>
        <w:spacing w:after="0" w:line="277" w:lineRule="auto"/>
        <w:rPr>
          <w:sz w:val="20"/>
          <w:szCs w:val="20"/>
          <w:color w:val="auto"/>
        </w:rPr>
      </w:pPr>
      <w:r>
        <w:rPr>
          <w:rFonts w:ascii="Arial" w:cs="Arial" w:eastAsia="Arial" w:hAnsi="Arial"/>
          <w:sz w:val="18"/>
          <w:szCs w:val="18"/>
          <w:color w:val="auto"/>
        </w:rPr>
        <w:t>less than their carrying value. Therefore, Schlumberger performed an interim goodwill impairment test that resulted in a $3.1 billion goodwill impairment charge.</w:t>
      </w:r>
    </w:p>
    <w:p>
      <w:pPr>
        <w:spacing w:after="0" w:line="170"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Schlumberger used the income approach to estimate the fair value of its reporting units, but also considered the market approach to validate the results. The income approach estimates the fair value by discounting each reporting unit’s estimated future cash flows using Schlumberger’s estimate of the discount rate, or expected return, that a marketplace participant would have required as of the valuation date. The market approach includes the use of comparative multiples to corroborate the discounted cash flow results. The market approach involves significant judgement involved in the selection of the appropriate peer group companies and valuation multiples.</w:t>
      </w:r>
    </w:p>
    <w:p>
      <w:pPr>
        <w:spacing w:after="0" w:line="217"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Some of the more significant assumptions inherent in the income approach include the estimated future net annual cash flows for each reporting unit and the discount rate. Schlumberger selected the assumptions used in the discounted cash flow projections using historical data supplemented by current and anticipated market conditions and estimated growth rates. Schlumberger’s estimates are based upon assumptions believed to be reasonable. However, given the inherent uncertainty in determining the assumptions underlying a discounted cash flow analysis, particularly in the current volatile market, actual results may differ from those used in Schlumberger’s valuations which could result in additional impairment charges in the future.</w:t>
      </w:r>
    </w:p>
    <w:p>
      <w:pPr>
        <w:spacing w:after="0" w:line="21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discount rates utilized to value Schlumberger’s reporting units were between 12.0% and 13.5%, depending on the risks and uncertainty inherent in the respective reporting unit as well as the size of the reporting unit. Assuming all other assumptions and inputs used in each of the respective discounted cash flow analysis were held constant, a 50-basis point increase or decrease in the discount rate assumptions would have changed the fair value of the seven reporting units, on average, by less than 5%.</w:t>
      </w:r>
    </w:p>
    <w:p>
      <w:pPr>
        <w:spacing w:after="0" w:line="187" w:lineRule="exact"/>
        <w:rPr>
          <w:sz w:val="20"/>
          <w:szCs w:val="20"/>
          <w:color w:val="auto"/>
        </w:rPr>
      </w:pPr>
    </w:p>
    <w:p>
      <w:pPr>
        <w:jc w:val="both"/>
        <w:ind w:left="740" w:hanging="368"/>
        <w:spacing w:after="0" w:line="311"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negative market indicators described above were triggering events that indicated that certain of Schlumberger’s long-lived intangible and tangible assets may have been impaired. Recoverability testing indicated that certain long-lived assets were impaired. The estimated fair value of these assets was determined to be below their carrying value. As a result, Schlumberger recorded the following impairment charges:</w:t>
      </w:r>
    </w:p>
    <w:p>
      <w:pPr>
        <w:spacing w:after="0" w:line="121" w:lineRule="exact"/>
        <w:rPr>
          <w:rFonts w:ascii="Arial" w:cs="Arial" w:eastAsia="Arial" w:hAnsi="Arial"/>
          <w:sz w:val="16"/>
          <w:szCs w:val="16"/>
          <w:color w:val="auto"/>
        </w:rPr>
      </w:pPr>
    </w:p>
    <w:p>
      <w:pPr>
        <w:jc w:val="both"/>
        <w:ind w:left="1120" w:hanging="370"/>
        <w:spacing w:after="0" w:line="260"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$3.3 billion relating to intangible assets, of which $2.2 billion related to Schlumberger’s 2016 acquisition of Cameron International Corporation and $1.1 billion related to Schlumberger’s 2010 acquisition of Smith International, Inc. Following this impairment charge, the carrying value of the impaired intangible assets was approximately $0.9 billion.</w:t>
      </w:r>
    </w:p>
    <w:p>
      <w:pPr>
        <w:spacing w:after="0" w:line="2" w:lineRule="exact"/>
        <w:rPr>
          <w:rFonts w:ascii="Arial" w:cs="Arial" w:eastAsia="Arial" w:hAnsi="Arial"/>
          <w:sz w:val="18"/>
          <w:szCs w:val="18"/>
          <w:color w:val="auto"/>
        </w:rPr>
      </w:pPr>
    </w:p>
    <w:p>
      <w:pPr>
        <w:ind w:left="1120" w:hanging="370"/>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$1.3 billion relating to the carrying value of certain Asset Performance Solutions (“APS”) projects in North America.</w:t>
      </w:r>
    </w:p>
    <w:p>
      <w:pPr>
        <w:spacing w:after="0" w:line="49" w:lineRule="exact"/>
        <w:rPr>
          <w:rFonts w:ascii="Arial" w:cs="Arial" w:eastAsia="Arial" w:hAnsi="Arial"/>
          <w:sz w:val="18"/>
          <w:szCs w:val="18"/>
          <w:color w:val="auto"/>
        </w:rPr>
      </w:pPr>
    </w:p>
    <w:p>
      <w:pPr>
        <w:ind w:left="1120" w:hanging="370"/>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$0.6 billion of fixed assets associated with the pressure pumping business in North America.</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$202 million of severance.</w:t>
      </w:r>
    </w:p>
    <w:p>
      <w:pPr>
        <w:spacing w:after="0" w:line="225"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$79 million of other restructuring charges, primarily consisting of the impairment of an equity method investment that was determined to be other-than-temporarily impaired.</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$164 million relating to a valuation allowance against certain deferred tax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2020:</w:t>
      </w:r>
    </w:p>
    <w:p>
      <w:pPr>
        <w:spacing w:after="0" w:line="225" w:lineRule="exact"/>
        <w:rPr>
          <w:sz w:val="20"/>
          <w:szCs w:val="20"/>
          <w:color w:val="auto"/>
        </w:rPr>
      </w:pPr>
    </w:p>
    <w:p>
      <w:pPr>
        <w:jc w:val="both"/>
        <w:ind w:left="740" w:hanging="368"/>
        <w:spacing w:after="0" w:line="25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previously noted, late in the first quarter of 2020, geopolitical events that increased the supply of low-priced oil to the global market occurred at the same time as demand weakened due to the worldwide effects of the COVID-19 pandemic, which led to a collapse in oil prices. As a result, the second quarter of 2020 was the most challenging quarter in decades. Schlumberger responded to these market conditions by taking actions to restructure its business and rationalize its asset base during the second quarter of 2020. These actions included reducing headcount, closing facilities and exiting business lines in certain countries. Additionally, due to the resulting activity decline, Schlumberger had assets that would no longer be utilized. As a consequence of these circumstances and decisions, Schlumberger recorded the following restructuring and asset impairment charges:</w:t>
      </w:r>
    </w:p>
    <w:p>
      <w:pPr>
        <w:spacing w:after="0" w:line="167" w:lineRule="exact"/>
        <w:rPr>
          <w:rFonts w:ascii="Arial" w:cs="Arial" w:eastAsia="Arial" w:hAnsi="Arial"/>
          <w:sz w:val="18"/>
          <w:szCs w:val="18"/>
          <w:color w:val="auto"/>
        </w:rPr>
      </w:pPr>
    </w:p>
    <w:p>
      <w:pPr>
        <w:ind w:left="1120" w:hanging="370"/>
        <w:spacing w:after="0"/>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$1.021 billion of severance associated with reducing its workforce by more than 21,000 employees.</w:t>
      </w:r>
    </w:p>
    <w:p>
      <w:pPr>
        <w:spacing w:after="0" w:line="36" w:lineRule="exact"/>
        <w:rPr>
          <w:rFonts w:ascii="Arial" w:cs="Arial" w:eastAsia="Arial" w:hAnsi="Arial"/>
          <w:sz w:val="18"/>
          <w:szCs w:val="18"/>
          <w:color w:val="auto"/>
        </w:rPr>
      </w:pPr>
    </w:p>
    <w:p>
      <w:pPr>
        <w:ind w:left="1120" w:hanging="370"/>
        <w:spacing w:after="0"/>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$730 million relating to the carrying value of certain APS projects in Latin America.</w:t>
      </w:r>
    </w:p>
    <w:p>
      <w:pPr>
        <w:spacing w:after="0" w:line="49" w:lineRule="exact"/>
        <w:rPr>
          <w:rFonts w:ascii="Arial" w:cs="Arial" w:eastAsia="Arial" w:hAnsi="Arial"/>
          <w:sz w:val="18"/>
          <w:szCs w:val="18"/>
          <w:color w:val="auto"/>
        </w:rPr>
      </w:pPr>
    </w:p>
    <w:p>
      <w:pPr>
        <w:ind w:left="1120" w:hanging="370"/>
        <w:spacing w:after="0"/>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$666 million of fixed asset impairments primarily relating to equipment that would no longer be utilized and facilities it exited.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 w:name="page11"/>
    <w:bookmarkEnd w:id="10"/>
    <w:p>
      <w:pPr>
        <w:ind w:left="1120" w:hanging="370"/>
        <w:spacing w:after="0"/>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$603 million write-down of the carrying value of inventory to its net realizable value.</w:t>
      </w:r>
    </w:p>
    <w:p>
      <w:pPr>
        <w:spacing w:after="0" w:line="49" w:lineRule="exact"/>
        <w:rPr>
          <w:rFonts w:ascii="Arial" w:cs="Arial" w:eastAsia="Arial" w:hAnsi="Arial"/>
          <w:sz w:val="18"/>
          <w:szCs w:val="18"/>
          <w:color w:val="auto"/>
        </w:rPr>
      </w:pPr>
    </w:p>
    <w:p>
      <w:pPr>
        <w:ind w:left="1120" w:hanging="370"/>
        <w:spacing w:after="0" w:line="273" w:lineRule="auto"/>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$311 million write-down of right-of-use assets under operating leases associated with leased facilities Schlumberger exited and excess equipment.</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$205 million of costs associated with exiting certain activities.</w:t>
      </w:r>
    </w:p>
    <w:p>
      <w:pPr>
        <w:spacing w:after="0" w:line="49" w:lineRule="exact"/>
        <w:rPr>
          <w:rFonts w:ascii="Arial" w:cs="Arial" w:eastAsia="Arial" w:hAnsi="Arial"/>
          <w:sz w:val="18"/>
          <w:szCs w:val="18"/>
          <w:color w:val="auto"/>
        </w:rPr>
      </w:pPr>
    </w:p>
    <w:p>
      <w:pPr>
        <w:ind w:left="1120" w:hanging="370"/>
        <w:spacing w:after="0"/>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$156 million impairment of certain multiclient seismic data.</w:t>
      </w:r>
    </w:p>
    <w:p>
      <w:pPr>
        <w:spacing w:after="0" w:line="49" w:lineRule="exact"/>
        <w:rPr>
          <w:rFonts w:ascii="Arial" w:cs="Arial" w:eastAsia="Arial" w:hAnsi="Arial"/>
          <w:sz w:val="18"/>
          <w:szCs w:val="18"/>
          <w:color w:val="auto"/>
        </w:rPr>
      </w:pPr>
    </w:p>
    <w:p>
      <w:pPr>
        <w:ind w:left="1120" w:hanging="370"/>
        <w:spacing w:after="0"/>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$61 million of other costs, including a $42 million increase in the allowance for the doubtful accounts.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second quarter of 2020, Schlumberger repurchased certain Senior Notes which resulted in a $40 million charge.</w:t>
      </w:r>
    </w:p>
    <w:p>
      <w:pPr>
        <w:spacing w:after="0" w:line="225"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consequence of the workforce reductions described above, Schlumberger recorded a curtailment gain of $69 million relating to its US postretirement medical plan. See Note 11 – Pension and Other Postretirement Benefit Plans for further details.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fair value of the impaired intangible assets, fixed assets, APS investments, right-of-use assets and multiclient seismic data was estimated based on the present value of projected future cash flows that the underlying assets were expected to generate. Such estimates included unobservable inputs that required significant judgement.</w:t>
      </w:r>
    </w:p>
    <w:p>
      <w:pPr>
        <w:spacing w:after="0" w:line="288"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income (loss) per share of Schlumberger to diluted income (loss) per share of Schlumberger: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w w:val="91"/>
              </w:rPr>
              <w:t>(Stated in millions, except per share amounts)</w:t>
            </w:r>
          </w:p>
        </w:tc>
      </w:tr>
      <w:tr>
        <w:trPr>
          <w:trHeight w:val="428"/>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color w:val="auto"/>
                <w:w w:val="89"/>
              </w:rPr>
              <w:t>2020</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Schlumberger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Arial" w:cs="Arial" w:eastAsia="Arial" w:hAnsi="Arial"/>
                <w:sz w:val="16"/>
                <w:szCs w:val="16"/>
                <w:b w:val="1"/>
                <w:bCs w:val="1"/>
                <w:color w:val="auto"/>
                <w:w w:val="89"/>
              </w:rPr>
              <w:t>Shares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Arial" w:cs="Arial" w:eastAsia="Arial" w:hAnsi="Arial"/>
                <w:sz w:val="16"/>
                <w:szCs w:val="16"/>
                <w:b w:val="1"/>
                <w:bCs w:val="1"/>
                <w:color w:val="auto"/>
                <w:w w:val="91"/>
              </w:rPr>
              <w:t>Income per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Schlumberger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color w:val="auto"/>
                <w:w w:val="86"/>
              </w:rPr>
              <w:t>Shares</w:t>
            </w: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Loss per</w:t>
            </w:r>
          </w:p>
        </w:tc>
      </w:tr>
      <w:tr>
        <w:trPr>
          <w:trHeight w:val="213"/>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2"/>
              <w:spacing w:after="0"/>
              <w:rPr>
                <w:sz w:val="20"/>
                <w:szCs w:val="20"/>
                <w:color w:val="auto"/>
              </w:rPr>
            </w:pPr>
            <w:r>
              <w:rPr>
                <w:rFonts w:ascii="Arial" w:cs="Arial" w:eastAsia="Arial" w:hAnsi="Arial"/>
                <w:sz w:val="16"/>
                <w:szCs w:val="16"/>
                <w:b w:val="1"/>
                <w:bCs w:val="1"/>
                <w:color w:val="auto"/>
                <w:w w:val="90"/>
              </w:rPr>
              <w:t>Net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5"/>
              <w:spacing w:after="0"/>
              <w:rPr>
                <w:sz w:val="20"/>
                <w:szCs w:val="20"/>
                <w:color w:val="auto"/>
              </w:rPr>
            </w:pPr>
            <w:r>
              <w:rPr>
                <w:rFonts w:ascii="Arial" w:cs="Arial" w:eastAsia="Arial" w:hAnsi="Arial"/>
                <w:sz w:val="16"/>
                <w:szCs w:val="16"/>
                <w:b w:val="1"/>
                <w:bCs w:val="1"/>
                <w:color w:val="auto"/>
                <w:w w:val="93"/>
              </w:rPr>
              <w:t>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75"/>
              <w:spacing w:after="0"/>
              <w:rPr>
                <w:sz w:val="20"/>
                <w:szCs w:val="20"/>
                <w:color w:val="auto"/>
              </w:rPr>
            </w:pPr>
            <w:r>
              <w:rPr>
                <w:rFonts w:ascii="Arial" w:cs="Arial" w:eastAsia="Arial" w:hAnsi="Arial"/>
                <w:sz w:val="16"/>
                <w:szCs w:val="16"/>
                <w:b w:val="1"/>
                <w:bCs w:val="1"/>
                <w:color w:val="auto"/>
                <w:w w:val="89"/>
              </w:rPr>
              <w:t>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Net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color w:val="auto"/>
                <w:w w:val="92"/>
              </w:rPr>
              <w:t>Outstanding</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color w:val="auto"/>
                <w:w w:val="84"/>
              </w:rPr>
              <w:t>Share</w:t>
            </w:r>
          </w:p>
        </w:tc>
      </w:tr>
      <w:tr>
        <w:trPr>
          <w:trHeight w:val="206"/>
        </w:trPr>
        <w:tc>
          <w:tcPr>
            <w:tcW w:w="1240" w:type="dxa"/>
            <w:vAlign w:val="bottom"/>
            <w:tcBorders>
              <w:top w:val="single" w:sz="8" w:color="CFF0FC"/>
              <w:bottom w:val="single" w:sz="8" w:color="auto"/>
            </w:tcBorders>
            <w:gridSpan w:val="2"/>
            <w:shd w:val="clear" w:color="auto" w:fill="CFF0FC"/>
          </w:tcPr>
          <w:p>
            <w:pPr>
              <w:spacing w:after="0" w:line="186" w:lineRule="exact"/>
              <w:rPr>
                <w:sz w:val="20"/>
                <w:szCs w:val="20"/>
                <w:color w:val="auto"/>
              </w:rPr>
            </w:pPr>
            <w:r>
              <w:rPr>
                <w:rFonts w:ascii="Arial" w:cs="Arial" w:eastAsia="Arial" w:hAnsi="Arial"/>
                <w:sz w:val="18"/>
                <w:szCs w:val="18"/>
                <w:b w:val="1"/>
                <w:bCs w:val="1"/>
                <w:color w:val="auto"/>
                <w:w w:val="90"/>
              </w:rPr>
              <w:t>Second Quarter</w:t>
            </w:r>
          </w:p>
        </w:tc>
        <w:tc>
          <w:tcPr>
            <w:tcW w:w="130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70"/>
        </w:trPr>
        <w:tc>
          <w:tcPr>
            <w:tcW w:w="2540" w:type="dxa"/>
            <w:vAlign w:val="bottom"/>
            <w:gridSpan w:val="3"/>
          </w:tcPr>
          <w:p>
            <w:pPr>
              <w:spacing w:after="0"/>
              <w:rPr>
                <w:sz w:val="20"/>
                <w:szCs w:val="20"/>
                <w:color w:val="auto"/>
              </w:rPr>
            </w:pPr>
            <w:r>
              <w:rPr>
                <w:rFonts w:ascii="Arial" w:cs="Arial" w:eastAsia="Arial" w:hAnsi="Arial"/>
                <w:sz w:val="18"/>
                <w:szCs w:val="18"/>
                <w:color w:val="auto"/>
              </w:rPr>
              <w:t>Basic</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1,398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(3,434)</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1,388</w:t>
            </w:r>
          </w:p>
        </w:tc>
        <w:tc>
          <w:tcPr>
            <w:tcW w:w="240" w:type="dxa"/>
            <w:vAlign w:val="bottom"/>
          </w:tcPr>
          <w:p>
            <w:pPr>
              <w:spacing w:after="0"/>
              <w:rPr>
                <w:sz w:val="23"/>
                <w:szCs w:val="23"/>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r>
      <w:tr>
        <w:trPr>
          <w:trHeight w:val="210"/>
        </w:trPr>
        <w:tc>
          <w:tcPr>
            <w:tcW w:w="25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7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254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1,421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0.30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1,388</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2"/>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color w:val="auto"/>
                <w:w w:val="89"/>
              </w:rPr>
              <w:t>2020</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Schlumberger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Arial" w:cs="Arial" w:eastAsia="Arial" w:hAnsi="Arial"/>
                <w:sz w:val="16"/>
                <w:szCs w:val="16"/>
                <w:b w:val="1"/>
                <w:bCs w:val="1"/>
                <w:color w:val="auto"/>
                <w:w w:val="89"/>
              </w:rPr>
              <w:t>Shares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Arial" w:cs="Arial" w:eastAsia="Arial" w:hAnsi="Arial"/>
                <w:sz w:val="16"/>
                <w:szCs w:val="16"/>
                <w:b w:val="1"/>
                <w:bCs w:val="1"/>
                <w:color w:val="auto"/>
                <w:w w:val="91"/>
              </w:rPr>
              <w:t>Income per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Schlumberger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color w:val="auto"/>
                <w:w w:val="86"/>
              </w:rPr>
              <w:t>Shares</w:t>
            </w: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Loss per</w:t>
            </w:r>
          </w:p>
        </w:tc>
      </w:tr>
      <w:tr>
        <w:trPr>
          <w:trHeight w:val="213"/>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2"/>
              <w:spacing w:after="0"/>
              <w:rPr>
                <w:sz w:val="20"/>
                <w:szCs w:val="20"/>
                <w:color w:val="auto"/>
              </w:rPr>
            </w:pPr>
            <w:r>
              <w:rPr>
                <w:rFonts w:ascii="Arial" w:cs="Arial" w:eastAsia="Arial" w:hAnsi="Arial"/>
                <w:sz w:val="16"/>
                <w:szCs w:val="16"/>
                <w:b w:val="1"/>
                <w:bCs w:val="1"/>
                <w:color w:val="auto"/>
                <w:w w:val="90"/>
              </w:rPr>
              <w:t>Net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5"/>
              <w:spacing w:after="0"/>
              <w:rPr>
                <w:sz w:val="20"/>
                <w:szCs w:val="20"/>
                <w:color w:val="auto"/>
              </w:rPr>
            </w:pPr>
            <w:r>
              <w:rPr>
                <w:rFonts w:ascii="Arial" w:cs="Arial" w:eastAsia="Arial" w:hAnsi="Arial"/>
                <w:sz w:val="16"/>
                <w:szCs w:val="16"/>
                <w:b w:val="1"/>
                <w:bCs w:val="1"/>
                <w:color w:val="auto"/>
                <w:w w:val="93"/>
              </w:rPr>
              <w:t>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75"/>
              <w:spacing w:after="0"/>
              <w:rPr>
                <w:sz w:val="20"/>
                <w:szCs w:val="20"/>
                <w:color w:val="auto"/>
              </w:rPr>
            </w:pPr>
            <w:r>
              <w:rPr>
                <w:rFonts w:ascii="Arial" w:cs="Arial" w:eastAsia="Arial" w:hAnsi="Arial"/>
                <w:sz w:val="16"/>
                <w:szCs w:val="16"/>
                <w:b w:val="1"/>
                <w:bCs w:val="1"/>
                <w:color w:val="auto"/>
                <w:w w:val="89"/>
              </w:rPr>
              <w:t>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Net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color w:val="auto"/>
                <w:w w:val="92"/>
              </w:rPr>
              <w:t>Outstanding</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color w:val="auto"/>
                <w:w w:val="84"/>
              </w:rPr>
              <w:t>Share</w:t>
            </w:r>
          </w:p>
        </w:tc>
      </w:tr>
      <w:tr>
        <w:trPr>
          <w:trHeight w:val="206"/>
        </w:trPr>
        <w:tc>
          <w:tcPr>
            <w:tcW w:w="2540" w:type="dxa"/>
            <w:vAlign w:val="bottom"/>
            <w:tcBorders>
              <w:top w:val="single" w:sz="8" w:color="CFF0FC"/>
            </w:tcBorders>
            <w:gridSpan w:val="3"/>
            <w:shd w:val="clear" w:color="auto" w:fill="CFF0FC"/>
          </w:tcPr>
          <w:p>
            <w:pPr>
              <w:spacing w:after="0" w:line="186" w:lineRule="exact"/>
              <w:rPr>
                <w:sz w:val="20"/>
                <w:szCs w:val="20"/>
                <w:color w:val="auto"/>
              </w:rPr>
            </w:pPr>
            <w:r>
              <w:rPr>
                <w:rFonts w:ascii="Arial" w:cs="Arial" w:eastAsia="Arial" w:hAnsi="Arial"/>
                <w:sz w:val="18"/>
                <w:szCs w:val="18"/>
                <w:b w:val="1"/>
                <w:bCs w:val="1"/>
                <w:color w:val="auto"/>
              </w:rPr>
              <w:t>Six Months</w:t>
            </w:r>
          </w:p>
        </w:tc>
        <w:tc>
          <w:tcPr>
            <w:tcW w:w="7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69"/>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Basic</w:t>
            </w:r>
          </w:p>
        </w:tc>
        <w:tc>
          <w:tcPr>
            <w:tcW w:w="1660" w:type="dxa"/>
            <w:vAlign w:val="bottom"/>
            <w:tcBorders>
              <w:top w:val="single" w:sz="8" w:color="CFF0FC"/>
            </w:tcBorders>
            <w:gridSpan w:val="2"/>
          </w:tcPr>
          <w:p>
            <w:pPr>
              <w:spacing w:after="0"/>
              <w:rPr>
                <w:sz w:val="23"/>
                <w:szCs w:val="23"/>
                <w:color w:val="auto"/>
              </w:rPr>
            </w:pPr>
          </w:p>
        </w:tc>
        <w:tc>
          <w:tcPr>
            <w:tcW w:w="82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730</w:t>
            </w:r>
          </w:p>
        </w:tc>
        <w:tc>
          <w:tcPr>
            <w:tcW w:w="3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1,398</w:t>
            </w:r>
          </w:p>
        </w:tc>
        <w:tc>
          <w:tcPr>
            <w:tcW w:w="36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0.52</w:t>
            </w:r>
          </w:p>
        </w:tc>
        <w:tc>
          <w:tcPr>
            <w:tcW w:w="32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(10,810)</w:t>
            </w:r>
          </w:p>
        </w:tc>
        <w:tc>
          <w:tcPr>
            <w:tcW w:w="2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1,388</w:t>
            </w:r>
          </w:p>
        </w:tc>
        <w:tc>
          <w:tcPr>
            <w:tcW w:w="240" w:type="dxa"/>
            <w:vAlign w:val="bottom"/>
            <w:tcBorders>
              <w:top w:val="single" w:sz="8" w:color="CFF0FC"/>
            </w:tcBorders>
          </w:tcPr>
          <w:p>
            <w:pPr>
              <w:spacing w:after="0"/>
              <w:rPr>
                <w:sz w:val="23"/>
                <w:szCs w:val="23"/>
                <w:color w:val="auto"/>
              </w:rPr>
            </w:pPr>
          </w:p>
        </w:tc>
        <w:tc>
          <w:tcPr>
            <w:tcW w:w="180" w:type="dxa"/>
            <w:vAlign w:val="bottom"/>
            <w:tcBorders>
              <w:top w:val="single" w:sz="8" w:color="CFF0FC"/>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(7.79)</w:t>
            </w:r>
          </w:p>
        </w:tc>
      </w:tr>
      <w:tr>
        <w:trPr>
          <w:trHeight w:val="210"/>
        </w:trPr>
        <w:tc>
          <w:tcPr>
            <w:tcW w:w="25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7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254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730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1,420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0.51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1,388</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(7.79)</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outstanding options to purchase shares of Schlumberger common stock that were not included in the computation of diluted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share, because to do so would have had an antidilutive effect,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5780" w:type="dxa"/>
            <w:vAlign w:val="bottom"/>
          </w:tcPr>
          <w:p>
            <w:pPr>
              <w:spacing w:after="0"/>
              <w:rPr>
                <w:sz w:val="24"/>
                <w:szCs w:val="24"/>
                <w:color w:val="auto"/>
              </w:rPr>
            </w:pPr>
          </w:p>
        </w:tc>
        <w:tc>
          <w:tcPr>
            <w:tcW w:w="224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Second Quarter</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4"/>
          </w:tcPr>
          <w:p>
            <w:pPr>
              <w:ind w:left="840"/>
              <w:spacing w:after="0"/>
              <w:rPr>
                <w:sz w:val="20"/>
                <w:szCs w:val="20"/>
                <w:color w:val="auto"/>
              </w:rPr>
            </w:pPr>
            <w:r>
              <w:rPr>
                <w:rFonts w:ascii="Arial" w:cs="Arial" w:eastAsia="Arial" w:hAnsi="Arial"/>
                <w:sz w:val="18"/>
                <w:szCs w:val="18"/>
                <w:b w:val="1"/>
                <w:bCs w:val="1"/>
                <w:color w:val="auto"/>
              </w:rPr>
              <w:t>Six Months</w:t>
            </w:r>
          </w:p>
        </w:tc>
      </w:tr>
      <w:tr>
        <w:trPr>
          <w:trHeight w:val="223"/>
        </w:trPr>
        <w:tc>
          <w:tcPr>
            <w:tcW w:w="5780" w:type="dxa"/>
            <w:vAlign w:val="bottom"/>
          </w:tcPr>
          <w:p>
            <w:pPr>
              <w:spacing w:after="0"/>
              <w:rPr>
                <w:sz w:val="19"/>
                <w:szCs w:val="19"/>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4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2020</w:t>
            </w:r>
          </w:p>
        </w:tc>
        <w:tc>
          <w:tcPr>
            <w:tcW w:w="3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35"/>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options</w:t>
            </w:r>
          </w:p>
        </w:tc>
        <w:tc>
          <w:tcPr>
            <w:tcW w:w="8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44</w:t>
            </w: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44</w:t>
            </w: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4"/>
        </w:trPr>
        <w:tc>
          <w:tcPr>
            <w:tcW w:w="6620" w:type="dxa"/>
            <w:vAlign w:val="bottom"/>
            <w:gridSpan w:val="2"/>
          </w:tcPr>
          <w:p>
            <w:pPr>
              <w:spacing w:after="0"/>
              <w:rPr>
                <w:sz w:val="20"/>
                <w:szCs w:val="20"/>
                <w:color w:val="auto"/>
              </w:rPr>
            </w:pPr>
            <w:r>
              <w:rPr>
                <w:rFonts w:ascii="Arial" w:cs="Arial" w:eastAsia="Arial" w:hAnsi="Arial"/>
                <w:sz w:val="18"/>
                <w:szCs w:val="18"/>
                <w:color w:val="auto"/>
              </w:rPr>
              <w:t>Unvested restricted stock</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r>
      <w:tr>
        <w:trPr>
          <w:trHeight w:val="549"/>
        </w:trPr>
        <w:tc>
          <w:tcPr>
            <w:tcW w:w="5780" w:type="dxa"/>
            <w:vAlign w:val="bottom"/>
          </w:tcPr>
          <w:p>
            <w:pPr>
              <w:jc w:val="right"/>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7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1" w:name="page12"/>
    <w:bookmarkEnd w:id="11"/>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inventories, which are stated at the lower of average cost or net realizable value,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Jun. 30,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28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spacing w:after="0"/>
              <w:rPr>
                <w:sz w:val="20"/>
                <w:szCs w:val="20"/>
                <w:color w:val="auto"/>
              </w:rPr>
            </w:pPr>
          </w:p>
        </w:tc>
        <w:tc>
          <w:tcPr>
            <w:tcW w:w="4800" w:type="dxa"/>
            <w:vAlign w:val="bottom"/>
            <w:tcBorders>
              <w:bottom w:val="single" w:sz="8" w:color="CFF0FC"/>
            </w:tcBorders>
          </w:tcPr>
          <w:p>
            <w:pPr>
              <w:spacing w:after="0"/>
              <w:rPr>
                <w:sz w:val="20"/>
                <w:szCs w:val="20"/>
                <w:color w:val="auto"/>
              </w:rPr>
            </w:pPr>
          </w:p>
        </w:tc>
        <w:tc>
          <w:tcPr>
            <w:tcW w:w="16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gridSpan w:val="3"/>
          </w:tcPr>
          <w:p>
            <w:pPr>
              <w:spacing w:after="0"/>
              <w:rPr>
                <w:sz w:val="20"/>
                <w:szCs w:val="20"/>
                <w:color w:val="auto"/>
              </w:rPr>
            </w:pPr>
            <w:r>
              <w:rPr>
                <w:rFonts w:ascii="Arial" w:cs="Arial" w:eastAsia="Arial" w:hAnsi="Arial"/>
                <w:sz w:val="18"/>
                <w:szCs w:val="18"/>
                <w:color w:val="auto"/>
              </w:rPr>
              <w:t>Work in progress</w:t>
            </w: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471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1,296</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3,267</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Fixed Assets</w:t>
            </w:r>
          </w:p>
        </w:tc>
        <w:tc>
          <w:tcPr>
            <w:tcW w:w="1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040" w:type="dxa"/>
            <w:vAlign w:val="bottom"/>
            <w:gridSpan w:val="3"/>
            <w:vMerge w:val="continue"/>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040" w:type="dxa"/>
            <w:vAlign w:val="bottom"/>
            <w:gridSpan w:val="3"/>
          </w:tcPr>
          <w:p>
            <w:pPr>
              <w:spacing w:after="0"/>
              <w:rPr>
                <w:sz w:val="20"/>
                <w:szCs w:val="20"/>
                <w:color w:val="auto"/>
              </w:rPr>
            </w:pPr>
            <w:r>
              <w:rPr>
                <w:rFonts w:ascii="Arial" w:cs="Arial" w:eastAsia="Arial" w:hAnsi="Arial"/>
                <w:sz w:val="18"/>
                <w:szCs w:val="18"/>
                <w:color w:val="auto"/>
              </w:rPr>
              <w:t>A summary of fixed assets follows:</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Jun. 30,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28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spacing w:after="0"/>
              <w:rPr>
                <w:sz w:val="20"/>
                <w:szCs w:val="20"/>
                <w:color w:val="auto"/>
              </w:rPr>
            </w:pPr>
          </w:p>
        </w:tc>
        <w:tc>
          <w:tcPr>
            <w:tcW w:w="4800" w:type="dxa"/>
            <w:vAlign w:val="bottom"/>
            <w:tcBorders>
              <w:bottom w:val="single" w:sz="8" w:color="CFF0FC"/>
            </w:tcBorders>
          </w:tcPr>
          <w:p>
            <w:pPr>
              <w:spacing w:after="0"/>
              <w:rPr>
                <w:sz w:val="20"/>
                <w:szCs w:val="20"/>
                <w:color w:val="auto"/>
              </w:rPr>
            </w:pPr>
          </w:p>
        </w:tc>
        <w:tc>
          <w:tcPr>
            <w:tcW w:w="16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29,218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Less: Accumulated depreciation</w:t>
            </w:r>
          </w:p>
        </w:tc>
        <w:tc>
          <w:tcPr>
            <w:tcW w:w="16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22,745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48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6,473</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1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40" w:type="dxa"/>
            <w:vAlign w:val="bottom"/>
            <w:gridSpan w:val="3"/>
            <w:vMerge w:val="continue"/>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28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spacing w:after="0"/>
              <w:rPr>
                <w:sz w:val="24"/>
                <w:szCs w:val="24"/>
                <w:color w:val="auto"/>
              </w:rPr>
            </w:pPr>
          </w:p>
        </w:tc>
        <w:tc>
          <w:tcPr>
            <w:tcW w:w="4800" w:type="dxa"/>
            <w:vAlign w:val="bottom"/>
            <w:tcBorders>
              <w:bottom w:val="single" w:sz="8" w:color="CFF0FC"/>
            </w:tcBorders>
          </w:tcPr>
          <w:p>
            <w:pPr>
              <w:spacing w:after="0"/>
              <w:rPr>
                <w:sz w:val="24"/>
                <w:szCs w:val="24"/>
                <w:color w:val="auto"/>
              </w:rPr>
            </w:pPr>
          </w:p>
        </w:tc>
        <w:tc>
          <w:tcPr>
            <w:tcW w:w="16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40" w:type="dxa"/>
            <w:vAlign w:val="bottom"/>
            <w:gridSpan w:val="3"/>
          </w:tcPr>
          <w:p>
            <w:pPr>
              <w:spacing w:after="0"/>
              <w:rPr>
                <w:sz w:val="20"/>
                <w:szCs w:val="20"/>
                <w:color w:val="auto"/>
              </w:rPr>
            </w:pPr>
            <w:r>
              <w:rPr>
                <w:rFonts w:ascii="Arial" w:cs="Arial" w:eastAsia="Arial" w:hAnsi="Arial"/>
                <w:sz w:val="18"/>
                <w:szCs w:val="18"/>
                <w:color w:val="auto"/>
              </w:rPr>
              <w:t>Six Months</w:t>
            </w: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707</w:t>
            </w:r>
          </w:p>
        </w:tc>
        <w:tc>
          <w:tcPr>
            <w:tcW w:w="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441"/>
        </w:trPr>
        <w:tc>
          <w:tcPr>
            <w:tcW w:w="2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Jun. 30, 2021</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Dec. 31, 2020</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2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Arial" w:cs="Arial" w:eastAsia="Arial" w:hAnsi="Arial"/>
                <w:sz w:val="16"/>
                <w:szCs w:val="16"/>
                <w:b w:val="1"/>
                <w:bCs w:val="1"/>
                <w:color w:val="auto"/>
              </w:rPr>
              <w:t>Gross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73"/>
              <w:spacing w:after="0"/>
              <w:rPr>
                <w:sz w:val="20"/>
                <w:szCs w:val="20"/>
                <w:color w:val="auto"/>
              </w:rPr>
            </w:pPr>
            <w:r>
              <w:rPr>
                <w:rFonts w:ascii="Arial" w:cs="Arial" w:eastAsia="Arial" w:hAnsi="Arial"/>
                <w:sz w:val="16"/>
                <w:szCs w:val="16"/>
                <w:b w:val="1"/>
                <w:bCs w:val="1"/>
                <w:color w:val="auto"/>
                <w:w w:val="96"/>
              </w:rPr>
              <w:t>Net Book</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93"/>
              <w:spacing w:after="0"/>
              <w:rPr>
                <w:sz w:val="20"/>
                <w:szCs w:val="20"/>
                <w:color w:val="auto"/>
              </w:rPr>
            </w:pPr>
            <w:r>
              <w:rPr>
                <w:rFonts w:ascii="Arial" w:cs="Arial" w:eastAsia="Arial" w:hAnsi="Arial"/>
                <w:sz w:val="16"/>
                <w:szCs w:val="16"/>
                <w:color w:val="auto"/>
              </w:rPr>
              <w:t>Gross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Accumulated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7"/>
              </w:rPr>
              <w:t>Net Book</w:t>
            </w:r>
          </w:p>
        </w:tc>
      </w:tr>
      <w:tr>
        <w:trPr>
          <w:trHeight w:val="246"/>
        </w:trPr>
        <w:tc>
          <w:tcPr>
            <w:tcW w:w="2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6"/>
                <w:szCs w:val="16"/>
                <w:b w:val="1"/>
                <w:bCs w:val="1"/>
                <w:color w:val="auto"/>
                <w:w w:val="91"/>
              </w:rPr>
              <w:t>Book Value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3"/>
              <w:spacing w:after="0"/>
              <w:rPr>
                <w:sz w:val="20"/>
                <w:szCs w:val="20"/>
                <w:color w:val="auto"/>
              </w:rPr>
            </w:pPr>
            <w:r>
              <w:rPr>
                <w:rFonts w:ascii="Arial" w:cs="Arial" w:eastAsia="Arial" w:hAnsi="Arial"/>
                <w:sz w:val="16"/>
                <w:szCs w:val="16"/>
                <w:b w:val="1"/>
                <w:bCs w:val="1"/>
                <w:color w:val="auto"/>
              </w:rPr>
              <w:t>Value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6"/>
                <w:szCs w:val="16"/>
                <w:color w:val="auto"/>
                <w:w w:val="95"/>
              </w:rPr>
              <w:t>Book Value</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Amortization</w:t>
            </w: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87"/>
              </w:rPr>
              <w:t>Value</w:t>
            </w:r>
          </w:p>
        </w:tc>
      </w:tr>
      <w:tr>
        <w:trPr>
          <w:trHeight w:val="226"/>
        </w:trPr>
        <w:tc>
          <w:tcPr>
            <w:tcW w:w="2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1,691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1,181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Technology/technical know-how</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r>
      <w:tr>
        <w:trPr>
          <w:trHeight w:val="22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Tradenames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FF0FC"/>
          </w:tcPr>
          <w:p>
            <w:pPr>
              <w:spacing w:after="0"/>
              <w:rPr>
                <w:sz w:val="19"/>
                <w:szCs w:val="19"/>
                <w:color w:val="auto"/>
              </w:rPr>
            </w:pPr>
          </w:p>
        </w:tc>
      </w:tr>
      <w:tr>
        <w:trPr>
          <w:trHeight w:val="230"/>
        </w:trPr>
        <w:tc>
          <w:tcPr>
            <w:tcW w:w="2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FF0FC"/>
            </w:tcBorders>
          </w:tcPr>
          <w:p>
            <w:pPr>
              <w:spacing w:after="0"/>
              <w:rPr>
                <w:sz w:val="19"/>
                <w:szCs w:val="19"/>
                <w:color w:val="auto"/>
              </w:rPr>
            </w:pPr>
          </w:p>
        </w:tc>
      </w:tr>
      <w:tr>
        <w:trPr>
          <w:trHeight w:val="223"/>
        </w:trPr>
        <w:tc>
          <w:tcPr>
            <w:tcW w:w="28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5,275</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1,964</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3,311</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5,283</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2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8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4420" w:type="dxa"/>
            <w:vAlign w:val="bottom"/>
            <w:tcBorders>
              <w:bottom w:val="single" w:sz="8" w:color="CFF0FC"/>
            </w:tcBorders>
          </w:tcPr>
          <w:p>
            <w:pPr>
              <w:spacing w:after="0"/>
              <w:rPr>
                <w:sz w:val="24"/>
                <w:szCs w:val="24"/>
                <w:color w:val="auto"/>
              </w:rPr>
            </w:pPr>
          </w:p>
        </w:tc>
        <w:tc>
          <w:tcPr>
            <w:tcW w:w="326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24"/>
                <w:szCs w:val="24"/>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3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r>
      <w:tr>
        <w:trPr>
          <w:trHeight w:val="234"/>
        </w:trPr>
        <w:tc>
          <w:tcPr>
            <w:tcW w:w="4420" w:type="dxa"/>
            <w:vAlign w:val="bottom"/>
          </w:tcPr>
          <w:p>
            <w:pPr>
              <w:spacing w:after="0"/>
              <w:rPr>
                <w:sz w:val="20"/>
                <w:szCs w:val="20"/>
                <w:color w:val="auto"/>
              </w:rPr>
            </w:pPr>
            <w:r>
              <w:rPr>
                <w:rFonts w:ascii="Arial" w:cs="Arial" w:eastAsia="Arial" w:hAnsi="Arial"/>
                <w:sz w:val="18"/>
                <w:szCs w:val="18"/>
                <w:color w:val="auto"/>
              </w:rPr>
              <w:t>Six Months</w:t>
            </w:r>
          </w:p>
        </w:tc>
        <w:tc>
          <w:tcPr>
            <w:tcW w:w="36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net book value of intangible assets at June 30, 2021, amortization charged to income for the subsequent five years is estimated to be: remaining two quarters of 2021—$152 million; 2022—$293 million; 2023—$286 million; 2024—$262 million; 2025—$248 million; and 2026—$244 million.</w:t>
      </w:r>
    </w:p>
    <w:p>
      <w:pPr>
        <w:spacing w:after="0" w:line="288"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5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 30,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Dec. 31,</w:t>
            </w:r>
          </w:p>
        </w:tc>
      </w:tr>
      <w:tr>
        <w:trPr>
          <w:trHeight w:val="234"/>
        </w:trPr>
        <w:tc>
          <w:tcPr>
            <w:tcW w:w="500" w:type="dxa"/>
            <w:vAlign w:val="bottom"/>
            <w:tcBorders>
              <w:bottom w:val="single" w:sz="8" w:color="CFF0FC"/>
            </w:tcBorders>
          </w:tcPr>
          <w:p>
            <w:pPr>
              <w:spacing w:after="0"/>
              <w:rPr>
                <w:sz w:val="20"/>
                <w:szCs w:val="20"/>
                <w:color w:val="auto"/>
              </w:rPr>
            </w:pPr>
          </w:p>
        </w:tc>
        <w:tc>
          <w:tcPr>
            <w:tcW w:w="4660" w:type="dxa"/>
            <w:vAlign w:val="bottom"/>
            <w:tcBorders>
              <w:bottom w:val="single" w:sz="8" w:color="CFF0FC"/>
            </w:tcBorders>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20"/>
                <w:szCs w:val="20"/>
                <w:color w:val="auto"/>
              </w:rPr>
            </w:pPr>
          </w:p>
        </w:tc>
      </w:tr>
      <w:tr>
        <w:trPr>
          <w:trHeight w:val="223"/>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3.65%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2023</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3.90%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2028</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1,453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2.65%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2030</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FF0FC"/>
          </w:tcPr>
          <w:p>
            <w:pPr>
              <w:spacing w:after="0"/>
              <w:rPr>
                <w:sz w:val="19"/>
                <w:szCs w:val="19"/>
                <w:color w:val="auto"/>
              </w:rPr>
            </w:pPr>
          </w:p>
        </w:tc>
      </w:tr>
      <w:tr>
        <w:trPr>
          <w:trHeight w:val="229"/>
        </w:trPr>
        <w:tc>
          <w:tcPr>
            <w:tcW w:w="5160" w:type="dxa"/>
            <w:vAlign w:val="bottom"/>
            <w:gridSpan w:val="2"/>
          </w:tcPr>
          <w:p>
            <w:pPr>
              <w:spacing w:after="0"/>
              <w:rPr>
                <w:sz w:val="20"/>
                <w:szCs w:val="20"/>
                <w:color w:val="auto"/>
              </w:rPr>
            </w:pPr>
            <w:r>
              <w:rPr>
                <w:rFonts w:ascii="Arial" w:cs="Arial" w:eastAsia="Arial" w:hAnsi="Arial"/>
                <w:sz w:val="18"/>
                <w:szCs w:val="18"/>
                <w:color w:val="auto"/>
              </w:rPr>
              <w:t>1.375% Guaranteed Notes due 2026</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1,191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2032</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1,184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0.25%</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1,072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0.50%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2031</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1,071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2.40%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999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2025</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4.30%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2029</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846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3.75%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2024</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1.00%</w:t>
            </w:r>
          </w:p>
        </w:tc>
        <w:tc>
          <w:tcPr>
            <w:tcW w:w="4660" w:type="dxa"/>
            <w:vAlign w:val="bottom"/>
          </w:tcPr>
          <w:p>
            <w:pPr>
              <w:ind w:left="20"/>
              <w:spacing w:after="0"/>
              <w:rPr>
                <w:sz w:val="20"/>
                <w:szCs w:val="20"/>
                <w:color w:val="auto"/>
              </w:rPr>
            </w:pPr>
            <w:r>
              <w:rPr>
                <w:rFonts w:ascii="Arial" w:cs="Arial" w:eastAsia="Arial" w:hAnsi="Arial"/>
                <w:sz w:val="18"/>
                <w:szCs w:val="18"/>
                <w:color w:val="auto"/>
              </w:rPr>
              <w:t>Guaranteed Notes due 2026</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715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0.00%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2024</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2.65%</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599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1.40%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2025</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3.63%</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7.00%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2038</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5.95%</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2041</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5.13%</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2043</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4.00%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2023</w:t>
            </w:r>
          </w:p>
        </w:tc>
        <w:tc>
          <w:tcPr>
            <w:tcW w:w="2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3.70%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2024</w:t>
            </w:r>
          </w:p>
        </w:tc>
        <w:tc>
          <w:tcPr>
            <w:tcW w:w="2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Commercial paper borrowings</w:t>
            </w:r>
          </w:p>
        </w:tc>
        <w:tc>
          <w:tcPr>
            <w:tcW w:w="25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FF0FC"/>
            </w:tcBorders>
          </w:tcPr>
          <w:p>
            <w:pPr>
              <w:spacing w:after="0"/>
              <w:rPr>
                <w:sz w:val="19"/>
                <w:szCs w:val="19"/>
                <w:color w:val="auto"/>
              </w:rPr>
            </w:pPr>
          </w:p>
        </w:tc>
      </w:tr>
      <w:tr>
        <w:trPr>
          <w:trHeight w:val="223"/>
        </w:trPr>
        <w:tc>
          <w:tcPr>
            <w:tcW w:w="500" w:type="dxa"/>
            <w:vAlign w:val="bottom"/>
            <w:tcBorders>
              <w:bottom w:val="single" w:sz="8" w:color="CFF0FC"/>
            </w:tcBorders>
            <w:shd w:val="clear" w:color="auto" w:fill="CFF0FC"/>
          </w:tcPr>
          <w:p>
            <w:pPr>
              <w:spacing w:after="0"/>
              <w:rPr>
                <w:sz w:val="19"/>
                <w:szCs w:val="19"/>
                <w:color w:val="auto"/>
              </w:rPr>
            </w:pPr>
          </w:p>
        </w:tc>
        <w:tc>
          <w:tcPr>
            <w:tcW w:w="4660" w:type="dxa"/>
            <w:vAlign w:val="bottom"/>
            <w:tcBorders>
              <w:bottom w:val="single" w:sz="8" w:color="CFF0FC"/>
            </w:tcBorders>
            <w:shd w:val="clear" w:color="auto" w:fill="CFF0FC"/>
          </w:tcPr>
          <w:p>
            <w:pPr>
              <w:spacing w:after="0"/>
              <w:rPr>
                <w:sz w:val="19"/>
                <w:szCs w:val="19"/>
                <w:color w:val="auto"/>
              </w:rPr>
            </w:pPr>
          </w:p>
        </w:tc>
        <w:tc>
          <w:tcPr>
            <w:tcW w:w="25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15,687</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based on quoted market prices at June 30, 2021 and December 31, 2020, was $16.7 billion and $17.3 billion,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2021, Schlumberger replaced its €1.54 billion one-year committed facility with a €750 million three-year committed revolving credit facility maturing in June 2024. At June 30, 2021 no amounts had been drawn under this facility.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revolving credit facility described above, at June 30, 2021, Schlumberger had separate committed credit facility agreements aggregating $5.75 billion with commercial banks, of which $5.56 billion was available and unused. These committed facilities support commercial paper programs in the United States and Europe, of which $2.75 billion matures in February 2023, $2.0 billion matures in February 2025 and $1.0 billion matures in July 2026. Interest rates and other terms of borrowing under these lines of credit vary by facility.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 w:name="page14"/>
    <w:bookmarkEnd w:id="13"/>
    <w:p>
      <w:pPr>
        <w:spacing w:after="0" w:line="308" w:lineRule="auto"/>
        <w:rPr>
          <w:sz w:val="20"/>
          <w:szCs w:val="20"/>
          <w:color w:val="auto"/>
        </w:rPr>
      </w:pPr>
      <w:r>
        <w:rPr>
          <w:rFonts w:ascii="Arial" w:cs="Arial" w:eastAsia="Arial" w:hAnsi="Arial"/>
          <w:sz w:val="18"/>
          <w:szCs w:val="18"/>
          <w:color w:val="auto"/>
        </w:rPr>
        <w:t xml:space="preserve">Borrowings under the commercial paper programs at June 30, 2021 and December 31, 2020 were $0.2 billion and $0.4 billion, respectively, all of which was classified 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Sheet.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2021, Schlumberger repurchased all $665 million of its 3.30% Senior Notes due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2020, Schlumberger issued €400 million of 0.25% Notes due 2027 and €400 million of 0.50% Notes due 2031.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2020, Schlumberger issued €1.0 billion of 1.375% Guaranteed Notes due 2026, $900 million of 2.65% Senior Notes due 2030 and €1.0 billion of 2.00% Guaranteed Notes due 2032.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the second quarter of 2020, Schlumberger repurchased all $600 million of its 4.20% Senior Notes due 2021 and $935 million of its 3.30% Senior Notes due 2021. Schlumberger paid a premium of approximately $40 million in connection with these repurchases. This premium was classified in </w:t>
      </w:r>
      <w:r>
        <w:rPr>
          <w:rFonts w:ascii="Arial" w:cs="Arial" w:eastAsia="Arial" w:hAnsi="Arial"/>
          <w:sz w:val="18"/>
          <w:szCs w:val="18"/>
          <w:i w:val="1"/>
          <w:iCs w:val="1"/>
          <w:color w:val="auto"/>
        </w:rPr>
        <w:t xml:space="preserve">Impairments &amp; other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 (Loss)</w:t>
      </w:r>
      <w:r>
        <w:rPr>
          <w:rFonts w:ascii="Arial" w:cs="Arial" w:eastAsia="Arial" w:hAnsi="Arial"/>
          <w:sz w:val="18"/>
          <w:szCs w:val="18"/>
          <w:color w:val="auto"/>
        </w:rPr>
        <w:t>. See Note 2 –</w:t>
      </w:r>
      <w:r>
        <w:rPr>
          <w:rFonts w:ascii="Arial" w:cs="Arial" w:eastAsia="Arial" w:hAnsi="Arial"/>
          <w:sz w:val="18"/>
          <w:szCs w:val="18"/>
          <w:i w:val="1"/>
          <w:iCs w:val="1"/>
          <w:color w:val="auto"/>
        </w:rPr>
        <w:t xml:space="preserve"> Charges and Credits</w:t>
      </w:r>
      <w:r>
        <w:rPr>
          <w:rFonts w:ascii="Arial" w:cs="Arial" w:eastAsia="Arial" w:hAnsi="Arial"/>
          <w:sz w:val="18"/>
          <w:szCs w:val="18"/>
          <w:color w:val="auto"/>
        </w:rPr>
        <w: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second quarter of 2020, Schlumberger established a €5.0 billion Guaranteed Euro Medium Term Note program that provides for the issuance of various types of debt instruments such as fixed or floating rate notes in euro, US dollar or other currencies. Schlumberger has not issued any debt under this program.</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Schlumberger Limited fully and unconditionally guarantees the securities issued by certain of its subsidiaries, including securities issued by Schlumberger Investment SA and Schlumberger Finance Canada Ltd., both wholly-owned subsidiaries of Schlumberger.</w:t>
      </w:r>
    </w:p>
    <w:p>
      <w:pPr>
        <w:spacing w:after="0" w:line="274"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a multinational company, Schlumberger conducts its business in over 120 countries. Schlumberger’s functional currency is primarily the US dollar.</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uses foreign currency forward contracts to provide a hedge against a portion of these cash flow risks. These contracts are accounted for as cash flow hedges, with the changes in the fair value of the hedge recorded on the </w:t>
      </w:r>
      <w:r>
        <w:rPr>
          <w:rFonts w:ascii="Arial" w:cs="Arial" w:eastAsia="Arial" w:hAnsi="Arial"/>
          <w:sz w:val="17"/>
          <w:szCs w:val="17"/>
          <w:i w:val="1"/>
          <w:iCs w:val="1"/>
          <w:color w:val="auto"/>
        </w:rPr>
        <w:t xml:space="preserve">Consolidated Balance Sheet </w:t>
      </w:r>
      <w:r>
        <w:rPr>
          <w:rFonts w:ascii="Arial" w:cs="Arial" w:eastAsia="Arial" w:hAnsi="Arial"/>
          <w:sz w:val="17"/>
          <w:szCs w:val="17"/>
          <w:color w:val="auto"/>
        </w:rPr>
        <w:t>and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Amounts recorded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are</w:t>
      </w:r>
      <w:r>
        <w:rPr>
          <w:rFonts w:ascii="Arial" w:cs="Arial" w:eastAsia="Arial" w:hAnsi="Arial"/>
          <w:sz w:val="17"/>
          <w:szCs w:val="17"/>
          <w:i w:val="1"/>
          <w:iCs w:val="1"/>
          <w:color w:val="auto"/>
        </w:rPr>
        <w:t xml:space="preserve"> </w:t>
      </w:r>
      <w:r>
        <w:rPr>
          <w:rFonts w:ascii="Arial" w:cs="Arial" w:eastAsia="Arial" w:hAnsi="Arial"/>
          <w:sz w:val="17"/>
          <w:szCs w:val="17"/>
          <w:color w:val="auto"/>
        </w:rPr>
        <w:t>reclassified into earnings in the same period or periods that the hedged item is recognized in earnings.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Schlumberger is also exposed to risks on future cash flows relating to certain of its fixed rate debt denominated in currencies other than the functional currency. Schlumberger uses cross-currency swaps to provide a hedge against these cash flow risks.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was $309 million at June 30, 2021 ($427 million at December 31, 2020) and included in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was $56 million at June 30, 2021 ($13 million at December 31, 2020) relating to the fair value of outstanding cross-currency swap derivatives. The fair value was determined using a model with inputs that are observable in the market or can be derived or corroborated by observable data.</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2019, a US-dollar functional currency subsidiary of Schlumberger issued €1.5 billion of Euro-denominated debt. Schlumberger entered into cross-currency swaps for an aggregate notional amount of €1.5 billion in order to hedge changes in the fair value of its €0.5 billion 0.00% Notes due 2024, €0.5 billion 0.25% Notes due 2027 and €0.5 billion 0.50% Notes due 2031. These cross-currency swaps effectively convert the Euro-denominated notes to US-dollar denominated debt with fixed annual interest rates of 2.29%, 2.51% and 2.76%,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2020, a US-dollar functional currency subsidiary of Schlumberger issued €0.8 billion of Euro-denominated debt. Schlumberger entered into cross-currency swaps for an aggregate notional amount of €0.8 billion in order to hedge changes in the fair value of its €0.4 billion of 0.25% Notes due 2027 and €0.4 billion of 0.50% Notes due 2031. These cross-currency swaps effectively convert the Euro-denominated notes to US-dollar denominated debt with fixed annual interest rates of 1.87% and 2.20%,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second quarter of 2020, a US-dollar functional currency subsidiary of Schlumberger issued €2.0 billion of Euro-denominated debt. Schlumberger entered into cross-currency swaps for an aggregate notional amount of €2.0 billion in order to hedge changes in the fair value of its €1.0 billion of 1.375% Guaranteed Notes due 2026 and €1.0 billion of 2.00% Guaranteed Notes due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2032. These cross-currency swaps effectively convert the swapped portion of the Euro-denominated notes to US-dollar denominated debt with fixed annual interest rates of 2.77% and 3.49%, respectively.</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During the third quarter of 2020, a Canadian dollar functional currency subsidiary of Schlumberger issued $0.5 billion of US dollar denominated debt. Schlumberger entered into cross-currency swaps for an aggregate notional amount of $0.5 billion in order to hedge changes in the fair value of its $0.5 billion 1.40% Senior Notes due 2025. These cross-currency swaps effectively convert the US dollar notes to Canadian dollar denominated debt with a fixed annual interest rate of 1.73%.</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Schlumberger is exposed to changes in the fair value of assets and liabilities denominated in currencies other than the functional currency. While Schlumberger uses foreign currency forward contracts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and changes in the fair value are recognized in the </w:t>
      </w:r>
      <w:r>
        <w:rPr>
          <w:rFonts w:ascii="Arial" w:cs="Arial" w:eastAsia="Arial" w:hAnsi="Arial"/>
          <w:sz w:val="17"/>
          <w:szCs w:val="17"/>
          <w:i w:val="1"/>
          <w:iCs w:val="1"/>
          <w:color w:val="auto"/>
        </w:rPr>
        <w:t>Consolidated Statement of Income (Loss),</w:t>
      </w:r>
      <w:r>
        <w:rPr>
          <w:rFonts w:ascii="Arial" w:cs="Arial" w:eastAsia="Arial" w:hAnsi="Arial"/>
          <w:sz w:val="17"/>
          <w:szCs w:val="17"/>
          <w:color w:val="auto"/>
        </w:rPr>
        <w:t xml:space="preserve"> as are changes in the fair value of the hedged item.</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2021, contracts were outstanding for the US dollar equivalent of $8.5 billion in various foreign currencies, of which $6.2 billion relates to hedges of debt denominated in currencies other than the functional currency.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the previously mentioned cross-currency swaps, the fair value of the other outstanding derivatives was not material at June 30, 2021 and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effect of derivative instruments designated as cash flow hedges, and those not designated as hedges, on the </w:t>
      </w:r>
      <w:r>
        <w:rPr>
          <w:rFonts w:ascii="Arial" w:cs="Arial" w:eastAsia="Arial" w:hAnsi="Arial"/>
          <w:sz w:val="16"/>
          <w:szCs w:val="16"/>
          <w:i w:val="1"/>
          <w:iCs w:val="1"/>
          <w:color w:val="auto"/>
        </w:rPr>
        <w:t>Consolidated Statement of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4"/>
                <w:szCs w:val="14"/>
                <w:i w:val="1"/>
                <w:iCs w:val="1"/>
                <w:color w:val="auto"/>
                <w:w w:val="97"/>
              </w:rPr>
              <w:t>(Stated in millions)</w:t>
            </w: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3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0"/>
          </w:tcPr>
          <w:p>
            <w:pPr>
              <w:jc w:val="right"/>
              <w:ind w:right="67"/>
              <w:spacing w:after="0"/>
              <w:rPr>
                <w:sz w:val="20"/>
                <w:szCs w:val="20"/>
                <w:color w:val="auto"/>
              </w:rPr>
            </w:pPr>
            <w:r>
              <w:rPr>
                <w:rFonts w:ascii="Arial" w:cs="Arial" w:eastAsia="Arial" w:hAnsi="Arial"/>
                <w:sz w:val="16"/>
                <w:szCs w:val="16"/>
                <w:b w:val="1"/>
                <w:bCs w:val="1"/>
                <w:color w:val="auto"/>
                <w:w w:val="93"/>
              </w:rPr>
              <w:t>Gain (Loss) Recognized in Income (Loss)</w:t>
            </w:r>
          </w:p>
        </w:tc>
        <w:tc>
          <w:tcPr>
            <w:tcW w:w="6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140" w:type="dxa"/>
            <w:vAlign w:val="bottom"/>
          </w:tcPr>
          <w:p>
            <w:pPr>
              <w:spacing w:after="0"/>
              <w:rPr>
                <w:sz w:val="17"/>
                <w:szCs w:val="17"/>
                <w:color w:val="auto"/>
              </w:rPr>
            </w:pPr>
          </w:p>
        </w:tc>
        <w:tc>
          <w:tcPr>
            <w:tcW w:w="182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6"/>
                <w:szCs w:val="16"/>
                <w:b w:val="1"/>
                <w:bCs w:val="1"/>
                <w:color w:val="auto"/>
              </w:rPr>
              <w:t>Second Quarter</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w:t>
            </w: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4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Consolidated Statement of Income (Loss)</w:t>
            </w: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232"/>
              <w:spacing w:after="0"/>
              <w:rPr>
                <w:sz w:val="20"/>
                <w:szCs w:val="20"/>
                <w:color w:val="auto"/>
              </w:rPr>
            </w:pPr>
            <w:r>
              <w:rPr>
                <w:rFonts w:ascii="Arial" w:cs="Arial" w:eastAsia="Arial" w:hAnsi="Arial"/>
                <w:sz w:val="16"/>
                <w:szCs w:val="16"/>
                <w:color w:val="auto"/>
                <w:w w:val="89"/>
              </w:rPr>
              <w:t>2020</w:t>
            </w:r>
          </w:p>
        </w:tc>
        <w:tc>
          <w:tcPr>
            <w:tcW w:w="2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Classification</w:t>
            </w:r>
          </w:p>
        </w:tc>
        <w:tc>
          <w:tcPr>
            <w:tcW w:w="0" w:type="dxa"/>
            <w:vAlign w:val="bottom"/>
          </w:tcPr>
          <w:p>
            <w:pPr>
              <w:spacing w:after="0"/>
              <w:rPr>
                <w:sz w:val="1"/>
                <w:szCs w:val="1"/>
                <w:color w:val="auto"/>
              </w:rPr>
            </w:pPr>
          </w:p>
        </w:tc>
      </w:tr>
      <w:tr>
        <w:trPr>
          <w:trHeight w:val="212"/>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cash flow</w:t>
            </w:r>
          </w:p>
        </w:tc>
        <w:tc>
          <w:tcPr>
            <w:tcW w:w="6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4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hedges:</w:t>
            </w: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60"/>
              <w:spacing w:after="0"/>
              <w:rPr>
                <w:sz w:val="20"/>
                <w:szCs w:val="20"/>
                <w:color w:val="auto"/>
              </w:rPr>
            </w:pPr>
            <w:r>
              <w:rPr>
                <w:rFonts w:ascii="Arial" w:cs="Arial" w:eastAsia="Arial" w:hAnsi="Arial"/>
                <w:sz w:val="18"/>
                <w:szCs w:val="18"/>
                <w:color w:val="auto"/>
              </w:rPr>
              <w:t>Cross currency swaps</w:t>
            </w:r>
          </w:p>
        </w:tc>
        <w:tc>
          <w:tcPr>
            <w:tcW w:w="640" w:type="dxa"/>
            <w:vAlign w:val="bottom"/>
          </w:tcPr>
          <w:p>
            <w:pPr>
              <w:jc w:val="right"/>
              <w:ind w:right="454"/>
              <w:spacing w:after="0"/>
              <w:rPr>
                <w:sz w:val="20"/>
                <w:szCs w:val="20"/>
                <w:color w:val="auto"/>
              </w:rPr>
            </w:pPr>
            <w:r>
              <w:rPr>
                <w:rFonts w:ascii="Arial" w:cs="Arial" w:eastAsia="Arial" w:hAnsi="Arial"/>
                <w:sz w:val="18"/>
                <w:szCs w:val="18"/>
                <w:b w:val="1"/>
                <w:bCs w:val="1"/>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19"/>
                <w:szCs w:val="19"/>
                <w:color w:val="auto"/>
              </w:rPr>
            </w:pPr>
          </w:p>
        </w:tc>
        <w:tc>
          <w:tcPr>
            <w:tcW w:w="76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(178)</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i w:val="1"/>
                <w:iCs w:val="1"/>
                <w:color w:val="auto"/>
              </w:rPr>
              <w:t>Cost of services/sales</w:t>
            </w: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contracts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34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Cost of services/sales</w:t>
            </w:r>
          </w:p>
        </w:tc>
        <w:tc>
          <w:tcPr>
            <w:tcW w:w="0" w:type="dxa"/>
            <w:vAlign w:val="bottom"/>
          </w:tcPr>
          <w:p>
            <w:pPr>
              <w:spacing w:after="0"/>
              <w:rPr>
                <w:sz w:val="1"/>
                <w:szCs w:val="1"/>
                <w:color w:val="auto"/>
              </w:rPr>
            </w:pPr>
          </w:p>
        </w:tc>
      </w:tr>
      <w:tr>
        <w:trPr>
          <w:trHeight w:val="263"/>
        </w:trPr>
        <w:tc>
          <w:tcPr>
            <w:tcW w:w="314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w:t>
            </w:r>
          </w:p>
        </w:tc>
        <w:tc>
          <w:tcPr>
            <w:tcW w:w="2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FF0FC"/>
            </w:tcBorders>
          </w:tcPr>
          <w:p>
            <w:pPr>
              <w:spacing w:after="0"/>
              <w:rPr>
                <w:sz w:val="22"/>
                <w:szCs w:val="22"/>
                <w:color w:val="auto"/>
              </w:rPr>
            </w:pPr>
          </w:p>
        </w:tc>
        <w:tc>
          <w:tcPr>
            <w:tcW w:w="34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260"/>
              <w:spacing w:after="0"/>
              <w:rPr>
                <w:sz w:val="20"/>
                <w:szCs w:val="20"/>
                <w:color w:val="auto"/>
              </w:rPr>
            </w:pPr>
            <w:r>
              <w:rPr>
                <w:rFonts w:ascii="Arial" w:cs="Arial" w:eastAsia="Arial" w:hAnsi="Arial"/>
                <w:sz w:val="18"/>
                <w:szCs w:val="18"/>
                <w:color w:val="auto"/>
              </w:rPr>
              <w:t>Foreign exchange contracts</w:t>
            </w:r>
          </w:p>
        </w:tc>
        <w:tc>
          <w:tcPr>
            <w:tcW w:w="640" w:type="dxa"/>
            <w:vAlign w:val="bottom"/>
          </w:tcPr>
          <w:p>
            <w:pPr>
              <w:jc w:val="right"/>
              <w:ind w:right="454"/>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(32)</w:t>
            </w:r>
          </w:p>
        </w:tc>
        <w:tc>
          <w:tcPr>
            <w:tcW w:w="76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(26)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i w:val="1"/>
                <w:iCs w:val="1"/>
                <w:color w:val="auto"/>
              </w:rPr>
              <w:t>Cost of services/sales</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5"/>
              </w:rPr>
              <w:t>(Stated in millions)</w:t>
            </w: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Second Quarter 2021</w:t>
            </w:r>
          </w:p>
        </w:tc>
        <w:tc>
          <w:tcPr>
            <w:tcW w:w="180" w:type="dxa"/>
            <w:vAlign w:val="bottom"/>
          </w:tcPr>
          <w:p>
            <w:pPr>
              <w:spacing w:after="0"/>
              <w:rPr>
                <w:sz w:val="24"/>
                <w:szCs w:val="24"/>
                <w:color w:val="auto"/>
              </w:rPr>
            </w:pPr>
          </w:p>
        </w:tc>
        <w:tc>
          <w:tcPr>
            <w:tcW w:w="2500" w:type="dxa"/>
            <w:vAlign w:val="bottom"/>
            <w:gridSpan w:val="5"/>
          </w:tcPr>
          <w:p>
            <w:pPr>
              <w:jc w:val="right"/>
              <w:ind w:right="640"/>
              <w:spacing w:after="0"/>
              <w:rPr>
                <w:sz w:val="20"/>
                <w:szCs w:val="20"/>
                <w:color w:val="auto"/>
              </w:rPr>
            </w:pPr>
            <w:r>
              <w:rPr>
                <w:rFonts w:ascii="Arial" w:cs="Arial" w:eastAsia="Arial" w:hAnsi="Arial"/>
                <w:sz w:val="18"/>
                <w:szCs w:val="18"/>
                <w:color w:val="auto"/>
              </w:rPr>
              <w:t>Second Quarter 2020</w:t>
            </w:r>
          </w:p>
        </w:tc>
      </w:tr>
      <w:tr>
        <w:trPr>
          <w:trHeight w:val="218"/>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r>
      <w:tr>
        <w:trPr>
          <w:trHeight w:val="229"/>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2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Taxes</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2,110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1,681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(91)</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(66)</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(138)</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(132)</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(3,724)</w:t>
            </w:r>
          </w:p>
        </w:tc>
      </w:tr>
      <w:tr>
        <w:trPr>
          <w:trHeight w:val="223"/>
        </w:trPr>
        <w:tc>
          <w:tcPr>
            <w:tcW w:w="372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1" w:lineRule="exact"/>
        <w:rPr>
          <w:sz w:val="20"/>
          <w:szCs w:val="20"/>
          <w:color w:val="auto"/>
        </w:rPr>
      </w:pPr>
    </w:p>
    <w:p>
      <w:pPr>
        <w:ind w:left="380" w:right="20" w:hanging="372"/>
        <w:spacing w:after="0" w:line="193" w:lineRule="auto"/>
        <w:tabs>
          <w:tab w:leader="none" w:pos="380" w:val="left"/>
        </w:tabs>
        <w:numPr>
          <w:ilvl w:val="0"/>
          <w:numId w:val="17"/>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Arial" w:cs="Arial" w:eastAsia="Arial" w:hAnsi="Arial"/>
          <w:sz w:val="28"/>
          <w:szCs w:val="28"/>
          <w:color w:val="auto"/>
          <w:vertAlign w:val="superscript"/>
        </w:rPr>
      </w:pPr>
    </w:p>
    <w:p>
      <w:pPr>
        <w:ind w:left="380" w:hanging="372"/>
        <w:spacing w:after="0" w:line="231" w:lineRule="auto"/>
        <w:tabs>
          <w:tab w:leader="none" w:pos="380" w:val="left"/>
        </w:tabs>
        <w:numPr>
          <w:ilvl w:val="0"/>
          <w:numId w:val="17"/>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($1 million in 2021; $- million in 2020).</w:t>
      </w:r>
    </w:p>
    <w:p>
      <w:pPr>
        <w:spacing w:after="0" w:line="118"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($4 million in 2021; $7 million in 2020).</w:t>
      </w:r>
    </w:p>
    <w:p>
      <w:pPr>
        <w:spacing w:after="0" w:line="118"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5"/>
              </w:rPr>
              <w:t>(Stated in millions)</w:t>
            </w: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Six Months 2021</w:t>
            </w:r>
          </w:p>
        </w:tc>
        <w:tc>
          <w:tcPr>
            <w:tcW w:w="180" w:type="dxa"/>
            <w:vAlign w:val="bottom"/>
          </w:tcPr>
          <w:p>
            <w:pPr>
              <w:spacing w:after="0"/>
              <w:rPr>
                <w:sz w:val="24"/>
                <w:szCs w:val="24"/>
                <w:color w:val="auto"/>
              </w:rPr>
            </w:pPr>
          </w:p>
        </w:tc>
        <w:tc>
          <w:tcPr>
            <w:tcW w:w="2500" w:type="dxa"/>
            <w:vAlign w:val="bottom"/>
            <w:gridSpan w:val="5"/>
          </w:tcPr>
          <w:p>
            <w:pPr>
              <w:jc w:val="right"/>
              <w:ind w:right="780"/>
              <w:spacing w:after="0"/>
              <w:rPr>
                <w:sz w:val="20"/>
                <w:szCs w:val="20"/>
                <w:color w:val="auto"/>
              </w:rPr>
            </w:pPr>
            <w:r>
              <w:rPr>
                <w:rFonts w:ascii="Arial" w:cs="Arial" w:eastAsia="Arial" w:hAnsi="Arial"/>
                <w:sz w:val="18"/>
                <w:szCs w:val="18"/>
                <w:color w:val="auto"/>
              </w:rPr>
              <w:t>Six Months 2020</w:t>
            </w:r>
          </w:p>
        </w:tc>
      </w:tr>
      <w:tr>
        <w:trPr>
          <w:trHeight w:val="218"/>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r>
      <w:tr>
        <w:trPr>
          <w:trHeight w:val="230"/>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2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Taxes</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1,590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4,045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3,271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(168)</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(99)</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(288)</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(397)</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(264)</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(266)</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(12,247)</w:t>
            </w:r>
          </w:p>
        </w:tc>
      </w:tr>
      <w:tr>
        <w:trPr>
          <w:trHeight w:val="223"/>
        </w:trPr>
        <w:tc>
          <w:tcPr>
            <w:tcW w:w="372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380" w:right="20" w:hanging="372"/>
        <w:spacing w:after="0" w:line="193" w:lineRule="auto"/>
        <w:tabs>
          <w:tab w:leader="none" w:pos="380" w:val="left"/>
        </w:tabs>
        <w:numPr>
          <w:ilvl w:val="0"/>
          <w:numId w:val="18"/>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Arial" w:cs="Arial" w:eastAsia="Arial" w:hAnsi="Arial"/>
          <w:sz w:val="28"/>
          <w:szCs w:val="28"/>
          <w:color w:val="auto"/>
          <w:vertAlign w:val="superscript"/>
        </w:rPr>
      </w:pPr>
    </w:p>
    <w:p>
      <w:pPr>
        <w:ind w:left="380" w:hanging="372"/>
        <w:spacing w:after="0" w:line="231" w:lineRule="auto"/>
        <w:tabs>
          <w:tab w:leader="none" w:pos="380" w:val="left"/>
        </w:tabs>
        <w:numPr>
          <w:ilvl w:val="0"/>
          <w:numId w:val="18"/>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($1 million in 2021; $1 million in 2020).</w:t>
      </w:r>
    </w:p>
    <w:p>
      <w:pPr>
        <w:spacing w:after="0" w:line="118"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($8 million in 2021; $15 million in 2020).</w:t>
      </w:r>
    </w:p>
    <w:p>
      <w:pPr>
        <w:spacing w:after="0" w:line="118"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Revenue by geographic area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Second Quarter</w:t>
            </w:r>
          </w:p>
        </w:tc>
        <w:tc>
          <w:tcPr>
            <w:tcW w:w="24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680" w:type="dxa"/>
            <w:vAlign w:val="bottom"/>
            <w:tcBorders>
              <w:bottom w:val="single" w:sz="8" w:color="CFF0FC"/>
            </w:tcBorders>
          </w:tcPr>
          <w:p>
            <w:pPr>
              <w:spacing w:after="0"/>
              <w:rPr>
                <w:sz w:val="19"/>
                <w:szCs w:val="19"/>
                <w:color w:val="auto"/>
              </w:rPr>
            </w:pPr>
          </w:p>
        </w:tc>
        <w:tc>
          <w:tcPr>
            <w:tcW w:w="21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1,083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2,055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w:t>
            </w:r>
          </w:p>
        </w:tc>
        <w:tc>
          <w:tcPr>
            <w:tcW w:w="120" w:type="dxa"/>
            <w:vAlign w:val="bottom"/>
            <w:shd w:val="clear" w:color="auto" w:fill="CFF0FC"/>
          </w:tcPr>
          <w:p>
            <w:pPr>
              <w:spacing w:after="0"/>
              <w:rPr>
                <w:sz w:val="19"/>
                <w:szCs w:val="19"/>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Latin America</w:t>
            </w: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1,057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2,095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19"/>
                <w:szCs w:val="19"/>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2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1,453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2,709</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3,201</w:t>
            </w:r>
          </w:p>
        </w:tc>
        <w:tc>
          <w:tcPr>
            <w:tcW w:w="120" w:type="dxa"/>
            <w:vAlign w:val="bottom"/>
            <w:shd w:val="clear" w:color="auto" w:fill="CFF0FC"/>
          </w:tcPr>
          <w:p>
            <w:pPr>
              <w:spacing w:after="0"/>
              <w:rPr>
                <w:sz w:val="19"/>
                <w:szCs w:val="19"/>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Middle East &amp; Asia</w:t>
            </w: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3,918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4,573</w:t>
            </w:r>
          </w:p>
        </w:tc>
        <w:tc>
          <w:tcPr>
            <w:tcW w:w="120" w:type="dxa"/>
            <w:vAlign w:val="bottom"/>
          </w:tcPr>
          <w:p>
            <w:pPr>
              <w:spacing w:after="0"/>
              <w:rPr>
                <w:sz w:val="19"/>
                <w:szCs w:val="19"/>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r>
      <w:tr>
        <w:trPr>
          <w:trHeight w:val="223"/>
        </w:trPr>
        <w:tc>
          <w:tcPr>
            <w:tcW w:w="36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5,634</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10,857</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12,811</w:t>
            </w:r>
          </w:p>
        </w:tc>
        <w:tc>
          <w:tcPr>
            <w:tcW w:w="12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North America and International revenue disaggregated by segment was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44"/>
        </w:trPr>
        <w:tc>
          <w:tcPr>
            <w:tcW w:w="3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8"/>
                <w:szCs w:val="18"/>
                <w:b w:val="1"/>
                <w:bCs w:val="1"/>
                <w:color w:val="auto"/>
              </w:rPr>
              <w:t>Second Quarter 2021</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North</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Eliminations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America</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8"/>
              </w:rPr>
              <w:t>International</w:t>
            </w:r>
          </w:p>
        </w:tc>
        <w:tc>
          <w:tcPr>
            <w:tcW w:w="100" w:type="dxa"/>
            <w:vAlign w:val="bottom"/>
          </w:tcPr>
          <w:p>
            <w:pPr>
              <w:spacing w:after="0"/>
              <w:rPr>
                <w:sz w:val="20"/>
                <w:szCs w:val="20"/>
                <w:color w:val="auto"/>
              </w:rPr>
            </w:pPr>
          </w:p>
        </w:tc>
        <w:tc>
          <w:tcPr>
            <w:tcW w:w="880" w:type="dxa"/>
            <w:vAlign w:val="bottom"/>
          </w:tcPr>
          <w:p>
            <w:pPr>
              <w:jc w:val="center"/>
              <w:ind w:left="158"/>
              <w:spacing w:after="0"/>
              <w:rPr>
                <w:sz w:val="20"/>
                <w:szCs w:val="20"/>
                <w:color w:val="auto"/>
              </w:rPr>
            </w:pPr>
            <w:r>
              <w:rPr>
                <w:rFonts w:ascii="Arial" w:cs="Arial" w:eastAsia="Arial" w:hAnsi="Arial"/>
                <w:sz w:val="18"/>
                <w:szCs w:val="18"/>
                <w:b w:val="1"/>
                <w:bCs w:val="1"/>
                <w:color w:val="auto"/>
                <w:w w:val="95"/>
              </w:rPr>
              <w:t>&amp; other</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18"/>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Reservoir Performance</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Production Systems</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(80)</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9"/>
              </w:rPr>
              <w:t>(14)</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8"/>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138"/>
              <w:spacing w:after="0"/>
              <w:rPr>
                <w:sz w:val="20"/>
                <w:szCs w:val="20"/>
                <w:color w:val="auto"/>
              </w:rPr>
            </w:pPr>
            <w:r>
              <w:rPr>
                <w:rFonts w:ascii="Arial" w:cs="Arial" w:eastAsia="Arial" w:hAnsi="Arial"/>
                <w:sz w:val="18"/>
                <w:szCs w:val="18"/>
                <w:color w:val="auto"/>
              </w:rPr>
              <w:t>Second Quarter 2020</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North</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Eliminations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America</w:t>
            </w: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International</w:t>
            </w:r>
          </w:p>
        </w:tc>
        <w:tc>
          <w:tcPr>
            <w:tcW w:w="100" w:type="dxa"/>
            <w:vAlign w:val="bottom"/>
          </w:tcPr>
          <w:p>
            <w:pPr>
              <w:spacing w:after="0"/>
              <w:rPr>
                <w:sz w:val="20"/>
                <w:szCs w:val="20"/>
                <w:color w:val="auto"/>
              </w:rPr>
            </w:pPr>
          </w:p>
        </w:tc>
        <w:tc>
          <w:tcPr>
            <w:tcW w:w="880" w:type="dxa"/>
            <w:vAlign w:val="bottom"/>
          </w:tcPr>
          <w:p>
            <w:pPr>
              <w:jc w:val="center"/>
              <w:ind w:left="158"/>
              <w:spacing w:after="0"/>
              <w:rPr>
                <w:sz w:val="20"/>
                <w:szCs w:val="20"/>
                <w:color w:val="auto"/>
              </w:rPr>
            </w:pPr>
            <w:r>
              <w:rPr>
                <w:rFonts w:ascii="Arial" w:cs="Arial" w:eastAsia="Arial" w:hAnsi="Arial"/>
                <w:sz w:val="18"/>
                <w:szCs w:val="18"/>
                <w:color w:val="auto"/>
                <w:w w:val="96"/>
              </w:rPr>
              <w:t>&amp; other</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1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Reservoir Performance</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Production Systems</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(28)</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1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6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5"/>
              </w:rPr>
              <w:t>(Stated in millions)</w:t>
            </w: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Six Months 2021</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North</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Eliminations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America</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8"/>
              </w:rPr>
              <w:t>International</w:t>
            </w:r>
          </w:p>
        </w:tc>
        <w:tc>
          <w:tcPr>
            <w:tcW w:w="880" w:type="dxa"/>
            <w:vAlign w:val="bottom"/>
          </w:tcPr>
          <w:p>
            <w:pPr>
              <w:jc w:val="center"/>
              <w:ind w:left="190"/>
              <w:spacing w:after="0"/>
              <w:rPr>
                <w:sz w:val="20"/>
                <w:szCs w:val="20"/>
                <w:color w:val="auto"/>
              </w:rPr>
            </w:pPr>
            <w:r>
              <w:rPr>
                <w:rFonts w:ascii="Arial" w:cs="Arial" w:eastAsia="Arial" w:hAnsi="Arial"/>
                <w:sz w:val="18"/>
                <w:szCs w:val="18"/>
                <w:b w:val="1"/>
                <w:bCs w:val="1"/>
                <w:color w:val="auto"/>
                <w:w w:val="95"/>
              </w:rPr>
              <w:t>&amp; other</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1,235</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1,590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1,960</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2,119</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3,285</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4,045</w:t>
            </w:r>
          </w:p>
        </w:tc>
        <w:tc>
          <w:tcPr>
            <w:tcW w:w="100" w:type="dxa"/>
            <w:vAlign w:val="bottom"/>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878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2,382</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3,271</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(140)</w:t>
            </w:r>
          </w:p>
        </w:tc>
        <w:tc>
          <w:tcPr>
            <w:tcW w:w="8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w w:val="99"/>
              </w:rPr>
              <w:t>(33)</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(168)</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2,055</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8,722</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10,857</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Six Months 2020</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North</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Eliminations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America</w:t>
            </w:r>
          </w:p>
        </w:tc>
        <w:tc>
          <w:tcPr>
            <w:tcW w:w="100" w:type="dxa"/>
            <w:vAlign w:val="bottom"/>
          </w:tcPr>
          <w:p>
            <w:pPr>
              <w:spacing w:after="0"/>
              <w:rPr>
                <w:sz w:val="20"/>
                <w:szCs w:val="20"/>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International</w:t>
            </w:r>
          </w:p>
        </w:tc>
        <w:tc>
          <w:tcPr>
            <w:tcW w:w="880" w:type="dxa"/>
            <w:vAlign w:val="bottom"/>
          </w:tcPr>
          <w:p>
            <w:pPr>
              <w:jc w:val="center"/>
              <w:ind w:left="190"/>
              <w:spacing w:after="0"/>
              <w:rPr>
                <w:sz w:val="20"/>
                <w:szCs w:val="20"/>
                <w:color w:val="auto"/>
              </w:rPr>
            </w:pPr>
            <w:r>
              <w:rPr>
                <w:rFonts w:ascii="Arial" w:cs="Arial" w:eastAsia="Arial" w:hAnsi="Arial"/>
                <w:sz w:val="18"/>
                <w:szCs w:val="18"/>
                <w:color w:val="auto"/>
                <w:w w:val="96"/>
              </w:rPr>
              <w:t>&amp; other</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Total</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3,827</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112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w:t>
            </w:r>
          </w:p>
        </w:tc>
        <w:tc>
          <w:tcPr>
            <w:tcW w:w="100" w:type="dxa"/>
            <w:vAlign w:val="bottom"/>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2,349</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3,469</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w:t>
            </w:r>
          </w:p>
        </w:tc>
        <w:tc>
          <w:tcPr>
            <w:tcW w:w="8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(57)</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(204)</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3,277</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9,449</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12,811</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Revenue in excess of billings related to contracts where revenue is recognized over time was $0.2 billion at both June 30, 2021 and December 31, 2020. Such amounts are included within </w:t>
      </w:r>
      <w:r>
        <w:rPr>
          <w:rFonts w:ascii="Arial" w:cs="Arial" w:eastAsia="Arial" w:hAnsi="Arial"/>
          <w:sz w:val="18"/>
          <w:szCs w:val="18"/>
          <w:i w:val="1"/>
          <w:iCs w:val="1"/>
          <w:color w:val="auto"/>
        </w:rPr>
        <w:t>Receivables less allowance for doubtful accounts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nature of its business, Schlumberger does not have significant backlog. Total backlog was $3.0 billion at June 30, 2021, of which approximately 50% is expected to be recognized as revenue over the next 12 months.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Billings and cash collections in excess of revenue was $1.0 billion at June 30, 2021 and $0.9 billion at December 31, 2020. Such amounts are included within </w:t>
      </w:r>
      <w:r>
        <w:rPr>
          <w:rFonts w:ascii="Arial" w:cs="Arial" w:eastAsia="Arial" w:hAnsi="Arial"/>
          <w:sz w:val="18"/>
          <w:szCs w:val="18"/>
          <w:i w:val="1"/>
          <w:iCs w:val="1"/>
          <w:color w:val="auto"/>
        </w:rPr>
        <w:t>Accounts payable and accrued liabilities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274"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pension (credit) cost for the Schlumberger pension plans included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5"/>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30"/>
        </w:trPr>
        <w:tc>
          <w:tcPr>
            <w:tcW w:w="3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8"/>
                <w:szCs w:val="18"/>
                <w:b w:val="1"/>
                <w:bCs w:val="1"/>
                <w:color w:val="auto"/>
                <w:w w:val="93"/>
              </w:rPr>
              <w:t>Second Quarter</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8"/>
                <w:szCs w:val="18"/>
                <w:b w:val="1"/>
                <w:bCs w:val="1"/>
                <w:color w:val="auto"/>
              </w:rPr>
              <w:t>Six Months</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19"/>
                <w:szCs w:val="19"/>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rPr>
              <w:t>Int’l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US</w:t>
            </w:r>
          </w:p>
        </w:tc>
        <w:tc>
          <w:tcPr>
            <w:tcW w:w="16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Int’l</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rPr>
              <w:t>Int’l</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US</w:t>
            </w:r>
          </w:p>
        </w:tc>
        <w:tc>
          <w:tcPr>
            <w:tcW w:w="16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Int’l</w:t>
            </w:r>
          </w:p>
        </w:tc>
        <w:tc>
          <w:tcPr>
            <w:tcW w:w="120" w:type="dxa"/>
            <w:vAlign w:val="bottom"/>
          </w:tcPr>
          <w:p>
            <w:pPr>
              <w:spacing w:after="0"/>
              <w:rPr>
                <w:sz w:val="19"/>
                <w:szCs w:val="19"/>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 cost</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(64)</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(161)</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(127)</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(319)</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(294)</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1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9"/>
                <w:szCs w:val="19"/>
                <w:color w:val="auto"/>
              </w:rPr>
            </w:pPr>
          </w:p>
        </w:tc>
      </w:tr>
      <w:tr>
        <w:trPr>
          <w:trHeight w:val="223"/>
        </w:trPr>
        <w:tc>
          <w:tcPr>
            <w:tcW w:w="39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w:t>
            </w:r>
          </w:p>
        </w:tc>
        <w:tc>
          <w:tcPr>
            <w:tcW w:w="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5"/>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net periodic benefit credit for the Schlumberger US postretirement medical plan included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431"/>
        </w:trPr>
        <w:tc>
          <w:tcPr>
            <w:tcW w:w="4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Second Quarter</w:t>
            </w: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6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58"/>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Interest cost</w:t>
            </w: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6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(12)</w:t>
            </w: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(26)</w:t>
            </w: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w:t>
            </w:r>
          </w:p>
        </w:tc>
        <w:tc>
          <w:tcPr>
            <w:tcW w:w="8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w:t>
            </w: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Curtailment gain</w:t>
            </w:r>
          </w:p>
        </w:tc>
        <w:tc>
          <w:tcPr>
            <w:tcW w:w="16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820" w:type="dxa"/>
            <w:vAlign w:val="bottom"/>
          </w:tcPr>
          <w:p>
            <w:pPr>
              <w:jc w:val="right"/>
              <w:ind w:right="658"/>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(74)</w:t>
            </w:r>
          </w:p>
        </w:tc>
        <w:tc>
          <w:tcPr>
            <w:tcW w:w="24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Due to the actions taken by Schlumberger to reduce its global workforce during 2020, Schlumberger experienced a significant reduction in the expected aggregate years of future service of its employees in its US postretirement medical plan. Accordingly, Schlumberger recorded a curtailment gain of $69 million during the second quarter of 2020 relating to this plan. The curtailment gain includes recognition of the decrease in the benefit obligation as well as a portion of the previously unrecognized prior service credit, reflecting the reduction in expected years of future service. As a result of the curtailment, Schlumberger performed a remeasurement of the plan, which had an immaterial impact. This gain was classified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 See Note 2 –</w:t>
      </w:r>
      <w:r>
        <w:rPr>
          <w:rFonts w:ascii="Arial" w:cs="Arial" w:eastAsia="Arial" w:hAnsi="Arial"/>
          <w:sz w:val="18"/>
          <w:szCs w:val="18"/>
          <w:i w:val="1"/>
          <w:iCs w:val="1"/>
          <w:color w:val="auto"/>
        </w:rPr>
        <w:t xml:space="preserve"> Charges and Credits</w:t>
      </w:r>
      <w:r>
        <w:rPr>
          <w:rFonts w:ascii="Arial" w:cs="Arial" w:eastAsia="Arial" w:hAnsi="Arial"/>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Due to the cyclical nature of the industry in which Schlumberger operates and in order to provide a more meaningful analysis relevant to Schlumberger’s business, this section of the Form 10-Q discusses second-quarter 2021 results of operations and comparisons to first-quarter 2021, as well as the first six months of 2021 results of operations and comparisons to the first six months of 2020. Detailed financial information with respect to first-quarter 2021 can be found in Part I, Item 1, “Financial Statements” of Schlumberger’s Quarterly Report on Form 10-Q for the fiscal quarter ended March 31, 2021.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Quarter 2021 Compared to First Quarter 2021</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w w:val="95"/>
              </w:rPr>
              <w:t>Second Quarter 2021</w:t>
            </w:r>
          </w:p>
        </w:tc>
        <w:tc>
          <w:tcPr>
            <w:tcW w:w="3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First Quarter 2021</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Income Before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2"/>
              </w:rPr>
              <w:t>Income Before</w:t>
            </w:r>
          </w:p>
        </w:tc>
        <w:tc>
          <w:tcPr>
            <w:tcW w:w="10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800" w:type="dxa"/>
            <w:vAlign w:val="bottom"/>
          </w:tcPr>
          <w:p>
            <w:pPr>
              <w:ind w:left="360"/>
              <w:spacing w:after="0"/>
              <w:rPr>
                <w:sz w:val="20"/>
                <w:szCs w:val="20"/>
                <w:color w:val="auto"/>
              </w:rPr>
            </w:pPr>
            <w:r>
              <w:rPr>
                <w:rFonts w:ascii="Arial" w:cs="Arial" w:eastAsia="Arial" w:hAnsi="Arial"/>
                <w:sz w:val="18"/>
                <w:szCs w:val="18"/>
                <w:b w:val="1"/>
                <w:bCs w:val="1"/>
                <w:color w:val="auto"/>
                <w:w w:val="82"/>
              </w:rPr>
              <w:t>Taxes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Taxes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817</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1,117</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1,002</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2,110</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1,681</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1,590</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(91)</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(66)</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(77)</w:t>
            </w: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w w:val="95"/>
              </w:rPr>
              <w:t>(138)</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(150)</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w w:val="95"/>
              </w:rPr>
              <w:t>(132)</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(132)</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5,634</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542</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0" w:lineRule="exact"/>
        <w:rPr>
          <w:sz w:val="20"/>
          <w:szCs w:val="20"/>
          <w:color w:val="auto"/>
        </w:rPr>
      </w:pPr>
    </w:p>
    <w:p>
      <w:pPr>
        <w:ind w:left="380" w:right="20" w:hanging="372"/>
        <w:spacing w:after="0" w:line="193" w:lineRule="auto"/>
        <w:tabs>
          <w:tab w:leader="none" w:pos="380" w:val="left"/>
        </w:tabs>
        <w:numPr>
          <w:ilvl w:val="0"/>
          <w:numId w:val="20"/>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3" w:lineRule="exact"/>
        <w:rPr>
          <w:rFonts w:ascii="Arial" w:cs="Arial" w:eastAsia="Arial" w:hAnsi="Arial"/>
          <w:sz w:val="28"/>
          <w:szCs w:val="28"/>
          <w:color w:val="auto"/>
          <w:vertAlign w:val="superscript"/>
        </w:rPr>
      </w:pPr>
    </w:p>
    <w:p>
      <w:pPr>
        <w:ind w:left="380" w:hanging="372"/>
        <w:spacing w:after="0"/>
        <w:tabs>
          <w:tab w:leader="none" w:pos="380" w:val="left"/>
        </w:tabs>
        <w:numPr>
          <w:ilvl w:val="0"/>
          <w:numId w:val="20"/>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($1 million in Q2 2021; $1 million in Q1 2021).</w:t>
      </w:r>
    </w:p>
    <w:p>
      <w:pPr>
        <w:spacing w:after="0" w:line="118"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($4 million in Q2 2021; $4 million in Q1 2021).</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Second-quarter global revenue grew 8% sequentially, outperforming the rig count growth in both North America and the international markets. All four Divisions grew resulting in the highest sequential quarterly revenue growth rate since the second quarter of 2017.</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North America, revenue grew 11% sequentially, representing the highest sequential quarterly growth rate for this area since the third quarter of 2017. This performance was driven by US land revenue, which increased 19% due to higher drilling activity and increased sales of well and surface production systems. Well Construction revenue in US land grew more than 30% sequentially, significantly outperforming the rig count growth of 16%. In addition, Canada land revenue increased despite the spring breakup, due to higher Asset Performance Solutions (“APS”) project revenue, while North America offshore revenue was slightly higher due to sales of subsea production systems.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 revenue grew 7% sequentially with all four Divisions registering growth. The revenue growth outpaced the international rig count increase as activity surpassed the impact of the seasonal recovery in the Northern Hemisphere.</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Globally, the second-quarter revenue growth was led by Reservoir Performance and Well Construction, where activity intensified beyond the seasonal recovery. Reservoir Performance revenue increased 12% sequentially due to the seasonal activity rebound in the Northern Hemisphere, in addition to higher exploration and appraisal activity. Well Construction revenue increased 9% sequentially from increased drilling activity in US land and broadly across the international markets, particularly offshore. Digital &amp; Integration revenue increased 6% sequentially due to higher sales of digital solutions and higher APS project revenue. Production Systems revenue grew 6%, primarily due to higher sales of well, surface, and subsea production systems.</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Sequentially, second-quarter pretax segment operating income increased 22%. Pretax segment operating margin expanded by 162 basis points (“bps”) to 14%, the highest margin since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both"/>
        <w:spacing w:after="0" w:line="296" w:lineRule="auto"/>
        <w:rPr>
          <w:sz w:val="20"/>
          <w:szCs w:val="20"/>
          <w:color w:val="auto"/>
        </w:rPr>
      </w:pPr>
      <w:r>
        <w:rPr>
          <w:rFonts w:ascii="Arial" w:cs="Arial" w:eastAsia="Arial" w:hAnsi="Arial"/>
          <w:sz w:val="16"/>
          <w:szCs w:val="16"/>
          <w:color w:val="auto"/>
        </w:rPr>
        <w:t>While the rise of the COVID-19 Delta variant and resurgence of related disruptions could impact the pace of economic reopening, industry projections of oil demand reflect the anticipation of a wider vaccine-enabled recovery, improving road mobility, and the impact of various economic stimulus programs. Under this scenario, Schlumberger believes the momentum of international activity growth experienced in the second quarter will continue as the cyclical recovery unfolds. This view is supported by rig count trends, capital spending signals, and customer feedback. In North America, Schlumberger anticipates the growth rate to moderate; however, drilling activity could still surprise to the upside due to private E&amp;P operator spending.</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Consequently, absent any further setback in the recovery, Schlumberger continues to see its international revenue growing in the second half of 2021 by double-digits when compared to the second half of last year. This translates into full-year 2021 international revenue growth, setting the stage for a strong baseline moving into 2022 and beyond.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Digital &amp; Integration revenue of $817 million increased 6% sequentially primarily due to strong sales of digital solutions and higher APS project revenue.</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Digital &amp; Integration pretax operating margin of 33% expanded 147 bps sequentially due to increased high-margin digital solutions sales and improved profitability from APS projects.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Performance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Reservoir Performance revenue of $1.1 billion increased 12% sequentially due to higher activity that surpassed the impact of the seasonal rebound in the Northern Hemisphere, resulting in 13% sequential revenue growth internationally.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Reservoir Performance pretax operating margin of 14% expanded 373 bps sequentially. Profitability was boosted by the seasonal recovery in the Northern Hemisphere, higher offshore and exploration activity, and favorable technology mix in wireline activity in Africa and in the Middle East.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Well Construction revenue of $2.1 billion increased 9% sequentially. Stronger North America and international activity beyond the seasonal rebound in the Northern Hemisphere was supported by the rig count increase. North America revenue growth was driven by US land revenue growth of more than 30%, outpacing the US land rig count increase of 16%.</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Sequentially, Well Construction pretax operating margin of 13% improved by 209 bps due to higher drilling activity following the seasonal recovery in the Northern Hemisphere, higher drilling in US land, increased volume of activity in Europe &amp; Africa and the Middle East and increased higher-margin offshore exploration activity in Africa.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Systems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Production Systems revenue of $1.7 billion increased 6% sequentially driven by higher sales of surface, subsea, and well production systems.</w:t>
      </w:r>
    </w:p>
    <w:p>
      <w:pPr>
        <w:spacing w:after="0" w:line="2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Sequentially, Production Systems pretax operating margin of 10% expanded 146 bps as a result of higher sales of surface, well, and subsea production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Six Months 2021 Compared to Six Months 2020</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5"/>
              </w:rPr>
              <w:t>(Stated in millions)</w:t>
            </w:r>
          </w:p>
        </w:tc>
      </w:tr>
      <w:tr>
        <w:trPr>
          <w:trHeight w:val="444"/>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Six Months 2021</w:t>
            </w:r>
          </w:p>
        </w:tc>
        <w:tc>
          <w:tcPr>
            <w:tcW w:w="160" w:type="dxa"/>
            <w:vAlign w:val="bottom"/>
          </w:tcPr>
          <w:p>
            <w:pPr>
              <w:spacing w:after="0"/>
              <w:rPr>
                <w:sz w:val="24"/>
                <w:szCs w:val="24"/>
                <w:color w:val="auto"/>
              </w:rPr>
            </w:pPr>
          </w:p>
        </w:tc>
        <w:tc>
          <w:tcPr>
            <w:tcW w:w="2480" w:type="dxa"/>
            <w:vAlign w:val="bottom"/>
            <w:gridSpan w:val="6"/>
          </w:tcPr>
          <w:p>
            <w:pPr>
              <w:jc w:val="right"/>
              <w:ind w:right="760"/>
              <w:spacing w:after="0"/>
              <w:rPr>
                <w:sz w:val="20"/>
                <w:szCs w:val="20"/>
                <w:color w:val="auto"/>
              </w:rPr>
            </w:pPr>
            <w:r>
              <w:rPr>
                <w:rFonts w:ascii="Arial" w:cs="Arial" w:eastAsia="Arial" w:hAnsi="Arial"/>
                <w:sz w:val="18"/>
                <w:szCs w:val="18"/>
                <w:color w:val="auto"/>
              </w:rPr>
              <w:t>Six Months 2020</w:t>
            </w:r>
          </w:p>
        </w:tc>
      </w:tr>
      <w:tr>
        <w:trPr>
          <w:trHeight w:val="218"/>
        </w:trPr>
        <w:tc>
          <w:tcPr>
            <w:tcW w:w="5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Income (Loss)</w:t>
            </w:r>
          </w:p>
        </w:tc>
        <w:tc>
          <w:tcPr>
            <w:tcW w:w="100" w:type="dxa"/>
            <w:vAlign w:val="bottom"/>
          </w:tcPr>
          <w:p>
            <w:pPr>
              <w:spacing w:after="0"/>
              <w:rPr>
                <w:sz w:val="18"/>
                <w:szCs w:val="18"/>
                <w:color w:val="auto"/>
              </w:rPr>
            </w:pPr>
          </w:p>
        </w:tc>
      </w:tr>
      <w:tr>
        <w:trPr>
          <w:trHeight w:val="229"/>
        </w:trPr>
        <w:tc>
          <w:tcPr>
            <w:tcW w:w="5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Before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Before</w:t>
            </w:r>
          </w:p>
        </w:tc>
      </w:tr>
      <w:tr>
        <w:trPr>
          <w:trHeight w:val="234"/>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Revenue</w:t>
            </w:r>
          </w:p>
        </w:tc>
        <w:tc>
          <w:tcPr>
            <w:tcW w:w="18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6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Taxes</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1,590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Reservoir Performance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4,045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Production Systems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(168)</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(99)</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w:t>
            </w:r>
          </w:p>
        </w:tc>
      </w:tr>
      <w:tr>
        <w:trPr>
          <w:trHeight w:val="223"/>
        </w:trPr>
        <w:tc>
          <w:tcPr>
            <w:tcW w:w="5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1,471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(288)</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(397)</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(264)</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(266)</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(12,247)</w:t>
            </w: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4" w:lineRule="exact"/>
        <w:rPr>
          <w:sz w:val="20"/>
          <w:szCs w:val="20"/>
          <w:color w:val="auto"/>
        </w:rPr>
      </w:pPr>
    </w:p>
    <w:p>
      <w:pPr>
        <w:ind w:left="380" w:right="20" w:hanging="372"/>
        <w:spacing w:after="0" w:line="193" w:lineRule="auto"/>
        <w:tabs>
          <w:tab w:leader="none" w:pos="380" w:val="left"/>
        </w:tabs>
        <w:numPr>
          <w:ilvl w:val="0"/>
          <w:numId w:val="21"/>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Arial" w:cs="Arial" w:eastAsia="Arial" w:hAnsi="Arial"/>
          <w:sz w:val="28"/>
          <w:szCs w:val="28"/>
          <w:color w:val="auto"/>
          <w:vertAlign w:val="superscript"/>
        </w:rPr>
      </w:pPr>
    </w:p>
    <w:p>
      <w:pPr>
        <w:ind w:left="380" w:hanging="372"/>
        <w:spacing w:after="0" w:line="231" w:lineRule="auto"/>
        <w:tabs>
          <w:tab w:leader="none" w:pos="380" w:val="left"/>
        </w:tabs>
        <w:numPr>
          <w:ilvl w:val="0"/>
          <w:numId w:val="21"/>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($1 million in 2021; $1 million in 2020).</w:t>
      </w:r>
    </w:p>
    <w:p>
      <w:pPr>
        <w:spacing w:after="0" w:line="118"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($8 million in 2021; $15 million in 2020).</w:t>
      </w:r>
    </w:p>
    <w:p>
      <w:pPr>
        <w:spacing w:after="0" w:line="118"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Six-month 2021 revenue of $10.9 billion decreased 15% year-on-year reflecting the significant fall in activity following the historic demand destruction driven by the COVID-19 pandemic that commenced in early 2020. More than a year after the unprecedented global health and economic crisis sparked by the pandemic began, customers have gradually increased their spending. Revenue also declined year-on-year, particularly in North America, following the divestitures of the OneStim</w:t>
      </w:r>
      <w:r>
        <w:rPr>
          <w:rFonts w:ascii="Arial" w:cs="Arial" w:eastAsia="Arial" w:hAnsi="Arial"/>
          <w:sz w:val="14"/>
          <w:szCs w:val="14"/>
          <w:color w:val="auto"/>
        </w:rPr>
        <w:t>®</w:t>
      </w:r>
      <w:r>
        <w:rPr>
          <w:rFonts w:ascii="Arial" w:cs="Arial" w:eastAsia="Arial" w:hAnsi="Arial"/>
          <w:sz w:val="17"/>
          <w:szCs w:val="17"/>
          <w:color w:val="auto"/>
        </w:rPr>
        <w:t xml:space="preserve"> pressure pumping business and the low-flow artificial lift business during the fourth quarter 2020. These divestitures were consistent with Schlumberger’s strategy to focus on high-grading and rationalizing its business portfolio to expand margins, minimize earnings volatility, and focus on more capital efficient businesses. Excluding the impact of these divestitures, which generated $818 million of revenue (all of which was in North America) during the first six months of 2020, global revenue declined 9% year-on-year.</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North America revenue declined 37% year-on-year; however, excluding the impact of the previously described divestitures, six-month revenue only declined 16%. International revenue declined 8% driven by significant activity decreases in Europe/CIS/Africa and the Middle East &amp; Asia.</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Six-month 2021 pretax operating margin of 14% was 440 bps higher compared to the same period last year despite the 15% decline in revenue, due to the divestiture of certain businesses in North America, which were previously dilutive to margins, combined with reduced depreciation and amortization expense following the asset impairment charges recorded during 2020 and the effects of cost reduction measures.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Six-month 2021 revenue of $1.6 billion increased 6% year-on-year primarily driven by higher APS project revenue from higher production and improved oil prices, as well as the absence of production interruptions in the APS projects in Ecuador that were caused by a major land slide in the second quarter of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Year-on-year, pretax operating margin increased 16 percentage points to 33%. Operating margin increased due to improved profitability from APS projects as a result of higher oil prices and reduced amortization following the asset impairment charges that were recorded during the first six months of 2020 relating to certain APS investments in North America and Latin America.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Reservoir Performance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Six-month 2021 revenue of $2.1 billion decreased 32% year-on-year largely due to the effects of the pandemic. The revenue decline also reflected the effects of the OneStim divestiture, which generated $741 million of revenue during the first six months of 2020. Excluding the impact of the OneStim divestiture, revenue declined 12% year-on-year.</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Year-on-year, pretax operating margin increased by 721 bps to 12% despite the significant drop in revenue, primarily due to the divestiture of the OneStim business, which was previously dilutive to margins.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Six-month 2021 revenue of $4.0 billion decreased 18% year-on-year due to the significant drop in rig count in North America and internationally due to the effects of the pandemic.</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Year-on-year, pretax operating margin increased 147 bps to 12% despite the significant drop in revenue. Margin expanded largely as a result of the implementation of cost control measures.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Systems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Six-month 2021 revenue of $3.3 billion decreased 6% year-on-year, primarily driven by the North America short-cycle business due to the significant decline in completions activity as a result of the pandemic.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23 bps to 9% due to reduced profitability in midstream and subsea production systems.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and 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26"/>
        </w:trPr>
        <w:tc>
          <w:tcPr>
            <w:tcW w:w="4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jc w:val="center"/>
              <w:ind w:left="118"/>
              <w:spacing w:after="0"/>
              <w:rPr>
                <w:sz w:val="20"/>
                <w:szCs w:val="20"/>
                <w:color w:val="auto"/>
              </w:rPr>
            </w:pPr>
            <w:r>
              <w:rPr>
                <w:rFonts w:ascii="Arial" w:cs="Arial" w:eastAsia="Arial" w:hAnsi="Arial"/>
                <w:sz w:val="18"/>
                <w:szCs w:val="18"/>
                <w:b w:val="1"/>
                <w:bCs w:val="1"/>
                <w:color w:val="auto"/>
                <w:w w:val="86"/>
              </w:rPr>
              <w:t>Second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jc w:val="center"/>
              <w:ind w:left="118"/>
              <w:spacing w:after="0"/>
              <w:rPr>
                <w:sz w:val="20"/>
                <w:szCs w:val="20"/>
                <w:color w:val="auto"/>
              </w:rPr>
            </w:pPr>
            <w:r>
              <w:rPr>
                <w:rFonts w:ascii="Arial" w:cs="Arial" w:eastAsia="Arial" w:hAnsi="Arial"/>
                <w:sz w:val="18"/>
                <w:szCs w:val="18"/>
                <w:b w:val="1"/>
                <w:bCs w:val="1"/>
                <w:color w:val="auto"/>
                <w:w w:val="98"/>
              </w:rPr>
              <w:t>Quarter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First Quarter</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216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9"/>
                <w:szCs w:val="19"/>
                <w:color w:val="auto"/>
              </w:rPr>
            </w:pP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 net earnings of affiliated companies</w:t>
            </w:r>
          </w:p>
        </w:tc>
        <w:tc>
          <w:tcPr>
            <w:tcW w:w="1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58"/>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10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tcPr>
          <w:p>
            <w:pPr>
              <w:spacing w:after="0"/>
              <w:rPr>
                <w:sz w:val="19"/>
                <w:szCs w:val="19"/>
                <w:color w:val="auto"/>
              </w:rPr>
            </w:pPr>
          </w:p>
        </w:tc>
      </w:tr>
      <w:tr>
        <w:trPr>
          <w:trHeight w:val="223"/>
        </w:trPr>
        <w:tc>
          <w:tcPr>
            <w:tcW w:w="45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58"/>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16</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second quarter and first quarter of 2021 and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2021 and 2020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88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Second</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540" w:type="dxa"/>
            <w:vAlign w:val="bottom"/>
          </w:tcPr>
          <w:p>
            <w:pPr>
              <w:spacing w:after="0"/>
              <w:rPr>
                <w:sz w:val="20"/>
                <w:szCs w:val="20"/>
                <w:color w:val="auto"/>
              </w:rPr>
            </w:pPr>
          </w:p>
        </w:tc>
        <w:tc>
          <w:tcPr>
            <w:tcW w:w="88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Quarter</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40" w:type="dxa"/>
            <w:vAlign w:val="bottom"/>
            <w:gridSpan w:val="4"/>
          </w:tcPr>
          <w:p>
            <w:pPr>
              <w:jc w:val="center"/>
              <w:ind w:right="1030"/>
              <w:spacing w:after="0"/>
              <w:rPr>
                <w:sz w:val="20"/>
                <w:szCs w:val="20"/>
                <w:color w:val="auto"/>
              </w:rPr>
            </w:pPr>
            <w:r>
              <w:rPr>
                <w:rFonts w:ascii="Arial" w:cs="Arial" w:eastAsia="Arial" w:hAnsi="Arial"/>
                <w:sz w:val="18"/>
                <w:szCs w:val="18"/>
                <w:color w:val="auto"/>
                <w:w w:val="91"/>
              </w:rPr>
              <w:t>First Quarter</w:t>
            </w:r>
          </w:p>
        </w:tc>
        <w:tc>
          <w:tcPr>
            <w:tcW w:w="1000" w:type="dxa"/>
            <w:vAlign w:val="bottom"/>
            <w:gridSpan w:val="3"/>
          </w:tcPr>
          <w:p>
            <w:pPr>
              <w:ind w:left="60"/>
              <w:spacing w:after="0"/>
              <w:rPr>
                <w:sz w:val="20"/>
                <w:szCs w:val="20"/>
                <w:color w:val="auto"/>
              </w:rPr>
            </w:pPr>
            <w:r>
              <w:rPr>
                <w:rFonts w:ascii="Arial" w:cs="Arial" w:eastAsia="Arial" w:hAnsi="Arial"/>
                <w:sz w:val="18"/>
                <w:szCs w:val="18"/>
                <w:b w:val="1"/>
                <w:bCs w:val="1"/>
                <w:color w:val="auto"/>
                <w:w w:val="95"/>
              </w:rPr>
              <w:t>Six Months</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5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2020</w:t>
            </w:r>
          </w:p>
        </w:tc>
        <w:tc>
          <w:tcPr>
            <w:tcW w:w="180" w:type="dxa"/>
            <w:vAlign w:val="bottom"/>
            <w:tcBorders>
              <w:bottom w:val="single" w:sz="8" w:color="CFF0FC"/>
            </w:tcBorders>
          </w:tcPr>
          <w:p>
            <w:pPr>
              <w:spacing w:after="0"/>
              <w:rPr>
                <w:sz w:val="19"/>
                <w:szCs w:val="19"/>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Research &amp; engineering</w:t>
            </w: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2.4%</w:t>
            </w:r>
          </w:p>
        </w:tc>
        <w:tc>
          <w:tcPr>
            <w:tcW w:w="8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w:t>
            </w:r>
          </w:p>
        </w:tc>
        <w:tc>
          <w:tcPr>
            <w:tcW w:w="8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2.5%</w:t>
            </w:r>
          </w:p>
        </w:tc>
        <w:tc>
          <w:tcPr>
            <w:tcW w:w="3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r>
        <w:trPr>
          <w:trHeight w:val="234"/>
        </w:trPr>
        <w:tc>
          <w:tcPr>
            <w:tcW w:w="6420" w:type="dxa"/>
            <w:vAlign w:val="bottom"/>
            <w:gridSpan w:val="2"/>
          </w:tcPr>
          <w:p>
            <w:pPr>
              <w:spacing w:after="0"/>
              <w:rPr>
                <w:sz w:val="20"/>
                <w:szCs w:val="20"/>
                <w:color w:val="auto"/>
              </w:rPr>
            </w:pPr>
            <w:r>
              <w:rPr>
                <w:rFonts w:ascii="Arial" w:cs="Arial" w:eastAsia="Arial" w:hAnsi="Arial"/>
                <w:sz w:val="18"/>
                <w:szCs w:val="18"/>
                <w:color w:val="auto"/>
              </w:rPr>
              <w:t>General &amp; administrative</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w:t>
            </w:r>
          </w:p>
        </w:tc>
        <w:tc>
          <w:tcPr>
            <w:tcW w:w="82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second quarter of 2021 was 18%, as compared to 19% for the first quarter of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effective tax rate for the first six months of 2021 was 19%, as compared to 8% for the same period of 2020. The increase in the effective tax rate was primarily due to the charges and credits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reduced the effective tax rate for the first six months of 2020 by 10 percentage points as a significant portion of these charges were not tax-effective.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u w:val="single" w:color="auto"/>
          <w:color w:val="auto"/>
        </w:rPr>
        <w:t>Charges and Credits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Schlumberger did not record any charges or credits during the first six months of 2021.</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During the first six months of 2020 Schlumberger recorded the following charges and credits which are fully described in Note 2 to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2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Pretax</w:t>
            </w:r>
          </w:p>
        </w:tc>
        <w:tc>
          <w:tcPr>
            <w:tcW w:w="240" w:type="dxa"/>
            <w:vAlign w:val="bottom"/>
          </w:tcPr>
          <w:p>
            <w:pPr>
              <w:spacing w:after="0"/>
              <w:rPr>
                <w:sz w:val="24"/>
                <w:szCs w:val="2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color w:val="auto"/>
                <w:w w:val="86"/>
              </w:rPr>
              <w:t>Tax</w:t>
            </w:r>
          </w:p>
        </w:tc>
        <w:tc>
          <w:tcPr>
            <w:tcW w:w="16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i w:val="1"/>
                <w:iCs w:val="1"/>
                <w:color w:val="auto"/>
              </w:rPr>
              <w:t>First quarter:</w:t>
            </w: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1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3,070</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Intangible assets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Asset Performance Solutions investments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North American pressure pumping</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Severance</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Valuation allowance</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Second quarter:</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Workforce reductions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Asset Performance Solutions investments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Fixed asset impairments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Inventory write-downs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Right-of-use asset impairments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Costs associated with exiting certain activities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Multiclient seismic data impairment</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Repurchase of bonds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Postretirement benefits curtailment gain</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12,247</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86"/>
              </w:rPr>
              <w:t>Liquidity and Capital Resources</w:t>
            </w:r>
          </w:p>
        </w:tc>
        <w:tc>
          <w:tcPr>
            <w:tcW w:w="31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2400" w:type="dxa"/>
            <w:vAlign w:val="bottom"/>
            <w:tcBorders>
              <w:bottom w:val="single" w:sz="8" w:color="auto"/>
            </w:tcBorders>
            <w:vMerge w:val="continue"/>
          </w:tcPr>
          <w:p>
            <w:pPr>
              <w:spacing w:after="0"/>
              <w:rPr>
                <w:sz w:val="24"/>
                <w:szCs w:val="24"/>
                <w:color w:val="auto"/>
              </w:rPr>
            </w:pPr>
          </w:p>
        </w:tc>
        <w:tc>
          <w:tcPr>
            <w:tcW w:w="31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520" w:type="dxa"/>
            <w:vAlign w:val="bottom"/>
            <w:gridSpan w:val="2"/>
          </w:tcPr>
          <w:p>
            <w:pPr>
              <w:spacing w:after="0"/>
              <w:rPr>
                <w:sz w:val="20"/>
                <w:szCs w:val="20"/>
                <w:color w:val="auto"/>
              </w:rPr>
            </w:pPr>
            <w:r>
              <w:rPr>
                <w:rFonts w:ascii="Arial" w:cs="Arial" w:eastAsia="Arial" w:hAnsi="Arial"/>
                <w:sz w:val="18"/>
                <w:szCs w:val="18"/>
                <w:color w:val="auto"/>
                <w:w w:val="93"/>
              </w:rPr>
              <w:t>Details of the components of liquidity as well as changes in liquidity follow:</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Jun. 30,</w:t>
            </w:r>
          </w:p>
        </w:tc>
        <w:tc>
          <w:tcPr>
            <w:tcW w:w="240" w:type="dxa"/>
            <w:vAlign w:val="bottom"/>
          </w:tcPr>
          <w:p>
            <w:pPr>
              <w:spacing w:after="0"/>
              <w:rPr>
                <w:sz w:val="24"/>
                <w:szCs w:val="2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Jun. 30,</w:t>
            </w:r>
          </w:p>
        </w:tc>
        <w:tc>
          <w:tcPr>
            <w:tcW w:w="16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Dec. 31,</w:t>
            </w:r>
          </w:p>
        </w:tc>
        <w:tc>
          <w:tcPr>
            <w:tcW w:w="0" w:type="dxa"/>
            <w:vAlign w:val="bottom"/>
          </w:tcPr>
          <w:p>
            <w:pPr>
              <w:spacing w:after="0"/>
              <w:rPr>
                <w:sz w:val="1"/>
                <w:szCs w:val="1"/>
                <w:color w:val="auto"/>
              </w:rPr>
            </w:pPr>
          </w:p>
        </w:tc>
      </w:tr>
      <w:tr>
        <w:trPr>
          <w:trHeight w:val="234"/>
        </w:trPr>
        <w:tc>
          <w:tcPr>
            <w:tcW w:w="5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Components of Liquidity:</w:t>
            </w:r>
          </w:p>
        </w:tc>
        <w:tc>
          <w:tcPr>
            <w:tcW w:w="10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1,439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(36)</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(15,687)</w:t>
            </w: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(16,763)</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(16,036)</w:t>
            </w: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(13,041)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80" w:type="dxa"/>
            <w:vAlign w:val="bottom"/>
            <w:vMerge w:val="restart"/>
          </w:tcPr>
          <w:p>
            <w:pPr>
              <w:jc w:val="right"/>
              <w:ind w:right="790"/>
              <w:spacing w:after="0"/>
              <w:rPr>
                <w:sz w:val="20"/>
                <w:szCs w:val="20"/>
                <w:color w:val="auto"/>
              </w:rPr>
            </w:pPr>
            <w:r>
              <w:rPr>
                <w:rFonts w:ascii="Arial" w:cs="Arial" w:eastAsia="Arial" w:hAnsi="Arial"/>
                <w:sz w:val="18"/>
                <w:szCs w:val="18"/>
                <w:color w:val="auto"/>
                <w:w w:val="89"/>
              </w:rPr>
              <w:t>24</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Six Months Ended Jun. 30,</w:t>
            </w:r>
          </w:p>
        </w:tc>
      </w:tr>
      <w:tr>
        <w:trPr>
          <w:trHeight w:val="223"/>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Changes in Liquidity:</w:t>
            </w:r>
          </w:p>
        </w:tc>
        <w:tc>
          <w:tcPr>
            <w:tcW w:w="8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(10,796)</w:t>
            </w:r>
          </w:p>
        </w:tc>
        <w:tc>
          <w:tcPr>
            <w:tcW w:w="10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Impairment and other charges</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12,247</w:t>
            </w:r>
          </w:p>
        </w:tc>
        <w:tc>
          <w:tcPr>
            <w:tcW w:w="100" w:type="dxa"/>
            <w:vAlign w:val="bottom"/>
          </w:tcPr>
          <w:p>
            <w:pPr>
              <w:spacing w:after="0"/>
              <w:rPr>
                <w:sz w:val="19"/>
                <w:szCs w:val="19"/>
                <w:color w:val="auto"/>
              </w:rPr>
            </w:pP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FF0FC"/>
          </w:tcPr>
          <w:p>
            <w:pPr>
              <w:spacing w:after="0"/>
              <w:rPr>
                <w:sz w:val="19"/>
                <w:szCs w:val="19"/>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(1,050)</w:t>
            </w: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15"/>
                <w:szCs w:val="15"/>
                <w:color w:val="auto"/>
              </w:rPr>
              <w:t>(3)</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(758)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(423)</w:t>
            </w: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US Federal tax refund</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r>
      <w:tr>
        <w:trPr>
          <w:trHeight w:val="223"/>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flow from operations</w:t>
            </w:r>
          </w:p>
        </w:tc>
        <w:tc>
          <w:tcPr>
            <w:tcW w:w="8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FF0FC"/>
            </w:tcBorders>
          </w:tcPr>
          <w:p>
            <w:pPr>
              <w:spacing w:after="0"/>
              <w:rPr>
                <w:sz w:val="19"/>
                <w:szCs w:val="19"/>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FF0FC"/>
          </w:tcPr>
          <w:p>
            <w:pPr>
              <w:spacing w:after="0"/>
              <w:rPr>
                <w:sz w:val="19"/>
                <w:szCs w:val="19"/>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APS investments</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Multiclient seismic data costs capitalized</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w:t>
            </w:r>
          </w:p>
        </w:tc>
      </w:tr>
      <w:tr>
        <w:trPr>
          <w:trHeight w:val="223"/>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(4)</w:t>
            </w:r>
          </w:p>
        </w:tc>
        <w:tc>
          <w:tcPr>
            <w:tcW w:w="8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FF0FC"/>
            </w:tcBorders>
          </w:tcPr>
          <w:p>
            <w:pPr>
              <w:spacing w:after="0"/>
              <w:rPr>
                <w:sz w:val="19"/>
                <w:szCs w:val="19"/>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Proceeds from employee stock plans</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Net proceeds from asset divestitures</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FF0FC"/>
          </w:tcPr>
          <w:p>
            <w:pPr>
              <w:spacing w:after="0"/>
              <w:rPr>
                <w:sz w:val="19"/>
                <w:szCs w:val="19"/>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net debt before impact of changes in foreign exchange rates on net debt</w:t>
            </w:r>
          </w:p>
        </w:tc>
        <w:tc>
          <w:tcPr>
            <w:tcW w:w="8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Impact of changes in foreign exchange rates on net debt</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Decrease (increase) in net debt</w:t>
            </w:r>
          </w:p>
        </w:tc>
        <w:tc>
          <w:tcPr>
            <w:tcW w:w="8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 xml:space="preserve">Net debt, beginning of period </w:t>
            </w:r>
            <w:r>
              <w:rPr>
                <w:rFonts w:ascii="Arial" w:cs="Arial" w:eastAsia="Arial" w:hAnsi="Arial"/>
                <w:sz w:val="15"/>
                <w:szCs w:val="15"/>
                <w:color w:val="auto"/>
              </w:rPr>
              <w:t>(1)</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(13,880)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(13,127)</w:t>
            </w:r>
          </w:p>
        </w:tc>
      </w:tr>
      <w:tr>
        <w:trPr>
          <w:trHeight w:val="223"/>
        </w:trPr>
        <w:tc>
          <w:tcPr>
            <w:tcW w:w="6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Net debt, end of period </w:t>
            </w:r>
            <w:r>
              <w:rPr>
                <w:rFonts w:ascii="Arial" w:cs="Arial" w:eastAsia="Arial" w:hAnsi="Arial"/>
                <w:sz w:val="15"/>
                <w:szCs w:val="15"/>
                <w:color w:val="auto"/>
              </w:rPr>
              <w:t>(1)</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(13,041)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left="380" w:hanging="372"/>
        <w:spacing w:after="0" w:line="213" w:lineRule="auto"/>
        <w:tabs>
          <w:tab w:leader="none" w:pos="380" w:val="left"/>
        </w:tabs>
        <w:numPr>
          <w:ilvl w:val="0"/>
          <w:numId w:val="22"/>
        </w:numPr>
        <w:rPr>
          <w:rFonts w:ascii="Arial" w:cs="Arial" w:eastAsia="Arial" w:hAnsi="Arial"/>
          <w:sz w:val="28"/>
          <w:szCs w:val="28"/>
          <w:color w:val="auto"/>
          <w:vertAlign w:val="superscript"/>
        </w:rPr>
      </w:pPr>
      <w:r>
        <w:rPr>
          <w:rFonts w:ascii="Arial" w:cs="Arial" w:eastAsia="Arial" w:hAnsi="Arial"/>
          <w:sz w:val="27"/>
          <w:szCs w:val="27"/>
          <w:color w:val="auto"/>
          <w:vertAlign w:val="superscript"/>
        </w:rPr>
        <w:t>“</w:t>
      </w:r>
      <w:r>
        <w:rPr>
          <w:rFonts w:ascii="Arial" w:cs="Arial" w:eastAsia="Arial" w:hAnsi="Arial"/>
          <w:sz w:val="16"/>
          <w:szCs w:val="16"/>
          <w:color w:val="auto"/>
        </w:rPr>
        <w:t>Net debt” represents gross debt less cash and short-term investments.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2" w:lineRule="exact"/>
        <w:rPr>
          <w:rFonts w:ascii="Arial" w:cs="Arial" w:eastAsia="Arial" w:hAnsi="Arial"/>
          <w:sz w:val="28"/>
          <w:szCs w:val="28"/>
          <w:color w:val="auto"/>
          <w:vertAlign w:val="superscript"/>
        </w:rPr>
      </w:pPr>
    </w:p>
    <w:p>
      <w:pPr>
        <w:ind w:left="380" w:hanging="372"/>
        <w:spacing w:after="0" w:line="231" w:lineRule="auto"/>
        <w:tabs>
          <w:tab w:leader="none" w:pos="380" w:val="left"/>
        </w:tabs>
        <w:numPr>
          <w:ilvl w:val="0"/>
          <w:numId w:val="22"/>
        </w:numPr>
        <w:rPr>
          <w:rFonts w:ascii="Arial" w:cs="Arial" w:eastAsia="Arial" w:hAnsi="Arial"/>
          <w:sz w:val="28"/>
          <w:szCs w:val="28"/>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118"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Includes severance payments of approximately $184 million and $426 million during the six months ended June 30, 2021 and 2020, respectively.</w:t>
      </w:r>
    </w:p>
    <w:p>
      <w:pPr>
        <w:spacing w:after="0" w:line="118" w:lineRule="exact"/>
        <w:rPr>
          <w:rFonts w:ascii="Arial" w:cs="Arial" w:eastAsia="Arial" w:hAnsi="Arial"/>
          <w:sz w:val="22"/>
          <w:szCs w:val="22"/>
          <w:color w:val="auto"/>
          <w:vertAlign w:val="superscript"/>
        </w:rPr>
      </w:pPr>
    </w:p>
    <w:p>
      <w:pPr>
        <w:jc w:val="both"/>
        <w:ind w:left="380" w:hanging="372"/>
        <w:spacing w:after="0" w:line="247" w:lineRule="auto"/>
        <w:tabs>
          <w:tab w:leader="none" w:pos="380" w:val="left"/>
        </w:tabs>
        <w:numPr>
          <w:ilvl w:val="0"/>
          <w:numId w:val="22"/>
        </w:numPr>
        <w:rPr>
          <w:rFonts w:ascii="Arial" w:cs="Arial" w:eastAsia="Arial" w:hAnsi="Arial"/>
          <w:sz w:val="25"/>
          <w:szCs w:val="25"/>
          <w:color w:val="auto"/>
          <w:vertAlign w:val="superscript"/>
        </w:rPr>
      </w:pPr>
      <w:r>
        <w:rPr>
          <w:rFonts w:ascii="Arial" w:cs="Arial" w:eastAsia="Arial" w:hAnsi="Arial"/>
          <w:sz w:val="15"/>
          <w:szCs w:val="15"/>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view of the uncertainty of the depth and extent of the contraction in oil demand due to the COVID-19 pandemic combined with the weaker commodity price environment at the time, in April 2020 Schlumberger announced a 75% reduction to its quarterly cash dividend. The revised dividend supports Schlumberger’s value proposition through a balanced approach of shareholder distributions and organic investment, while providing flexibility to address the uncertain environment. This decision reflected the Company’s focus on its capital stewardship program as well as its commitment to maintain both a strong liquidity position and a strong investment grade credit rating that provides privileged access to the financial markets.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six months of 2021 and 2020 included:</w:t>
      </w:r>
    </w:p>
    <w:p>
      <w:pPr>
        <w:spacing w:after="0" w:line="185" w:lineRule="exact"/>
        <w:rPr>
          <w:sz w:val="20"/>
          <w:szCs w:val="20"/>
          <w:color w:val="auto"/>
        </w:rPr>
      </w:pPr>
    </w:p>
    <w:p>
      <w:pPr>
        <w:jc w:val="both"/>
        <w:ind w:left="380" w:hanging="372"/>
        <w:spacing w:after="0" w:line="311"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January 21, 2016, the Board approved a $10 billion share repurchase program for Schlumberger common stock. Schlumberger had repurchased $1.0 billion of Schlumberger common stock under this program as of June 30, 2021. Schlumberger did not repurchase any of its common stock during the first six months of 2021. Schlumberger repurchased $26 million of its common stock during the first six months of 2020.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5" w:name="page26"/>
    <w:bookmarkEnd w:id="25"/>
    <w:p>
      <w:pPr>
        <w:jc w:val="both"/>
        <w:ind w:left="380"/>
        <w:spacing w:after="0" w:line="263" w:lineRule="auto"/>
        <w:rPr>
          <w:sz w:val="20"/>
          <w:szCs w:val="20"/>
          <w:color w:val="auto"/>
        </w:rPr>
      </w:pPr>
      <w:r>
        <w:rPr>
          <w:rFonts w:ascii="Arial" w:cs="Arial" w:eastAsia="Arial" w:hAnsi="Arial"/>
          <w:sz w:val="18"/>
          <w:szCs w:val="18"/>
          <w:color w:val="auto"/>
        </w:rPr>
        <w:t>•Capital investments (consisting of capital expenditures, APS investments and multiclient seismic data capitalized) were $0.6 billion during the first six months of 2021 compared to $0.9 billion during the first six months of 2020. Capital investments during the full year of 2021 are expected to be between $1.5 billion and $1.7 billion as compared to $1.5 billion for the full year 2020.</w:t>
      </w:r>
    </w:p>
    <w:p>
      <w:pPr>
        <w:spacing w:after="0" w:line="184"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second quarter of 2021, Schlumberger repurchased all $665 million of its 3.30% Senior Notes due 2021.</w:t>
      </w:r>
    </w:p>
    <w:p>
      <w:pPr>
        <w:spacing w:after="0" w:line="225"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second quarter of 2021, Schlumberger received a federal tax refund of $477 million relating to the carryback of US net operating losses pursuant to the Coronavirus Aid, Relief and Economy Security Act.</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first quarter of 2020, Schlumberger issued €400 million of 0.25% Notes due 2027 and €400 million of 0.50% Notes due 2031.</w:t>
      </w:r>
    </w:p>
    <w:p>
      <w:pPr>
        <w:spacing w:after="0" w:line="225" w:lineRule="exact"/>
        <w:rPr>
          <w:rFonts w:ascii="Arial" w:cs="Arial" w:eastAsia="Arial" w:hAnsi="Arial"/>
          <w:sz w:val="18"/>
          <w:szCs w:val="18"/>
          <w:color w:val="auto"/>
        </w:rPr>
      </w:pPr>
    </w:p>
    <w:p>
      <w:pPr>
        <w:ind w:left="380" w:right="20" w:hanging="372"/>
        <w:spacing w:after="0" w:line="308" w:lineRule="auto"/>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During the first quarter of 2020, Schlumberger completed the sale of its 49% interest in the Bandurria Sur Block in Argentina. The net cash proceeds from this transaction, combined with the proceeds received from the divestiture of a smaller APS project, amounted to $298 million.</w:t>
      </w:r>
    </w:p>
    <w:p>
      <w:pPr>
        <w:spacing w:after="0" w:line="146" w:lineRule="exact"/>
        <w:rPr>
          <w:rFonts w:ascii="Arial" w:cs="Arial" w:eastAsia="Arial" w:hAnsi="Arial"/>
          <w:sz w:val="17"/>
          <w:szCs w:val="17"/>
          <w:color w:val="auto"/>
        </w:rPr>
      </w:pPr>
    </w:p>
    <w:p>
      <w:pPr>
        <w:ind w:left="380" w:hanging="372"/>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second quarter of 2020, Schlumberger issued €1.0 billion of 1.375% Guaranteed Notes due 2026, $900 million of 2.650% Senior Notes due 2030 and €1.0 billion of 2.00% Guaranteed Notes due 2032.</w:t>
      </w:r>
    </w:p>
    <w:p>
      <w:pPr>
        <w:spacing w:after="0" w:line="170" w:lineRule="exact"/>
        <w:rPr>
          <w:rFonts w:ascii="Arial" w:cs="Arial" w:eastAsia="Arial" w:hAnsi="Arial"/>
          <w:sz w:val="18"/>
          <w:szCs w:val="18"/>
          <w:color w:val="auto"/>
        </w:rPr>
      </w:pPr>
    </w:p>
    <w:p>
      <w:pPr>
        <w:jc w:val="both"/>
        <w:ind w:left="380" w:hanging="372"/>
        <w:spacing w:after="0" w:line="286" w:lineRule="auto"/>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During the second quarter of 2020, Schlumberger repurchased all $600 million of its 4.20% Senior Notes due 2021 and $935 million of its 3.30% Senior Notes due 2021. Schlumberger paid a premium of approximately $40 million in connection with these repurchases. This premium was classified in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 (Loss)</w:t>
      </w:r>
      <w:r>
        <w:rPr>
          <w:rFonts w:ascii="Arial" w:cs="Arial" w:eastAsia="Arial" w:hAnsi="Arial"/>
          <w:sz w:val="17"/>
          <w:szCs w:val="17"/>
          <w:color w:val="auto"/>
        </w:rPr>
        <w:t xml:space="preserve">. See Note 2 – </w:t>
      </w:r>
      <w:r>
        <w:rPr>
          <w:rFonts w:ascii="Arial" w:cs="Arial" w:eastAsia="Arial" w:hAnsi="Arial"/>
          <w:sz w:val="17"/>
          <w:szCs w:val="17"/>
          <w:i w:val="1"/>
          <w:iCs w:val="1"/>
          <w:color w:val="auto"/>
        </w:rPr>
        <w:t>Charges and Credits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380" w:hanging="372"/>
        <w:spacing w:after="0" w:line="263"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second quarter of 2020, Schlumberger established a €5.0 billion Guaranteed Euro Medium Term Note program that provides for the issuance of various types of debt instruments such as fixed or floating rate notes in euro, US dollar or other currencies. Schlumberger has not issued any debt under this program.</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Schlumberger had $2.68 billion of cash and short-term investments on hand. Schlumberger had committed debt facility agreements aggregating $6.65 billion, of which $6.45 billion was available and unused. Schlumberger believes these amounts are sufficient to meet future business requirements for at least the next 12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commercial paper programs at June 30, 2021 were $0.2 billion.</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Adjustments to the allowance may be required in future periods depending on how such potential issues are resolved, or if the financial condition of Schlumberger’s customers were to deteriorate resulting in an impairment of their ability to make payments. As a large multinational company with a long history of operating in a cyclical industry, Schlumberger has extensive experience in working with its customers during difficult times to manage its accounts receivable.</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Schlumberger generates revenue in more than 120 countries. As of June 30, 2021, only five of those countries individually accounted for greater than 5% of Schlumberger’s net receivable balance, of which only two (the United States and Mexico) accounted for greater than 10% of such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-171450</wp:posOffset>
            </wp:positionV>
            <wp:extent cx="2540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At times in recent periods, Schlumberger has experienced delays in payments from its primary customer in Mexico. Included in </w:t>
      </w:r>
      <w:r>
        <w:rPr>
          <w:rFonts w:ascii="Arial" w:cs="Arial" w:eastAsia="Arial" w:hAnsi="Arial"/>
          <w:sz w:val="18"/>
          <w:szCs w:val="18"/>
          <w:i w:val="1"/>
          <w:iCs w:val="1"/>
          <w:color w:val="auto"/>
        </w:rPr>
        <w:t>Receivables, less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 </w:t>
      </w:r>
      <w:r>
        <w:rPr>
          <w:rFonts w:ascii="Arial" w:cs="Arial" w:eastAsia="Arial" w:hAnsi="Arial"/>
          <w:sz w:val="18"/>
          <w:szCs w:val="18"/>
          <w:color w:val="auto"/>
        </w:rPr>
        <w:t>as of June 30, 2021 is approximately $0.7 billion of receivables relating to Mexico.</w:t>
      </w:r>
      <w:r>
        <w:rPr>
          <w:rFonts w:ascii="Arial" w:cs="Arial" w:eastAsia="Arial" w:hAnsi="Arial"/>
          <w:sz w:val="18"/>
          <w:szCs w:val="18"/>
          <w:i w:val="1"/>
          <w:iCs w:val="1"/>
          <w:color w:val="auto"/>
        </w:rPr>
        <w:t xml:space="preserve"> </w:t>
      </w:r>
      <w:r>
        <w:rPr>
          <w:rFonts w:ascii="Arial" w:cs="Arial" w:eastAsia="Arial" w:hAnsi="Arial"/>
          <w:sz w:val="18"/>
          <w:szCs w:val="18"/>
          <w:color w:val="auto"/>
        </w:rPr>
        <w:t>Schlumberger’s receivables from its primary customer in Mexico are not in dispute and Schlumberger has not historically had any material write-offs due to uncollectible accounts receivable relating to this customer.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second-quarter 2021 Form 10-Q, as well as other statements we make, contains “forward-looking statements” within the meaning of the federal securities laws, which include any statements that are not historical facts. Such statements often contain words such as “expect,” “may,” “can,” “believe,” “predict,” “plan,” “potential,” “projected,” “projections,” “forecast,” “estimate,” “intend,” “anticipate,” “ambition,” “goal,” “target,” “think,” “should,” “could,” “would,” “will,” “see,” “likely,” and other similar words.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jc w:val="both"/>
        <w:spacing w:after="0" w:line="267" w:lineRule="auto"/>
        <w:rPr>
          <w:sz w:val="20"/>
          <w:szCs w:val="20"/>
          <w:color w:val="auto"/>
        </w:rPr>
      </w:pPr>
      <w:r>
        <w:rPr>
          <w:rFonts w:ascii="Arial" w:cs="Arial" w:eastAsia="Arial" w:hAnsi="Arial"/>
          <w:sz w:val="17"/>
          <w:szCs w:val="17"/>
          <w:color w:val="auto"/>
        </w:rPr>
        <w:t>Forward-looking statements address matters that are, to varying degrees, uncertain, such as statements about Schlumberger’s financial and performance targets and other forecasts or expectations regarding, or dependent on, its business outlook; growth for Schlumberger as a whole and for each of its Divisions (and for specified business lines, geographic areas or technologies within each Division); oil and natural gas demand and production growth; oil and natural gas prices; forecasts or expectations regarding the energy transition and global climate change; improvements in operating procedures and technology; capital expenditures by Schlumberger and the oil and gas industry; the business strategies of Schlumberger, including digital and “fit for basin,” as well as the strategies of Schlumberger’s customers; Schlumberger’s effective tax rate; Schlumberger’s APS projects, joint ventures, and other alliances; Schlumberger’s response to the COVID-19 pandemic and its preparedness for other widespread health emergencies; access to raw materials; future global economic and geopolitical conditions; future liquidity; and future results of operations, such as margin levels.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Schlumberger’s inability to achieve its financial and performance targets and other forecasts and expectations; Schlumberger’s inability to achieve net-zero carbon emissions goals or interim emissions reduction goals; general economic, geopolitical and business conditions in key regions of the world; foreign currency risk; pricing pressure; inflation; weather and seasonal factors; unfavorable effects of health pandemics; availability and cost of raw materials; operational modifications, delays or cancellations; challenges in Schlumberger’s supply chain; production declines; Schlumberger’s inability to recognize efficiencies and other intended benefits from its business strategies and initiatives, such as digital or Schlumberger New Energy, as well as its restructuring and structural cost reduction plans;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10-Q and our most recent Form 10-K and Forms 8-K filed with or furnished to the SEC. If one or more of these or other risks or uncertainties materialize (or the consequences of any such development changes), or should our underlying assumptions prove incorrect, actual outcomes may vary materially from those reflected in our forward-looking statements. Statements in this second-quarter 2021 Form 10-Q are made as of July 28, 2021, and Schlumberger disclaims any intention or obligation to update publicly or revise such statements, whether as a result of new information, future events or otherwise.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2020. Schlumberger’s exposure to market risk has not changed materially since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with respect to this Item 1 is set forth under Note 9—</w:t>
      </w:r>
      <w:r>
        <w:rPr>
          <w:rFonts w:ascii="Arial" w:cs="Arial" w:eastAsia="Arial" w:hAnsi="Arial"/>
          <w:sz w:val="17"/>
          <w:szCs w:val="17"/>
          <w:i w:val="1"/>
          <w:iCs w:val="1"/>
          <w:color w:val="auto"/>
        </w:rPr>
        <w:t>Contingencies,</w:t>
      </w:r>
      <w:r>
        <w:rPr>
          <w:rFonts w:ascii="Arial" w:cs="Arial" w:eastAsia="Arial" w:hAnsi="Arial"/>
          <w:sz w:val="17"/>
          <w:szCs w:val="17"/>
          <w:color w:val="auto"/>
        </w:rPr>
        <w:t xml:space="preserve"> in the accompanying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there have been no material changes from the risk factors disclosed in Part 1, Item 1A, of Schlumberger’s Annual Report on Form 10-K for the fiscal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Schlumberger had repurchased $1.0 billion of Schlumberger common stock under its $10 billion share repurchase program.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Schlumberger did not repurchase any of its common stock during the first six months of 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2013, Schlumberger completed the wind down of its service operations in Iran. Prior to this, certain non-US subsidiaries provided oilfield services to the National Iranian Oil Company and certain of its affiliates (“NIOC”).</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Schlumberger’s residual transactions or dealings with the government of Iran during the second quarter of 2021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maintained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2" w:lineRule="exact"/>
        <w:rPr>
          <w:sz w:val="20"/>
          <w:szCs w:val="20"/>
          <w:color w:val="auto"/>
        </w:rPr>
      </w:pPr>
    </w:p>
    <w:p>
      <w:pPr>
        <w:ind w:left="440"/>
        <w:spacing w:after="0" w:line="277" w:lineRule="auto"/>
        <w:rPr>
          <w:rFonts w:ascii="Arial" w:cs="Arial" w:eastAsia="Arial" w:hAnsi="Arial"/>
          <w:sz w:val="18"/>
          <w:szCs w:val="18"/>
          <w:u w:val="single" w:color="auto"/>
          <w:color w:val="0000FF"/>
        </w:rPr>
      </w:pPr>
      <w:hyperlink r:id="rId47">
        <w:r>
          <w:rPr>
            <w:rFonts w:ascii="Arial" w:cs="Arial" w:eastAsia="Arial" w:hAnsi="Arial"/>
            <w:sz w:val="18"/>
            <w:szCs w:val="18"/>
            <w:color w:val="auto"/>
          </w:rPr>
          <w:t>Exhibit 3.1—</w:t>
        </w:r>
        <w:r>
          <w:rPr>
            <w:rFonts w:ascii="Arial" w:cs="Arial" w:eastAsia="Arial" w:hAnsi="Arial"/>
            <w:sz w:val="18"/>
            <w:szCs w:val="18"/>
            <w:u w:val="single" w:color="auto"/>
            <w:color w:val="0000FF"/>
          </w:rPr>
          <w:t>Articles of Incorporation of Schlumberger Limited (Schlumberger N.V.) (incorporated by reference to Exhibit 3.1 to Schlumberger’s</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FF"/>
          </w:rPr>
          <w:t>Current Report on Form 8-K filed on April 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-182245</wp:posOffset>
            </wp:positionV>
            <wp:extent cx="62185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2185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-45085</wp:posOffset>
            </wp:positionV>
            <wp:extent cx="23736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373630" cy="8255"/>
                    </a:xfrm>
                    <a:prstGeom prst="rect">
                      <a:avLst/>
                    </a:prstGeom>
                    <a:noFill/>
                  </pic:spPr>
                </pic:pic>
              </a:graphicData>
            </a:graphic>
          </wp:anchor>
        </w:drawing>
      </w:r>
    </w:p>
    <w:p>
      <w:pPr>
        <w:spacing w:after="0" w:line="15" w:lineRule="exact"/>
        <w:rPr>
          <w:sz w:val="20"/>
          <w:szCs w:val="20"/>
          <w:color w:val="auto"/>
        </w:rPr>
      </w:pPr>
    </w:p>
    <w:p>
      <w:pPr>
        <w:ind w:left="440"/>
        <w:spacing w:after="0" w:line="277" w:lineRule="auto"/>
        <w:rPr>
          <w:rFonts w:ascii="Arial" w:cs="Arial" w:eastAsia="Arial" w:hAnsi="Arial"/>
          <w:sz w:val="18"/>
          <w:szCs w:val="18"/>
          <w:u w:val="single" w:color="auto"/>
          <w:color w:val="0000FF"/>
        </w:rPr>
      </w:pPr>
      <w:hyperlink r:id="rId50">
        <w:r>
          <w:rPr>
            <w:rFonts w:ascii="Arial" w:cs="Arial" w:eastAsia="Arial" w:hAnsi="Arial"/>
            <w:sz w:val="18"/>
            <w:szCs w:val="18"/>
            <w:color w:val="auto"/>
          </w:rPr>
          <w:t>Exhibit 3.2—</w:t>
        </w:r>
        <w:r>
          <w:rPr>
            <w:rFonts w:ascii="Arial" w:cs="Arial" w:eastAsia="Arial" w:hAnsi="Arial"/>
            <w:sz w:val="18"/>
            <w:szCs w:val="18"/>
            <w:u w:val="single" w:color="auto"/>
            <w:color w:val="0000FF"/>
          </w:rPr>
          <w:t>Amended and Restated By-laws of Schlumberger Limited (Schlumberger N.V.) (incorporated by reference to Exhibit 3 to</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FF"/>
          </w:rPr>
          <w:t>Schlumberger’s Current Report on Form 8-K filed on July 22,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-182245</wp:posOffset>
            </wp:positionV>
            <wp:extent cx="61899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1899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-45085</wp:posOffset>
            </wp:positionV>
            <wp:extent cx="31280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128010" cy="8255"/>
                    </a:xfrm>
                    <a:prstGeom prst="rect">
                      <a:avLst/>
                    </a:prstGeom>
                    <a:noFill/>
                  </pic:spPr>
                </pic:pic>
              </a:graphicData>
            </a:graphic>
          </wp:anchor>
        </w:drawing>
      </w:r>
    </w:p>
    <w:p>
      <w:pPr>
        <w:spacing w:after="0" w:line="15" w:lineRule="exact"/>
        <w:rPr>
          <w:sz w:val="20"/>
          <w:szCs w:val="20"/>
          <w:color w:val="auto"/>
        </w:rPr>
      </w:pPr>
    </w:p>
    <w:p>
      <w:pPr>
        <w:ind w:left="440"/>
        <w:spacing w:after="0" w:line="277" w:lineRule="auto"/>
        <w:rPr>
          <w:rFonts w:ascii="Arial" w:cs="Arial" w:eastAsia="Arial" w:hAnsi="Arial"/>
          <w:sz w:val="18"/>
          <w:szCs w:val="18"/>
          <w:color w:val="0000EE"/>
        </w:rPr>
      </w:pPr>
      <w:hyperlink r:id="rId53">
        <w:r>
          <w:rPr>
            <w:rFonts w:ascii="Arial" w:cs="Arial" w:eastAsia="Arial" w:hAnsi="Arial"/>
            <w:sz w:val="18"/>
            <w:szCs w:val="18"/>
            <w:color w:val="auto"/>
          </w:rPr>
          <w:t>Exhibit 10.1—</w:t>
        </w:r>
        <w:r>
          <w:rPr>
            <w:rFonts w:ascii="Arial" w:cs="Arial" w:eastAsia="Arial" w:hAnsi="Arial"/>
            <w:sz w:val="18"/>
            <w:szCs w:val="18"/>
            <w:u w:val="single" w:color="auto"/>
            <w:color w:val="0000EE"/>
          </w:rPr>
          <w:t>Schlumberger 2017 Omnibus Stock Incentive Plan, as amended and restated effective January 21, 2021 (incorporated by reference to</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Exhibit 10.1 to Schlumberger’s Current Report on Form 8-K filed on April 7, 2021)</w:t>
        </w:r>
        <w:r>
          <w:rPr>
            <w:rFonts w:ascii="Arial" w:cs="Arial" w:eastAsia="Arial" w:hAnsi="Arial"/>
            <w:sz w:val="18"/>
            <w:szCs w:val="18"/>
            <w:color w:val="0000EE"/>
          </w:rPr>
          <w:t xml:space="preserve"> </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4117340</wp:posOffset>
            </wp:positionH>
            <wp:positionV relativeFrom="paragraph">
              <wp:posOffset>-45085</wp:posOffset>
            </wp:positionV>
            <wp:extent cx="1689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68910" cy="8890"/>
                    </a:xfrm>
                    <a:prstGeom prst="rect">
                      <a:avLst/>
                    </a:prstGeom>
                    <a:noFill/>
                  </pic:spPr>
                </pic:pic>
              </a:graphicData>
            </a:graphic>
          </wp:anchor>
        </w:drawing>
      </w:r>
    </w:p>
    <w:p>
      <w:pPr>
        <w:spacing w:after="0" w:line="15" w:lineRule="exact"/>
        <w:rPr>
          <w:sz w:val="20"/>
          <w:szCs w:val="20"/>
          <w:color w:val="auto"/>
        </w:rPr>
      </w:pPr>
    </w:p>
    <w:p>
      <w:pPr>
        <w:ind w:left="440"/>
        <w:spacing w:after="0" w:line="277" w:lineRule="auto"/>
        <w:rPr>
          <w:rFonts w:ascii="Arial" w:cs="Arial" w:eastAsia="Arial" w:hAnsi="Arial"/>
          <w:sz w:val="18"/>
          <w:szCs w:val="18"/>
          <w:color w:val="0000EE"/>
        </w:rPr>
      </w:pPr>
      <w:hyperlink r:id="rId55">
        <w:r>
          <w:rPr>
            <w:rFonts w:ascii="Arial" w:cs="Arial" w:eastAsia="Arial" w:hAnsi="Arial"/>
            <w:sz w:val="18"/>
            <w:szCs w:val="18"/>
            <w:color w:val="auto"/>
          </w:rPr>
          <w:t>Exhibit 10.2—</w:t>
        </w:r>
        <w:r>
          <w:rPr>
            <w:rFonts w:ascii="Arial" w:cs="Arial" w:eastAsia="Arial" w:hAnsi="Arial"/>
            <w:sz w:val="18"/>
            <w:szCs w:val="18"/>
            <w:u w:val="single" w:color="auto"/>
            <w:color w:val="0000EE"/>
          </w:rPr>
          <w:t>Schlumberger Discounted Stock Purchase Plan, as amended and restated effective January 1, 2021 (incorporated by reference to</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Exhibit 10.2 to Schlumberger’s Current Report on Form 8-K filed on April 7, 2021)</w:t>
        </w:r>
        <w:r>
          <w:rPr>
            <w:rFonts w:ascii="Arial" w:cs="Arial" w:eastAsia="Arial" w:hAnsi="Arial"/>
            <w:sz w:val="18"/>
            <w:szCs w:val="18"/>
            <w:color w:val="0000EE"/>
          </w:rPr>
          <w:t xml:space="preserve"> </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4117340</wp:posOffset>
            </wp:positionH>
            <wp:positionV relativeFrom="paragraph">
              <wp:posOffset>-45085</wp:posOffset>
            </wp:positionV>
            <wp:extent cx="1689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168910" cy="8255"/>
                    </a:xfrm>
                    <a:prstGeom prst="rect">
                      <a:avLst/>
                    </a:prstGeom>
                    <a:noFill/>
                  </pic:spPr>
                </pic:pic>
              </a:graphicData>
            </a:graphic>
          </wp:anchor>
        </w:drawing>
      </w:r>
    </w:p>
    <w:p>
      <w:pPr>
        <w:spacing w:after="0" w:line="15" w:lineRule="exact"/>
        <w:rPr>
          <w:sz w:val="20"/>
          <w:szCs w:val="20"/>
          <w:color w:val="auto"/>
        </w:rPr>
      </w:pPr>
    </w:p>
    <w:p>
      <w:pPr>
        <w:ind w:left="440"/>
        <w:spacing w:after="0" w:line="277" w:lineRule="auto"/>
        <w:rPr>
          <w:rFonts w:ascii="Arial" w:cs="Arial" w:eastAsia="Arial" w:hAnsi="Arial"/>
          <w:sz w:val="18"/>
          <w:szCs w:val="18"/>
          <w:u w:val="single" w:color="auto"/>
          <w:color w:val="0000EE"/>
        </w:rPr>
      </w:pPr>
      <w:hyperlink r:id="rId57">
        <w:r>
          <w:rPr>
            <w:rFonts w:ascii="Arial" w:cs="Arial" w:eastAsia="Arial" w:hAnsi="Arial"/>
            <w:sz w:val="18"/>
            <w:szCs w:val="18"/>
            <w:color w:val="auto"/>
          </w:rPr>
          <w:t>Exhibit 10.3—</w:t>
        </w:r>
        <w:r>
          <w:rPr>
            <w:rFonts w:ascii="Arial" w:cs="Arial" w:eastAsia="Arial" w:hAnsi="Arial"/>
            <w:sz w:val="18"/>
            <w:szCs w:val="18"/>
            <w:u w:val="single" w:color="auto"/>
            <w:color w:val="0000EE"/>
          </w:rPr>
          <w:t>Schlumberger Limited 2004 Stock and Deferral Plan for Non-Employee Directors, as amended and restated effective January 21, 2021</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EE"/>
          </w:rPr>
          <w:t>(incorporated by reference to Exhibit 10.3 to Schlumberger’s Current Report on Form 8-K filed on April 7, 2021) (+)</w:t>
        </w:r>
      </w:hyperlink>
    </w:p>
    <w:p>
      <w:pPr>
        <w:spacing w:after="0" w:line="35" w:lineRule="exact"/>
        <w:rPr>
          <w:sz w:val="20"/>
          <w:szCs w:val="20"/>
          <w:color w:val="auto"/>
        </w:rPr>
      </w:pPr>
    </w:p>
    <w:p>
      <w:pPr>
        <w:ind w:left="580" w:hanging="131"/>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22—</w:t>
      </w:r>
      <w:hyperlink w:anchor="page31">
        <w:r>
          <w:rPr>
            <w:rFonts w:ascii="Arial" w:cs="Arial" w:eastAsia="Arial" w:hAnsi="Arial"/>
            <w:sz w:val="18"/>
            <w:szCs w:val="18"/>
            <w:u w:val="single" w:color="auto"/>
            <w:color w:val="0000EE"/>
          </w:rPr>
          <w:t>Issuers of Registered Guaranteed Debt Securities</w:t>
        </w:r>
      </w:hyperlink>
    </w:p>
    <w:p>
      <w:pPr>
        <w:spacing w:after="0" w:line="90" w:lineRule="exact"/>
        <w:rPr>
          <w:rFonts w:ascii="Arial" w:cs="Arial" w:eastAsia="Arial" w:hAnsi="Arial"/>
          <w:sz w:val="18"/>
          <w:szCs w:val="18"/>
          <w:color w:val="auto"/>
        </w:rPr>
      </w:pPr>
    </w:p>
    <w:p>
      <w:pPr>
        <w:ind w:left="440" w:firstLine="9"/>
        <w:spacing w:after="0" w:line="277" w:lineRule="auto"/>
        <w:tabs>
          <w:tab w:leader="none" w:pos="575" w:val="left"/>
        </w:tabs>
        <w:numPr>
          <w:ilvl w:val="0"/>
          <w:numId w:val="25"/>
        </w:numPr>
        <w:rPr>
          <w:rFonts w:ascii="Arial" w:cs="Arial" w:eastAsia="Arial" w:hAnsi="Arial"/>
          <w:sz w:val="18"/>
          <w:szCs w:val="18"/>
          <w:u w:val="single" w:color="auto"/>
          <w:color w:val="0000EE"/>
        </w:rPr>
      </w:pPr>
      <w:hyperlink w:anchor="page32">
        <w:r>
          <w:rPr>
            <w:rFonts w:ascii="Arial" w:cs="Arial" w:eastAsia="Arial" w:hAnsi="Arial"/>
            <w:sz w:val="18"/>
            <w:szCs w:val="18"/>
            <w:color w:val="auto"/>
          </w:rPr>
          <w:t>Exhibit 31.1—</w:t>
        </w:r>
        <w:r>
          <w:rPr>
            <w:rFonts w:ascii="Arial" w:cs="Arial" w:eastAsia="Arial" w:hAnsi="Arial"/>
            <w:sz w:val="18"/>
            <w:szCs w:val="18"/>
            <w:u w:val="single" w:color="auto"/>
            <w:color w:val="0000EE"/>
          </w:rPr>
          <w:t>Certification of Chief Executive Officer pursuant to Rule 13a-14(a) of the Securities Exchange Act of 1934, as amended, as adopted</w:t>
        </w:r>
      </w:hyperlink>
      <w:r>
        <w:rPr>
          <w:rFonts w:ascii="Arial" w:cs="Arial" w:eastAsia="Arial" w:hAnsi="Arial"/>
          <w:sz w:val="18"/>
          <w:szCs w:val="18"/>
          <w:color w:val="auto"/>
        </w:rPr>
        <w:t xml:space="preserve"> </w:t>
      </w:r>
      <w:hyperlink w:anchor="page32">
        <w:r>
          <w:rPr>
            <w:rFonts w:ascii="Arial" w:cs="Arial" w:eastAsia="Arial" w:hAnsi="Arial"/>
            <w:sz w:val="18"/>
            <w:szCs w:val="18"/>
            <w:u w:val="single" w:color="auto"/>
            <w:color w:val="0000EE"/>
          </w:rPr>
          <w:t>pursuant to Section 302 of the Sarbanes-Oxley Act of 2002</w:t>
        </w:r>
      </w:hyperlink>
    </w:p>
    <w:p>
      <w:pPr>
        <w:spacing w:after="0" w:line="35" w:lineRule="exact"/>
        <w:rPr>
          <w:rFonts w:ascii="Arial" w:cs="Arial" w:eastAsia="Arial" w:hAnsi="Arial"/>
          <w:sz w:val="18"/>
          <w:szCs w:val="18"/>
          <w:u w:val="single" w:color="auto"/>
          <w:color w:val="0000EE"/>
        </w:rPr>
      </w:pPr>
    </w:p>
    <w:p>
      <w:pPr>
        <w:ind w:left="440" w:firstLine="9"/>
        <w:spacing w:after="0" w:line="277" w:lineRule="auto"/>
        <w:tabs>
          <w:tab w:leader="none" w:pos="575" w:val="left"/>
        </w:tabs>
        <w:numPr>
          <w:ilvl w:val="0"/>
          <w:numId w:val="25"/>
        </w:numPr>
        <w:rPr>
          <w:rFonts w:ascii="Arial" w:cs="Arial" w:eastAsia="Arial" w:hAnsi="Arial"/>
          <w:sz w:val="18"/>
          <w:szCs w:val="18"/>
          <w:u w:val="single" w:color="auto"/>
          <w:color w:val="0000EE"/>
        </w:rPr>
      </w:pPr>
      <w:hyperlink w:anchor="page33">
        <w:r>
          <w:rPr>
            <w:rFonts w:ascii="Arial" w:cs="Arial" w:eastAsia="Arial" w:hAnsi="Arial"/>
            <w:sz w:val="18"/>
            <w:szCs w:val="18"/>
            <w:color w:val="auto"/>
          </w:rPr>
          <w:t>Exhibit 31.2—</w:t>
        </w:r>
        <w:r>
          <w:rPr>
            <w:rFonts w:ascii="Arial" w:cs="Arial" w:eastAsia="Arial" w:hAnsi="Arial"/>
            <w:sz w:val="18"/>
            <w:szCs w:val="18"/>
            <w:u w:val="single" w:color="auto"/>
            <w:color w:val="0000EE"/>
          </w:rPr>
          <w:t>Certification of Chief Financial Officer pursuant to Rule 13a-14(a) of the Securities Exchange Act of 1934, as amended, as adopted</w:t>
        </w:r>
      </w:hyperlink>
      <w:r>
        <w:rPr>
          <w:rFonts w:ascii="Arial" w:cs="Arial" w:eastAsia="Arial" w:hAnsi="Arial"/>
          <w:sz w:val="18"/>
          <w:szCs w:val="18"/>
          <w:color w:val="auto"/>
        </w:rPr>
        <w:t xml:space="preserve"> </w:t>
      </w:r>
      <w:hyperlink w:anchor="page33">
        <w:r>
          <w:rPr>
            <w:rFonts w:ascii="Arial" w:cs="Arial" w:eastAsia="Arial" w:hAnsi="Arial"/>
            <w:sz w:val="18"/>
            <w:szCs w:val="18"/>
            <w:u w:val="single" w:color="auto"/>
            <w:color w:val="0000EE"/>
          </w:rPr>
          <w:t>pursuant to Section 302 of the Sarbanes-Oxley Act of 2002</w:t>
        </w:r>
      </w:hyperlink>
    </w:p>
    <w:p>
      <w:pPr>
        <w:spacing w:after="0" w:line="35" w:lineRule="exact"/>
        <w:rPr>
          <w:rFonts w:ascii="Arial" w:cs="Arial" w:eastAsia="Arial" w:hAnsi="Arial"/>
          <w:sz w:val="18"/>
          <w:szCs w:val="18"/>
          <w:color w:val="auto"/>
        </w:rPr>
      </w:pPr>
    </w:p>
    <w:p>
      <w:pPr>
        <w:ind w:left="440" w:firstLine="9"/>
        <w:spacing w:after="0" w:line="277" w:lineRule="auto"/>
        <w:tabs>
          <w:tab w:leader="none" w:pos="672" w:val="left"/>
        </w:tabs>
        <w:numPr>
          <w:ilvl w:val="0"/>
          <w:numId w:val="26"/>
        </w:numPr>
        <w:rPr>
          <w:rFonts w:ascii="Arial" w:cs="Arial" w:eastAsia="Arial" w:hAnsi="Arial"/>
          <w:sz w:val="18"/>
          <w:szCs w:val="18"/>
          <w:u w:val="single" w:color="auto"/>
          <w:color w:val="0000EE"/>
        </w:rPr>
      </w:pPr>
      <w:hyperlink w:anchor="page34">
        <w:r>
          <w:rPr>
            <w:rFonts w:ascii="Arial" w:cs="Arial" w:eastAsia="Arial" w:hAnsi="Arial"/>
            <w:sz w:val="18"/>
            <w:szCs w:val="18"/>
            <w:color w:val="auto"/>
          </w:rPr>
          <w:t>Exhibit 32.1—</w:t>
        </w:r>
        <w:r>
          <w:rPr>
            <w:rFonts w:ascii="Arial" w:cs="Arial" w:eastAsia="Arial" w:hAnsi="Arial"/>
            <w:sz w:val="18"/>
            <w:szCs w:val="18"/>
            <w:u w:val="single" w:color="auto"/>
            <w:color w:val="0000EE"/>
          </w:rPr>
          <w:t>Certification of Chief Executive Officer pursuant to 18 U.S.C. Section 1350, as adopted pursuant to Section 906 of the Sarbanes-</w:t>
        </w:r>
      </w:hyperlink>
      <w:hyperlink w:anchor="page34">
        <w:r>
          <w:rPr>
            <w:rFonts w:ascii="Arial" w:cs="Arial" w:eastAsia="Arial" w:hAnsi="Arial"/>
            <w:sz w:val="18"/>
            <w:szCs w:val="18"/>
            <w:u w:val="single" w:color="auto"/>
            <w:color w:val="0000EE"/>
          </w:rPr>
          <w:t>Oxley Act of 2002</w:t>
        </w:r>
      </w:hyperlink>
    </w:p>
    <w:p>
      <w:pPr>
        <w:spacing w:after="0" w:line="35" w:lineRule="exact"/>
        <w:rPr>
          <w:rFonts w:ascii="Arial" w:cs="Arial" w:eastAsia="Arial" w:hAnsi="Arial"/>
          <w:sz w:val="18"/>
          <w:szCs w:val="18"/>
          <w:u w:val="single" w:color="auto"/>
          <w:color w:val="0000EE"/>
        </w:rPr>
      </w:pPr>
    </w:p>
    <w:p>
      <w:pPr>
        <w:ind w:left="440" w:firstLine="9"/>
        <w:spacing w:after="0" w:line="277" w:lineRule="auto"/>
        <w:tabs>
          <w:tab w:leader="none" w:pos="672" w:val="left"/>
        </w:tabs>
        <w:numPr>
          <w:ilvl w:val="0"/>
          <w:numId w:val="26"/>
        </w:numPr>
        <w:rPr>
          <w:rFonts w:ascii="Arial" w:cs="Arial" w:eastAsia="Arial" w:hAnsi="Arial"/>
          <w:sz w:val="18"/>
          <w:szCs w:val="18"/>
          <w:u w:val="single" w:color="auto"/>
          <w:color w:val="0000EE"/>
        </w:rPr>
      </w:pPr>
      <w:hyperlink w:anchor="page35">
        <w:r>
          <w:rPr>
            <w:rFonts w:ascii="Arial" w:cs="Arial" w:eastAsia="Arial" w:hAnsi="Arial"/>
            <w:sz w:val="18"/>
            <w:szCs w:val="18"/>
            <w:color w:val="auto"/>
          </w:rPr>
          <w:t>Exhibit 32.2—</w:t>
        </w:r>
        <w:r>
          <w:rPr>
            <w:rFonts w:ascii="Arial" w:cs="Arial" w:eastAsia="Arial" w:hAnsi="Arial"/>
            <w:sz w:val="18"/>
            <w:szCs w:val="18"/>
            <w:u w:val="single" w:color="auto"/>
            <w:color w:val="0000EE"/>
          </w:rPr>
          <w:t>Certification of Chief Financial Officer pursuant to 18 U.S.C. Section 1350, as adopted pursuant to Section 906 of the Sarbanes-</w:t>
        </w:r>
      </w:hyperlink>
      <w:hyperlink w:anchor="page35">
        <w:r>
          <w:rPr>
            <w:rFonts w:ascii="Arial" w:cs="Arial" w:eastAsia="Arial" w:hAnsi="Arial"/>
            <w:sz w:val="18"/>
            <w:szCs w:val="18"/>
            <w:u w:val="single" w:color="auto"/>
            <w:color w:val="0000EE"/>
          </w:rPr>
          <w:t>Oxley Act of 2002</w:t>
        </w:r>
      </w:hyperlink>
    </w:p>
    <w:p>
      <w:pPr>
        <w:spacing w:after="0" w:line="35" w:lineRule="exact"/>
        <w:rPr>
          <w:rFonts w:ascii="Arial" w:cs="Arial" w:eastAsia="Arial" w:hAnsi="Arial"/>
          <w:sz w:val="18"/>
          <w:szCs w:val="18"/>
          <w:color w:val="auto"/>
        </w:rPr>
      </w:pPr>
    </w:p>
    <w:p>
      <w:pPr>
        <w:ind w:left="580" w:hanging="131"/>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95—</w:t>
      </w:r>
      <w:hyperlink w:anchor="page36">
        <w:r>
          <w:rPr>
            <w:rFonts w:ascii="Arial" w:cs="Arial" w:eastAsia="Arial" w:hAnsi="Arial"/>
            <w:sz w:val="18"/>
            <w:szCs w:val="18"/>
            <w:u w:val="single" w:color="auto"/>
            <w:color w:val="0000EE"/>
          </w:rPr>
          <w:t>Mine Safety Disclosures</w:t>
        </w:r>
      </w:hyperlink>
    </w:p>
    <w:p>
      <w:pPr>
        <w:spacing w:after="0" w:line="90" w:lineRule="exact"/>
        <w:rPr>
          <w:rFonts w:ascii="Arial" w:cs="Arial" w:eastAsia="Arial" w:hAnsi="Arial"/>
          <w:sz w:val="18"/>
          <w:szCs w:val="18"/>
          <w:color w:val="auto"/>
        </w:rPr>
      </w:pPr>
    </w:p>
    <w:p>
      <w:pPr>
        <w:ind w:left="440" w:firstLine="9"/>
        <w:spacing w:after="0" w:line="277" w:lineRule="auto"/>
        <w:tabs>
          <w:tab w:leader="none" w:pos="58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101.INS—Inline XBRL Instance Document – the instance document does not appear in the Interactive Data File because XBRL tags are embedded within the Inline XBRL document</w:t>
      </w:r>
    </w:p>
    <w:p>
      <w:pPr>
        <w:spacing w:after="0" w:line="35" w:lineRule="exact"/>
        <w:rPr>
          <w:rFonts w:ascii="Arial" w:cs="Arial" w:eastAsia="Arial" w:hAnsi="Arial"/>
          <w:sz w:val="18"/>
          <w:szCs w:val="18"/>
          <w:color w:val="auto"/>
        </w:rPr>
      </w:pPr>
    </w:p>
    <w:p>
      <w:pPr>
        <w:ind w:left="580" w:hanging="131"/>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101.SCH—Inline XBRL Taxonomy Extension Schema Document</w:t>
      </w:r>
    </w:p>
    <w:p>
      <w:pPr>
        <w:spacing w:after="0" w:line="90" w:lineRule="exact"/>
        <w:rPr>
          <w:rFonts w:ascii="Arial" w:cs="Arial" w:eastAsia="Arial" w:hAnsi="Arial"/>
          <w:sz w:val="18"/>
          <w:szCs w:val="18"/>
          <w:color w:val="auto"/>
        </w:rPr>
      </w:pPr>
    </w:p>
    <w:p>
      <w:pPr>
        <w:ind w:left="580" w:hanging="131"/>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101.CAL—Inline XBRL Taxonomy Extension Calculation Linkbase Document</w:t>
      </w:r>
    </w:p>
    <w:p>
      <w:pPr>
        <w:spacing w:after="0" w:line="90" w:lineRule="exact"/>
        <w:rPr>
          <w:rFonts w:ascii="Arial" w:cs="Arial" w:eastAsia="Arial" w:hAnsi="Arial"/>
          <w:sz w:val="18"/>
          <w:szCs w:val="18"/>
          <w:color w:val="auto"/>
        </w:rPr>
      </w:pPr>
    </w:p>
    <w:p>
      <w:pPr>
        <w:ind w:left="580" w:hanging="131"/>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101.DEF—Inline XBRL Taxonomy Extension Definition Linkbase Document</w:t>
      </w:r>
    </w:p>
    <w:p>
      <w:pPr>
        <w:spacing w:after="0" w:line="90" w:lineRule="exact"/>
        <w:rPr>
          <w:rFonts w:ascii="Arial" w:cs="Arial" w:eastAsia="Arial" w:hAnsi="Arial"/>
          <w:sz w:val="18"/>
          <w:szCs w:val="18"/>
          <w:color w:val="auto"/>
        </w:rPr>
      </w:pPr>
    </w:p>
    <w:p>
      <w:pPr>
        <w:ind w:left="580" w:hanging="131"/>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101.LAB—Inline XBRL Taxonomy Extension Label Linkbase Document</w:t>
      </w:r>
    </w:p>
    <w:p>
      <w:pPr>
        <w:spacing w:after="0" w:line="90" w:lineRule="exact"/>
        <w:rPr>
          <w:rFonts w:ascii="Arial" w:cs="Arial" w:eastAsia="Arial" w:hAnsi="Arial"/>
          <w:sz w:val="18"/>
          <w:szCs w:val="18"/>
          <w:color w:val="auto"/>
        </w:rPr>
      </w:pPr>
    </w:p>
    <w:p>
      <w:pPr>
        <w:ind w:left="580" w:hanging="131"/>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101.PRE—Inline XBRL Taxonomy Extension Presentation Linkbase Document</w:t>
      </w:r>
    </w:p>
    <w:p>
      <w:pPr>
        <w:spacing w:after="0" w:line="90"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Exhibit 104—Cover Page Interactive Data File (embedded within the Inline XBRL document)</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this Form 10-Q.</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Furnished with this Form 10-Q.</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Compensatory plans or arrangements.</w:t>
      </w:r>
    </w:p>
    <w:p>
      <w:pPr>
        <w:spacing w:after="0" w:line="225" w:lineRule="exact"/>
        <w:rPr>
          <w:rFonts w:ascii="Arial" w:cs="Arial" w:eastAsia="Arial" w:hAnsi="Arial"/>
          <w:sz w:val="18"/>
          <w:szCs w:val="18"/>
          <w:color w:val="auto"/>
        </w:rPr>
      </w:pPr>
    </w:p>
    <w:p>
      <w:pPr>
        <w:jc w:val="both"/>
        <w:spacing w:after="0" w:line="259" w:lineRule="auto"/>
        <w:rPr>
          <w:sz w:val="20"/>
          <w:szCs w:val="20"/>
          <w:color w:val="auto"/>
        </w:rPr>
      </w:pPr>
      <w:r>
        <w:rPr>
          <w:rFonts w:ascii="Arial" w:cs="Arial" w:eastAsia="Arial" w:hAnsi="Arial"/>
          <w:sz w:val="18"/>
          <w:szCs w:val="18"/>
          <w:color w:val="auto"/>
        </w:rPr>
        <w:t>The Exhibits filed herewith do not include certain instruments with respect to long-term debt of Schlumberger Limited and its subsidiaries, inasmuch as the total amount of debt authorized under any such instrument does not exceed 10 percent of the total assets of Schlumberger Limited and its subsidiaries on a consolidated basis. Schlumberger agrees, pursuant to Item 601(b)(4)(iii) of Regulation S-K, that it will furnish a copy of any such instrument to the SEC upon request.</w:t>
      </w: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0" w:val="left"/>
          <w:tab w:leader="none" w:pos="5720" w:val="left"/>
        </w:tabs>
        <w:rPr>
          <w:sz w:val="20"/>
          <w:szCs w:val="20"/>
          <w:color w:val="auto"/>
        </w:rPr>
      </w:pPr>
      <w:r>
        <w:rPr>
          <w:rFonts w:ascii="Arial" w:cs="Arial" w:eastAsia="Arial" w:hAnsi="Arial"/>
          <w:sz w:val="18"/>
          <w:szCs w:val="18"/>
          <w:color w:val="auto"/>
        </w:rPr>
        <w:t>Date:</w:t>
        <w:tab/>
        <w:t>July 28, 2021</w:t>
      </w:r>
      <w:r>
        <w:rPr>
          <w:sz w:val="20"/>
          <w:szCs w:val="20"/>
          <w:color w:val="auto"/>
        </w:rPr>
        <w:tab/>
      </w:r>
      <w:r>
        <w:rPr>
          <w:rFonts w:ascii="Arial" w:cs="Arial" w:eastAsia="Arial" w:hAnsi="Arial"/>
          <w:sz w:val="17"/>
          <w:szCs w:val="17"/>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Howard Guild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Chief Accounting Officer and Duly Authorized Signatory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68"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22</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u w:val="single" w:color="auto"/>
          <w:color w:val="auto"/>
        </w:rPr>
        <w:t>Issuers of Registered Guaranteed Debt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Investment SA, a société anonyme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(i) SISA was the issuer of its 3.650% Senior Notes due 2023 and 2.650% Senior Notes due 2030 (together, the “SISA Notes”), and (ii) SFCL was the issuer of its 1.400% Senior Notes due 2025 (the “SFCL Notes”). The Guarantor fully and unconditionally guarantees the SISA Notes and the SFCL Notes on a senior unsecured basis.</w:t>
      </w:r>
    </w:p>
    <w:p>
      <w:pPr>
        <w:sectPr>
          <w:pgSz w:w="11900" w:h="16838" w:orient="portrait"/>
          <w:cols w:equalWidth="0" w:num="1">
            <w:col w:w="10380"/>
          </w:cols>
          <w:pgMar w:left="320" w:top="337" w:right="11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Olivier Le Peuch, certify that:</w:t>
      </w:r>
    </w:p>
    <w:p>
      <w:pPr>
        <w:spacing w:after="0" w:line="117" w:lineRule="exact"/>
        <w:rPr>
          <w:sz w:val="20"/>
          <w:szCs w:val="20"/>
          <w:color w:val="auto"/>
        </w:rPr>
      </w:pPr>
    </w:p>
    <w:p>
      <w:pPr>
        <w:ind w:left="560" w:hanging="178"/>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N.V. (Schlumberger Limited);</w:t>
      </w:r>
    </w:p>
    <w:p>
      <w:pPr>
        <w:spacing w:after="0" w:line="117" w:lineRule="exact"/>
        <w:rPr>
          <w:rFonts w:ascii="Arial" w:cs="Arial" w:eastAsia="Arial" w:hAnsi="Arial"/>
          <w:sz w:val="18"/>
          <w:szCs w:val="18"/>
          <w:color w:val="auto"/>
        </w:rPr>
      </w:pPr>
    </w:p>
    <w:p>
      <w:pPr>
        <w:ind w:firstLine="382"/>
        <w:spacing w:after="0" w:line="342" w:lineRule="auto"/>
        <w:tabs>
          <w:tab w:leader="none" w:pos="561"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2"/>
        <w:spacing w:after="0" w:line="277" w:lineRule="auto"/>
        <w:tabs>
          <w:tab w:leader="none" w:pos="562"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2"/>
        <w:spacing w:after="0" w:line="263" w:lineRule="auto"/>
        <w:tabs>
          <w:tab w:leader="none" w:pos="5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100" w:hanging="498"/>
        <w:spacing w:after="0" w:line="342" w:lineRule="auto"/>
        <w:tabs>
          <w:tab w:leader="none" w:pos="11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100" w:hanging="498"/>
        <w:spacing w:after="0" w:line="263" w:lineRule="auto"/>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382"/>
        <w:spacing w:after="0" w:line="308" w:lineRule="auto"/>
        <w:tabs>
          <w:tab w:leader="none" w:pos="558"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00" w:hanging="498"/>
        <w:spacing w:after="0" w:line="308" w:lineRule="auto"/>
        <w:tabs>
          <w:tab w:leader="none" w:pos="11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00" w:hanging="498"/>
        <w:spacing w:after="0" w:line="277" w:lineRule="auto"/>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Date: July 28, 2021</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Le Peuch</w:t>
            </w:r>
          </w:p>
        </w:tc>
      </w:tr>
      <w:tr>
        <w:trPr>
          <w:trHeight w:val="195"/>
        </w:trPr>
        <w:tc>
          <w:tcPr>
            <w:tcW w:w="674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Olivier Le Peuch</w:t>
            </w:r>
          </w:p>
        </w:tc>
      </w:tr>
      <w:tr>
        <w:trPr>
          <w:trHeight w:val="230"/>
        </w:trPr>
        <w:tc>
          <w:tcPr>
            <w:tcW w:w="67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53"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Stephane Biguet, certify that:</w:t>
      </w:r>
    </w:p>
    <w:p>
      <w:pPr>
        <w:spacing w:after="0" w:line="117" w:lineRule="exact"/>
        <w:rPr>
          <w:sz w:val="20"/>
          <w:szCs w:val="20"/>
          <w:color w:val="auto"/>
        </w:rPr>
      </w:pPr>
    </w:p>
    <w:p>
      <w:pPr>
        <w:ind w:left="560" w:hanging="178"/>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N.V. (Schlumberger Limited);</w:t>
      </w:r>
    </w:p>
    <w:p>
      <w:pPr>
        <w:spacing w:after="0" w:line="117" w:lineRule="exact"/>
        <w:rPr>
          <w:rFonts w:ascii="Arial" w:cs="Arial" w:eastAsia="Arial" w:hAnsi="Arial"/>
          <w:sz w:val="18"/>
          <w:szCs w:val="18"/>
          <w:color w:val="auto"/>
        </w:rPr>
      </w:pPr>
    </w:p>
    <w:p>
      <w:pPr>
        <w:ind w:firstLine="382"/>
        <w:spacing w:after="0" w:line="342" w:lineRule="auto"/>
        <w:tabs>
          <w:tab w:leader="none" w:pos="561"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2"/>
        <w:spacing w:after="0" w:line="277" w:lineRule="auto"/>
        <w:tabs>
          <w:tab w:leader="none" w:pos="5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2"/>
        <w:spacing w:after="0" w:line="263" w:lineRule="auto"/>
        <w:tabs>
          <w:tab w:leader="none" w:pos="57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100" w:hanging="498"/>
        <w:spacing w:after="0" w:line="342" w:lineRule="auto"/>
        <w:tabs>
          <w:tab w:leader="none" w:pos="11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100" w:hanging="498"/>
        <w:spacing w:after="0" w:line="263" w:lineRule="auto"/>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382"/>
        <w:spacing w:after="0" w:line="308" w:lineRule="auto"/>
        <w:tabs>
          <w:tab w:leader="none" w:pos="55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00" w:hanging="498"/>
        <w:spacing w:after="0" w:line="308" w:lineRule="auto"/>
        <w:tabs>
          <w:tab w:leader="none" w:pos="11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00" w:hanging="498"/>
        <w:spacing w:after="0" w:line="277" w:lineRule="auto"/>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July 28,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Stephane Biguet</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Stephane Biguet</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553"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Schlumberger N.V. (Schlumberger Limited) (the “Company”) for the quarterly period ended June 30, 2021 as filed with the Securities and Exchange Commission on the date hereof (the “Report”), I, Olivier Le Peuch, Chief Executive Officer of the Company, certify, pursuant to 18 U.S.C. § 1350, as adopted pursuant to § 906 of the Sarbanes-Oxley Act of 2002, that:</w:t>
      </w:r>
    </w:p>
    <w:p>
      <w:pPr>
        <w:spacing w:after="0" w:line="57" w:lineRule="exact"/>
        <w:rPr>
          <w:sz w:val="20"/>
          <w:szCs w:val="20"/>
          <w:color w:val="auto"/>
        </w:rPr>
      </w:pPr>
    </w:p>
    <w:p>
      <w:pPr>
        <w:ind w:left="10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Date: July 28, 2021</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Le Peuch</w:t>
            </w:r>
          </w:p>
        </w:tc>
      </w:tr>
      <w:tr>
        <w:trPr>
          <w:trHeight w:val="195"/>
        </w:trPr>
        <w:tc>
          <w:tcPr>
            <w:tcW w:w="534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Olivier Le Peuch</w:t>
            </w:r>
          </w:p>
        </w:tc>
      </w:tr>
      <w:tr>
        <w:trPr>
          <w:trHeight w:val="230"/>
        </w:trPr>
        <w:tc>
          <w:tcPr>
            <w:tcW w:w="53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553"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June 30, 2021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41" w:lineRule="exact"/>
        <w:rPr>
          <w:sz w:val="20"/>
          <w:szCs w:val="20"/>
          <w:color w:val="auto"/>
        </w:rPr>
      </w:pPr>
    </w:p>
    <w:p>
      <w:pPr>
        <w:ind w:left="10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Date: July 28, 2021</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Stephane Biguet</w:t>
            </w:r>
          </w:p>
        </w:tc>
      </w:tr>
      <w:tr>
        <w:trPr>
          <w:trHeight w:val="195"/>
        </w:trPr>
        <w:tc>
          <w:tcPr>
            <w:tcW w:w="534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Stephane Biguet</w:t>
            </w:r>
          </w:p>
        </w:tc>
      </w:tr>
      <w:tr>
        <w:trPr>
          <w:trHeight w:val="230"/>
        </w:trPr>
        <w:tc>
          <w:tcPr>
            <w:tcW w:w="53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55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5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table that follows reflects citations, orders, violations and proposed assessments issued by the Mine Safety and Health Administration (the “MSHA”) to indirect subsidiaries of Schlumberger. The disclosure is with respect to the three months ended June 30, 2021. Due to timing and other factors, the data may not agree with the mine data retrieval system maintained by the MSHA at www.MSHA.gov.</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June 30,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whole dollars</w:t>
      </w:r>
      <w:r>
        <w:rPr>
          <w:rFonts w:ascii="Arial" w:cs="Arial" w:eastAsia="Arial" w:hAnsi="Arial"/>
          <w:sz w:val="18"/>
          <w:szCs w:val="18"/>
          <w:color w:val="auto"/>
        </w:rPr>
        <w:t>)</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84"/>
              </w:rPr>
              <w:t>Received</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4"/>
              </w:rPr>
              <w:t>Received</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Notice of</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3"/>
              </w:rPr>
              <w:t>Notice of</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Potential to</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8"/>
              </w:rPr>
              <w:t>Pattern of</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5"/>
              </w:rPr>
              <w:t>Have</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Legal</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Total</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Violations</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5"/>
              </w:rPr>
              <w:t>Pattern</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3"/>
              </w:rPr>
              <w:t>Actions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7"/>
              </w:rPr>
              <w:t>Legal</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0"/>
              </w:rPr>
              <w:t>Total Dollar</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0"/>
              </w:rPr>
              <w:t>Number</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Under</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4"/>
              </w:rPr>
              <w:t>Under</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Pending as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3"/>
              </w:rPr>
              <w:t>Actions</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9"/>
              </w:rPr>
              <w:t>Legal Actions</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ind w:left="100"/>
              <w:spacing w:after="0" w:line="135" w:lineRule="exact"/>
              <w:rPr>
                <w:sz w:val="20"/>
                <w:szCs w:val="20"/>
                <w:color w:val="auto"/>
              </w:rPr>
            </w:pPr>
            <w:r>
              <w:rPr>
                <w:rFonts w:ascii="Arial" w:cs="Arial" w:eastAsia="Arial" w:hAnsi="Arial"/>
                <w:sz w:val="13"/>
                <w:szCs w:val="13"/>
                <w:color w:val="auto"/>
              </w:rPr>
              <w:t>Section</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104(d)</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680" w:type="dxa"/>
            <w:vAlign w:val="bottom"/>
          </w:tcPr>
          <w:p>
            <w:pPr>
              <w:ind w:left="160"/>
              <w:spacing w:after="0" w:line="135" w:lineRule="exact"/>
              <w:rPr>
                <w:sz w:val="20"/>
                <w:szCs w:val="20"/>
                <w:color w:val="auto"/>
              </w:rPr>
            </w:pPr>
            <w:r>
              <w:rPr>
                <w:rFonts w:ascii="Arial" w:cs="Arial" w:eastAsia="Arial" w:hAnsi="Arial"/>
                <w:sz w:val="13"/>
                <w:szCs w:val="13"/>
                <w:color w:val="auto"/>
              </w:rPr>
              <w:t>Section</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2"/>
              </w:rPr>
              <w:t>Value of MSHA</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4"/>
              </w:rPr>
              <w:t>of Mining</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of Last</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2"/>
              </w:rPr>
              <w:t>Initiated</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4"/>
              </w:rPr>
              <w:t>Resolved</w:t>
            </w:r>
          </w:p>
        </w:tc>
        <w:tc>
          <w:tcPr>
            <w:tcW w:w="0" w:type="dxa"/>
            <w:vAlign w:val="bottom"/>
          </w:tcPr>
          <w:p>
            <w:pPr>
              <w:spacing w:after="0"/>
              <w:rPr>
                <w:sz w:val="1"/>
                <w:szCs w:val="1"/>
                <w:color w:val="auto"/>
              </w:rPr>
            </w:pPr>
          </w:p>
        </w:tc>
      </w:tr>
      <w:tr>
        <w:trPr>
          <w:trHeight w:val="135"/>
        </w:trPr>
        <w:tc>
          <w:tcPr>
            <w:tcW w:w="1920" w:type="dxa"/>
            <w:vAlign w:val="bottom"/>
          </w:tcPr>
          <w:p>
            <w:pPr>
              <w:spacing w:after="0" w:line="135" w:lineRule="exact"/>
              <w:rPr>
                <w:sz w:val="20"/>
                <w:szCs w:val="20"/>
                <w:color w:val="auto"/>
              </w:rPr>
            </w:pPr>
            <w:r>
              <w:rPr>
                <w:rFonts w:ascii="Arial" w:cs="Arial" w:eastAsia="Arial" w:hAnsi="Arial"/>
                <w:sz w:val="13"/>
                <w:szCs w:val="13"/>
                <w:color w:val="auto"/>
              </w:rPr>
              <w:t>Mine or Operating Name/MSHA</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 104</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0"/>
              </w:rPr>
              <w:t>104(b)</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Citations</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9"/>
              </w:rPr>
              <w:t>110(b)(2)</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5"/>
              </w:rPr>
              <w:t>107(a)</w:t>
            </w:r>
          </w:p>
        </w:tc>
        <w:tc>
          <w:tcPr>
            <w:tcW w:w="10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2"/>
              </w:rPr>
              <w:t>Assessments</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4"/>
              </w:rPr>
              <w:t>Related</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5"/>
              </w:rPr>
              <w:t>104(e)</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0"/>
              </w:rPr>
              <w:t>104(e)</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Day</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3"/>
              </w:rPr>
              <w:t>During</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3"/>
              </w:rPr>
              <w:t>During</w:t>
            </w:r>
          </w:p>
        </w:tc>
        <w:tc>
          <w:tcPr>
            <w:tcW w:w="0" w:type="dxa"/>
            <w:vAlign w:val="bottom"/>
          </w:tcPr>
          <w:p>
            <w:pPr>
              <w:spacing w:after="0"/>
              <w:rPr>
                <w:sz w:val="1"/>
                <w:szCs w:val="1"/>
                <w:color w:val="auto"/>
              </w:rPr>
            </w:pPr>
          </w:p>
        </w:tc>
      </w:tr>
      <w:tr>
        <w:trPr>
          <w:trHeight w:val="149"/>
        </w:trPr>
        <w:tc>
          <w:tcPr>
            <w:tcW w:w="19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Identification Number</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S&amp;S Citations</w:t>
            </w: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Orders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and Orders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Violations</w:t>
            </w: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Orders</w:t>
            </w:r>
          </w:p>
        </w:tc>
        <w:tc>
          <w:tcPr>
            <w:tcW w:w="104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color w:val="auto"/>
                <w:w w:val="85"/>
              </w:rPr>
              <w:t>Proposed (1)</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Fatalities</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(yes/no)</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(yes/no)</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of Period</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Period</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Period</w:t>
            </w:r>
          </w:p>
        </w:tc>
        <w:tc>
          <w:tcPr>
            <w:tcW w:w="0" w:type="dxa"/>
            <w:vAlign w:val="bottom"/>
          </w:tcPr>
          <w:p>
            <w:pPr>
              <w:spacing w:after="0"/>
              <w:rPr>
                <w:sz w:val="1"/>
                <w:szCs w:val="1"/>
                <w:color w:val="auto"/>
              </w:rPr>
            </w:pPr>
          </w:p>
        </w:tc>
      </w:tr>
      <w:tr>
        <w:trPr>
          <w:trHeight w:val="275"/>
        </w:trPr>
        <w:tc>
          <w:tcPr>
            <w:tcW w:w="1920" w:type="dxa"/>
            <w:vAlign w:val="bottom"/>
          </w:tcPr>
          <w:p>
            <w:pPr>
              <w:spacing w:after="0"/>
              <w:rPr>
                <w:sz w:val="20"/>
                <w:szCs w:val="20"/>
                <w:color w:val="auto"/>
              </w:rPr>
            </w:pPr>
            <w:r>
              <w:rPr>
                <w:rFonts w:ascii="Arial" w:cs="Arial" w:eastAsia="Arial" w:hAnsi="Arial"/>
                <w:sz w:val="13"/>
                <w:szCs w:val="13"/>
                <w:color w:val="auto"/>
              </w:rPr>
              <w:t>Amelia Barite Plant/1600825</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5"/>
        </w:trPr>
        <w:tc>
          <w:tcPr>
            <w:tcW w:w="1920" w:type="dxa"/>
            <w:vAlign w:val="bottom"/>
          </w:tcPr>
          <w:p>
            <w:pPr>
              <w:spacing w:after="0"/>
              <w:rPr>
                <w:sz w:val="20"/>
                <w:szCs w:val="20"/>
                <w:color w:val="auto"/>
              </w:rPr>
            </w:pPr>
            <w:r>
              <w:rPr>
                <w:rFonts w:ascii="Arial" w:cs="Arial" w:eastAsia="Arial" w:hAnsi="Arial"/>
                <w:sz w:val="13"/>
                <w:szCs w:val="13"/>
                <w:color w:val="auto"/>
              </w:rPr>
              <w:t>Battle Mountain</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95"/>
              </w:rPr>
              <w:t>─(2)</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Grinding Plant/2600828</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920" w:type="dxa"/>
            <w:vAlign w:val="bottom"/>
          </w:tcPr>
          <w:p>
            <w:pPr>
              <w:spacing w:after="0"/>
              <w:rPr>
                <w:sz w:val="20"/>
                <w:szCs w:val="20"/>
                <w:color w:val="auto"/>
              </w:rPr>
            </w:pPr>
            <w:r>
              <w:rPr>
                <w:rFonts w:ascii="Arial" w:cs="Arial" w:eastAsia="Arial" w:hAnsi="Arial"/>
                <w:sz w:val="13"/>
                <w:szCs w:val="13"/>
                <w:color w:val="auto"/>
                <w:w w:val="93"/>
              </w:rPr>
              <w:t>Greybull Milling Operation/4800602</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64"/>
        </w:trPr>
        <w:tc>
          <w:tcPr>
            <w:tcW w:w="1920" w:type="dxa"/>
            <w:vAlign w:val="bottom"/>
          </w:tcPr>
          <w:p>
            <w:pPr>
              <w:spacing w:after="0"/>
              <w:rPr>
                <w:sz w:val="20"/>
                <w:szCs w:val="20"/>
                <w:color w:val="auto"/>
              </w:rPr>
            </w:pPr>
            <w:r>
              <w:rPr>
                <w:rFonts w:ascii="Arial" w:cs="Arial" w:eastAsia="Arial" w:hAnsi="Arial"/>
                <w:sz w:val="13"/>
                <w:szCs w:val="13"/>
                <w:color w:val="auto"/>
                <w:w w:val="92"/>
              </w:rPr>
              <w:t>Greybull Mining Operation/4800603</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1"/>
        </w:trPr>
        <w:tc>
          <w:tcPr>
            <w:tcW w:w="1920" w:type="dxa"/>
            <w:vAlign w:val="bottom"/>
          </w:tcPr>
          <w:p>
            <w:pPr>
              <w:spacing w:after="0"/>
              <w:rPr>
                <w:sz w:val="20"/>
                <w:szCs w:val="20"/>
                <w:color w:val="auto"/>
              </w:rPr>
            </w:pPr>
            <w:r>
              <w:rPr>
                <w:rFonts w:ascii="Arial" w:cs="Arial" w:eastAsia="Arial" w:hAnsi="Arial"/>
                <w:sz w:val="13"/>
                <w:szCs w:val="13"/>
                <w:color w:val="auto"/>
              </w:rPr>
              <w:t>Greystone Mine/2600411</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0"/>
                <w:szCs w:val="20"/>
                <w:color w:val="auto"/>
              </w:rPr>
            </w:pPr>
            <w:r>
              <w:rPr>
                <w:rFonts w:ascii="Arial" w:cs="Arial" w:eastAsia="Arial" w:hAnsi="Arial"/>
                <w:sz w:val="13"/>
                <w:szCs w:val="13"/>
                <w:color w:val="auto"/>
              </w:rPr>
              <w:t>Mountain Springs</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Beneficiation Plant/2601390</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0"/>
                <w:szCs w:val="20"/>
                <w:color w:val="auto"/>
              </w:rPr>
            </w:pPr>
            <w:r>
              <w:rPr>
                <w:rFonts w:ascii="Arial" w:cs="Arial" w:eastAsia="Arial" w:hAnsi="Arial"/>
                <w:sz w:val="13"/>
                <w:szCs w:val="13"/>
                <w:color w:val="auto"/>
              </w:rPr>
              <w:t>Wisconsin Proppants</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95"/>
              </w:rPr>
              <w:t>─(2)</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Hixton Mine/4703742</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both"/>
        <w:ind w:left="380" w:right="120" w:hanging="372"/>
        <w:spacing w:after="0" w:line="265"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Amounts included are the total dollar value of proposed assessments received from MSHA on or before June 30, 2021, regardless of whether the assessment has been challenged or appealed, for citations and orders occurring during the quarter ended June 30, 2021.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1" w:lineRule="exact"/>
        <w:rPr>
          <w:rFonts w:ascii="Arial" w:cs="Arial" w:eastAsia="Arial" w:hAnsi="Arial"/>
          <w:sz w:val="16"/>
          <w:szCs w:val="16"/>
          <w:color w:val="auto"/>
        </w:rPr>
      </w:pPr>
    </w:p>
    <w:p>
      <w:pPr>
        <w:ind w:left="380" w:right="80" w:hanging="372"/>
        <w:spacing w:after="0" w:line="288"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of June 30, 2021, MSHA had not yet proposed an assessment for one non-S&amp;S citations at Battle Mountain Grinding Plant/2600828, and one non-S&amp;S citations at Wisconsin Proppants Hixton Mine/4703742.</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lvl w:ilvl="1">
      <w:lvlJc w:val="left"/>
      <w:lvlText w:val="-"/>
      <w:numFmt w:val="bullet"/>
      <w:start w:val="1"/>
    </w:lvl>
  </w:abstractNum>
  <w:abstractNum w:abstractNumId="7">
    <w:nsid w:val="333AB105"/>
    <w:multiLevelType w:val="hybridMultilevel"/>
    <w:lvl w:ilvl="0">
      <w:lvlJc w:val="left"/>
      <w:lvlText w:val="•"/>
      <w:numFmt w:val="bullet"/>
      <w:start w:val="1"/>
    </w:lvl>
    <w:lvl w:ilvl="1">
      <w:lvlJc w:val="left"/>
      <w:lvlText w:val="-"/>
      <w:numFmt w:val="bullet"/>
      <w:start w:val="1"/>
    </w:lvl>
  </w:abstractNum>
  <w:abstractNum w:abstractNumId="8">
    <w:nsid w:val="721DA317"/>
    <w:multiLevelType w:val="hybridMultilevel"/>
    <w:lvl w:ilvl="0">
      <w:lvlJc w:val="left"/>
      <w:lvlText w:val="•"/>
      <w:numFmt w:val="bullet"/>
      <w:start w:val="1"/>
    </w:lvl>
    <w:lvl w:ilvl="1">
      <w:lvlJc w:val="left"/>
      <w:lvlText w:val="-"/>
      <w:numFmt w:val="bullet"/>
      <w:start w:val="1"/>
    </w:lvl>
  </w:abstractNum>
  <w:abstractNum w:abstractNumId="9">
    <w:nsid w:val="2443A858"/>
    <w:multiLevelType w:val="hybridMultilevel"/>
    <w:lvl w:ilvl="0">
      <w:lvlJc w:val="left"/>
      <w:lvlText w:val="%1."/>
      <w:numFmt w:val="decimal"/>
      <w:start w:val="3"/>
    </w:lvl>
  </w:abstractNum>
  <w:abstractNum w:abstractNumId="10">
    <w:nsid w:val="2D1D5AE9"/>
    <w:multiLevelType w:val="hybridMultilevel"/>
    <w:lvl w:ilvl="0">
      <w:lvlJc w:val="left"/>
      <w:lvlText w:val="%1."/>
      <w:numFmt w:val="decimal"/>
      <w:start w:val="4"/>
    </w:lvl>
  </w:abstractNum>
  <w:abstractNum w:abstractNumId="11">
    <w:nsid w:val="6763845E"/>
    <w:multiLevelType w:val="hybridMultilevel"/>
    <w:lvl w:ilvl="0">
      <w:lvlJc w:val="left"/>
      <w:lvlText w:val="%1."/>
      <w:numFmt w:val="decimal"/>
      <w:start w:val="6"/>
    </w:lvl>
  </w:abstractNum>
  <w:abstractNum w:abstractNumId="12">
    <w:nsid w:val="75A2A8D4"/>
    <w:multiLevelType w:val="hybridMultilevel"/>
    <w:lvl w:ilvl="0">
      <w:lvlJc w:val="left"/>
      <w:lvlText w:val="%1."/>
      <w:numFmt w:val="decimal"/>
      <w:start w:val="7"/>
    </w:lvl>
  </w:abstractNum>
  <w:abstractNum w:abstractNumId="13">
    <w:nsid w:val="8EDBDAB"/>
    <w:multiLevelType w:val="hybridMultilevel"/>
    <w:lvl w:ilvl="0">
      <w:lvlJc w:val="left"/>
      <w:lvlText w:val="%1."/>
      <w:numFmt w:val="decimal"/>
      <w:start w:val="8"/>
    </w:lvl>
  </w:abstractNum>
  <w:abstractNum w:abstractNumId="14">
    <w:nsid w:val="79838CB2"/>
    <w:multiLevelType w:val="hybridMultilevel"/>
    <w:lvl w:ilvl="0">
      <w:lvlJc w:val="left"/>
      <w:lvlText w:val="%1."/>
      <w:numFmt w:val="decimal"/>
      <w:start w:val="9"/>
    </w:lvl>
  </w:abstractNum>
  <w:abstractNum w:abstractNumId="15">
    <w:nsid w:val="4353D0CD"/>
    <w:multiLevelType w:val="hybridMultilevel"/>
    <w:lvl w:ilvl="0">
      <w:lvlJc w:val="left"/>
      <w:lvlText w:val="%1."/>
      <w:numFmt w:val="decimal"/>
      <w:start w:val="10"/>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lvl w:ilvl="1">
      <w:lvlJc w:val="left"/>
      <w:lvlText w:val="%2)"/>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4" Type="http://schemas.openxmlformats.org/officeDocument/2006/relationships/image" Target="media/image44.png"/><Relationship Id="rId56"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47" Type="http://schemas.openxmlformats.org/officeDocument/2006/relationships/hyperlink" Target="http://www.sec.gov/Archives/edgar/data/87347/000119312516532046/d176097dex31.htm" TargetMode="External"/><Relationship Id="rId50" Type="http://schemas.openxmlformats.org/officeDocument/2006/relationships/hyperlink" Target="http://www.sec.gov/Archives/edgar/data/87347/000119312519198989/d763655dex3.htm" TargetMode="External"/><Relationship Id="rId53" Type="http://schemas.openxmlformats.org/officeDocument/2006/relationships/hyperlink" Target="http://www.sec.gov/Archives/edgar/data/87347/000119312521109039/d128317dex101.htm" TargetMode="External"/><Relationship Id="rId55" Type="http://schemas.openxmlformats.org/officeDocument/2006/relationships/hyperlink" Target="http://www.sec.gov/Archives/edgar/data/87347/000119312521109039/d128317dex102.htm" TargetMode="External"/><Relationship Id="rId57" Type="http://schemas.openxmlformats.org/officeDocument/2006/relationships/hyperlink" Target="http://www.sec.gov/Archives/edgar/data/87347/000119312521109039/d128317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2021-07-28T11:49:26Z</dcterms:created>
  <dcterms:modified xsi:type="dcterms:W3CDTF">2021-07-28T11:49:26Z</dcterms:modified>
</cp:coreProperties>
</file>