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April 22, 2004, the closing sale price of our common stock as reported on the New York Stock Exchange was $63.84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April 23,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Fund (Bermuda)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2.8</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4,595,000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11,950,000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5,930,804</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1,569,196</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540"/>
              <w:spacing w:after="0"/>
              <w:rPr>
                <w:sz w:val="20"/>
                <w:szCs w:val="20"/>
                <w:color w:val="auto"/>
              </w:rPr>
            </w:pPr>
            <w:r>
              <w:rPr>
                <w:rFonts w:ascii="Arial" w:cs="Arial" w:eastAsia="Arial" w:hAnsi="Arial"/>
                <w:sz w:val="14"/>
                <w:szCs w:val="14"/>
                <w:color w:val="auto"/>
              </w:rPr>
              <w:t>110,000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Centennier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134,941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CIBC World Markets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103,976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Clinton Multistrategy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1,275,000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15,937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Clinton Riverside Convertible Portfolio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1,725,000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CNH CA Master Account,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221,208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F&amp;C Global Convertible Bond SICAV</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2,530(4)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207,251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24,378,000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5.4</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412,287(5)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gridSpan w:val="3"/>
          </w:tcPr>
          <w:p>
            <w:pPr>
              <w:spacing w:after="0"/>
              <w:rPr>
                <w:sz w:val="20"/>
                <w:szCs w:val="20"/>
                <w:color w:val="auto"/>
              </w:rPr>
            </w:pPr>
            <w:r>
              <w:rPr>
                <w:rFonts w:ascii="Arial" w:cs="Arial" w:eastAsia="Arial" w:hAnsi="Arial"/>
                <w:sz w:val="14"/>
                <w:szCs w:val="14"/>
                <w:color w:val="auto"/>
              </w:rPr>
              <w:t>Hamburger Pensionskasse von 1905 VvaG</w:t>
            </w:r>
          </w:p>
        </w:tc>
        <w:tc>
          <w:tcPr>
            <w:tcW w:w="680" w:type="dxa"/>
            <w:vAlign w:val="bottom"/>
          </w:tcPr>
          <w:p>
            <w:pPr>
              <w:jc w:val="right"/>
              <w:spacing w:after="0"/>
              <w:rPr>
                <w:sz w:val="20"/>
                <w:szCs w:val="20"/>
                <w:color w:val="auto"/>
              </w:rPr>
            </w:pPr>
            <w:r>
              <w:rPr>
                <w:rFonts w:ascii="Arial" w:cs="Arial" w:eastAsia="Arial" w:hAnsi="Arial"/>
                <w:sz w:val="14"/>
                <w:szCs w:val="14"/>
                <w:color w:val="auto"/>
              </w:rPr>
              <w:t>465,000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6,428</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J.P. Morgan Securities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1,512,000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LODH The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52,253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204,617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gridSpan w:val="3"/>
          </w:tcPr>
          <w:p>
            <w:pPr>
              <w:spacing w:after="0"/>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125,000</w:t>
            </w:r>
          </w:p>
        </w:tc>
        <w:tc>
          <w:tcPr>
            <w:tcW w:w="17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1,728</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Royal Bank of Canada (CI)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S.A.C. Capital Associates,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135,604(6)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69,127(7)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3"/>
                <w:szCs w:val="13"/>
                <w:color w:val="auto"/>
              </w:rPr>
            </w:pP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16,180,000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3.6</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202,250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138,255(8)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83,758(9)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Tribeca Investments,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241,946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7,087,000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97,981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6,500,000</w:t>
            </w:r>
          </w:p>
        </w:tc>
        <w:tc>
          <w:tcPr>
            <w:tcW w:w="5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81,250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4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F&amp;C Global Convertible Bond SICAV also beneficially owns $300,000 of our Series A debentures.</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Goldman, Sachs &amp; Co. also beneficially owns (i) 302,006 shares of our common stock, (ii) options to purchase 246,800 shares of our common stock that are exercisable within 60 days of the date of this prospectus supplement, (iii) $5,780,000 of our Series A debentures and (iv) $7,878,000 of our Series B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2019-12-12T10:19:35Z</dcterms:created>
  <dcterms:modified xsi:type="dcterms:W3CDTF">2019-12-12T10:19:35Z</dcterms:modified>
</cp:coreProperties>
</file>