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d396553dirannotice.htm"/>
      <w:bookmarkStart w:id="1" w:name="ksd396553dirannotice"/>
      <w:bookmarkStart w:id="2" w:name="d396553dirannotice.htm"/>
      <w:bookmarkStart w:id="3" w:name="ksd396553dirannotice"/>
      <w:bookmarkEnd w:id="2"/>
      <w:bookmarkEnd w:id="3"/>
    </w:p>
    <w:tbl>
      <w:tblPr>
        <w:tblW w:w="5000" w:type="pct"/>
        <w:jc w:val="center"/>
        <w:tblInd w:w="0" w:type="dxa"/>
        <w:tblCellMar>
          <w:top w:w="0" w:type="dxa"/>
          <w:left w:w="0" w:type="dxa"/>
          <w:bottom w:w="0" w:type="dxa"/>
          <w:right w:w="0" w:type="dxa"/>
        </w:tblCellMar>
      </w:tblPr>
      <w:tblGrid>
        <w:gridCol w:w="3368"/>
        <w:gridCol w:w="101"/>
        <w:gridCol w:w="3369"/>
        <w:gridCol w:w="101"/>
        <w:gridCol w:w="3266"/>
      </w:tblGrid>
      <w:tr>
        <w:trPr/>
        <w:tc>
          <w:tcPr>
            <w:tcW w:w="336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3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368" w:type="dxa"/>
            <w:tcBorders/>
            <w:shd w:fill="auto" w:val="clear"/>
            <w:vAlign w:val="bottom"/>
          </w:tcPr>
          <w:p>
            <w:pPr>
              <w:pStyle w:val="TableContents"/>
              <w:spacing w:before="0" w:after="20"/>
              <w:rPr/>
            </w:pPr>
            <w:r>
              <w:rPr/>
              <w:drawing>
                <wp:inline distT="0" distB="0" distL="0" distR="0">
                  <wp:extent cx="105727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57275" cy="657225"/>
                          </a:xfrm>
                          <a:prstGeom prst="rect">
                            <a:avLst/>
                          </a:prstGeom>
                        </pic:spPr>
                      </pic:pic>
                    </a:graphicData>
                  </a:graphic>
                </wp:inline>
              </w:drawing>
            </w:r>
            <w:r>
              <w:rPr/>
              <w:t xml:space="preserve"> </w:t>
            </w:r>
          </w:p>
        </w:tc>
        <w:tc>
          <w:tcPr>
            <w:tcW w:w="101" w:type="dxa"/>
            <w:tcBorders/>
            <w:shd w:fill="auto" w:val="clear"/>
            <w:vAlign w:val="bottom"/>
          </w:tcPr>
          <w:p>
            <w:pPr>
              <w:pStyle w:val="TableContents"/>
              <w:spacing w:before="0" w:after="283"/>
              <w:rPr/>
            </w:pPr>
            <w:r>
              <w:rPr/>
              <w:t> </w:t>
            </w:r>
          </w:p>
        </w:tc>
        <w:tc>
          <w:tcPr>
            <w:tcW w:w="3369"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0"/>
              <w:rPr>
                <w:rFonts w:ascii="ARIAL" w:hAnsi="ARIAL"/>
                <w:sz w:val="20"/>
              </w:rPr>
            </w:pPr>
            <w:r>
              <w:rPr>
                <w:rFonts w:ascii="ARIAL" w:hAnsi="ARIAL"/>
                <w:sz w:val="20"/>
              </w:rPr>
              <w:t>Schlumberger Limited</w:t>
            </w:r>
          </w:p>
          <w:p>
            <w:pPr>
              <w:pStyle w:val="TableContents"/>
              <w:spacing w:before="0" w:after="0"/>
              <w:rPr>
                <w:rFonts w:ascii="ARIAL" w:hAnsi="ARIAL"/>
                <w:sz w:val="20"/>
              </w:rPr>
            </w:pPr>
            <w:r>
              <w:rPr>
                <w:rFonts w:ascii="ARIAL" w:hAnsi="ARIAL"/>
                <w:sz w:val="20"/>
              </w:rPr>
              <w:t>(Schlumberger N.V.)</w:t>
            </w:r>
          </w:p>
          <w:p>
            <w:pPr>
              <w:pStyle w:val="TableContents"/>
              <w:spacing w:before="0" w:after="0"/>
              <w:rPr>
                <w:rFonts w:ascii="ARIAL" w:hAnsi="ARIAL"/>
                <w:sz w:val="20"/>
              </w:rPr>
            </w:pPr>
            <w:r>
              <w:rPr>
                <w:rFonts w:ascii="ARIAL" w:hAnsi="ARIAL"/>
                <w:sz w:val="20"/>
              </w:rPr>
              <w:t>5599 San Felipe</w:t>
            </w:r>
          </w:p>
          <w:p>
            <w:pPr>
              <w:pStyle w:val="TableContents"/>
              <w:spacing w:before="0" w:after="20"/>
              <w:rPr>
                <w:rFonts w:ascii="ARIAL" w:hAnsi="ARIAL"/>
                <w:sz w:val="20"/>
              </w:rPr>
            </w:pPr>
            <w:r>
              <w:rPr>
                <w:rFonts w:ascii="ARIAL" w:hAnsi="ARIAL"/>
                <w:sz w:val="20"/>
              </w:rPr>
              <w:t>Houston, Texas 77056</w:t>
            </w:r>
          </w:p>
        </w:tc>
      </w:tr>
    </w:tbl>
    <w:p>
      <w:pPr>
        <w:pStyle w:val="TextBody"/>
        <w:spacing w:before="240" w:after="0"/>
        <w:jc w:val="left"/>
        <w:rPr>
          <w:rFonts w:ascii="ARIAL" w:hAnsi="ARIAL"/>
          <w:sz w:val="20"/>
        </w:rPr>
      </w:pPr>
      <w:r>
        <w:rPr>
          <w:rFonts w:ascii="ARIAL" w:hAnsi="ARIAL"/>
          <w:sz w:val="20"/>
        </w:rPr>
        <w:t xml:space="preserve">U.S. Securities and Exchange Commission </w:t>
      </w:r>
    </w:p>
    <w:p>
      <w:pPr>
        <w:pStyle w:val="TextBody"/>
        <w:spacing w:before="0" w:after="0"/>
        <w:jc w:val="left"/>
        <w:rPr>
          <w:rFonts w:ascii="ARIAL" w:hAnsi="ARIAL"/>
          <w:sz w:val="20"/>
        </w:rPr>
      </w:pPr>
      <w:r>
        <w:rPr>
          <w:rFonts w:ascii="ARIAL" w:hAnsi="ARIAL"/>
          <w:sz w:val="20"/>
        </w:rPr>
        <w:t xml:space="preserve">100 F Street, N.E. </w:t>
      </w:r>
    </w:p>
    <w:p>
      <w:pPr>
        <w:pStyle w:val="TextBody"/>
        <w:spacing w:before="0" w:after="0"/>
        <w:jc w:val="left"/>
        <w:rPr>
          <w:rFonts w:ascii="ARIAL" w:hAnsi="ARIAL"/>
          <w:sz w:val="20"/>
        </w:rPr>
      </w:pPr>
      <w:r>
        <w:rPr>
          <w:rFonts w:ascii="ARIAL" w:hAnsi="ARIAL"/>
          <w:sz w:val="20"/>
        </w:rPr>
        <w:t xml:space="preserve">Washington, DC 20549 </w:t>
      </w:r>
    </w:p>
    <w:p>
      <w:pPr>
        <w:pStyle w:val="TextBody"/>
        <w:spacing w:before="240" w:after="0"/>
        <w:jc w:val="left"/>
        <w:rPr>
          <w:rFonts w:ascii="ARIAL" w:hAnsi="ARIAL"/>
          <w:sz w:val="20"/>
        </w:rPr>
      </w:pPr>
      <w:r>
        <w:rPr>
          <w:rFonts w:ascii="ARIAL" w:hAnsi="ARIAL"/>
          <w:sz w:val="20"/>
        </w:rPr>
        <w:t xml:space="preserve">26 April 2023 </w:t>
      </w:r>
    </w:p>
    <w:p>
      <w:pPr>
        <w:pStyle w:val="TextBody"/>
        <w:spacing w:before="240" w:after="0"/>
        <w:jc w:val="left"/>
        <w:rPr>
          <w:rFonts w:ascii="ARIAL" w:hAnsi="ARIAL"/>
          <w:sz w:val="20"/>
        </w:rPr>
      </w:pPr>
      <w:r>
        <w:rPr>
          <w:rFonts w:ascii="ARIAL" w:hAnsi="ARIAL"/>
          <w:sz w:val="20"/>
        </w:rPr>
        <w:t xml:space="preserve">Re: </w:t>
      </w:r>
      <w:r>
        <w:rPr>
          <w:rFonts w:ascii="ARIAL" w:hAnsi="ARIAL"/>
          <w:i/>
          <w:sz w:val="20"/>
        </w:rPr>
        <w:t>Notice of Disclosure Filed in Exchange Act Annual Report Under Section</w:t>
      </w:r>
      <w:r>
        <w:rPr>
          <w:rFonts w:ascii="ARIAL" w:hAnsi="ARIAL"/>
          <w:sz w:val="20"/>
        </w:rPr>
        <w:t> </w:t>
      </w:r>
      <w:r>
        <w:rPr>
          <w:rFonts w:ascii="ARIAL" w:hAnsi="ARIAL"/>
          <w:i/>
          <w:sz w:val="20"/>
        </w:rPr>
        <w:t>219 of the Iran Threat Reduction and Syria Human Rights Act of 2012 and Section</w:t>
      </w:r>
      <w:r>
        <w:rPr>
          <w:rFonts w:ascii="ARIAL" w:hAnsi="ARIAL"/>
          <w:sz w:val="20"/>
        </w:rPr>
        <w:t> </w:t>
      </w:r>
      <w:r>
        <w:rPr>
          <w:rFonts w:ascii="ARIAL" w:hAnsi="ARIAL"/>
          <w:i/>
          <w:sz w:val="20"/>
        </w:rPr>
        <w:t>13(r) of the Exchange Act</w:t>
      </w:r>
      <w:r>
        <w:rPr>
          <w:rFonts w:ascii="ARIAL" w:hAnsi="ARIAL"/>
          <w:sz w:val="20"/>
        </w:rPr>
        <w:t xml:space="preserve"> </w:t>
      </w:r>
    </w:p>
    <w:p>
      <w:pPr>
        <w:pStyle w:val="TextBody"/>
        <w:spacing w:before="240" w:after="0"/>
        <w:jc w:val="left"/>
        <w:rPr>
          <w:rFonts w:ascii="ARIAL" w:hAnsi="ARIAL"/>
          <w:sz w:val="20"/>
        </w:rPr>
      </w:pPr>
      <w:r>
        <w:rPr>
          <w:rFonts w:ascii="ARIAL" w:hAnsi="ARIAL"/>
          <w:sz w:val="20"/>
        </w:rPr>
        <w:t xml:space="preserve">Ladies and Gentlemen: </w:t>
      </w:r>
    </w:p>
    <w:p>
      <w:pPr>
        <w:pStyle w:val="TextBody"/>
        <w:spacing w:before="120" w:after="0"/>
        <w:jc w:val="left"/>
        <w:rPr>
          <w:rFonts w:ascii="ARIAL" w:hAnsi="ARIAL"/>
          <w:sz w:val="20"/>
        </w:rPr>
      </w:pPr>
      <w:r>
        <w:rPr>
          <w:rFonts w:ascii="ARIAL" w:hAnsi="ARIAL"/>
          <w:sz w:val="20"/>
        </w:rPr>
        <w:t xml:space="preserve">Pursuant to Section 219 of the Iran Threat Reduction and Syria Human Rights Act of 2012 and Section 13(r) of the Securities Exchange Act of 1934, as amended, notice is hereby provided that Schlumberger Limited (Schlumberger N.V.) has made disclosure pursuant to such provisions in its Quarterly Report on Form 10-Q for the fiscal quarter ended March 31, 2023, which was filed with the U.S. Securities and Exchange Commission on April 26, 2023. Such disclosure appears on page 20 of the Quarterly Report on Form 10-Q and is incorporated by reference herein.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Sincerely,</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ARIAL" w:hAnsi="ARIAL"/>
                <w:sz w:val="20"/>
              </w:rPr>
            </w:pPr>
            <w:r>
              <w:rPr>
                <w:rFonts w:ascii="ARIAL" w:hAnsi="ARIAL"/>
                <w:sz w:val="20"/>
              </w:rPr>
              <w:t>/s/ Samantha Blons</w:t>
            </w:r>
          </w:p>
        </w:tc>
      </w:tr>
      <w:tr>
        <w:trPr/>
        <w:tc>
          <w:tcPr>
            <w:tcW w:w="4082" w:type="dxa"/>
            <w:tcBorders/>
            <w:shd w:fill="auto" w:val="clear"/>
          </w:tcPr>
          <w:p>
            <w:pPr>
              <w:pStyle w:val="TableContents"/>
              <w:spacing w:before="0" w:after="283"/>
              <w:rPr/>
            </w:pPr>
            <w:r>
              <w:rPr/>
              <w:t>Samantha Blons</w:t>
            </w:r>
          </w:p>
        </w:tc>
      </w:tr>
      <w:tr>
        <w:trPr/>
        <w:tc>
          <w:tcPr>
            <w:tcW w:w="4082" w:type="dxa"/>
            <w:tcBorders/>
            <w:shd w:fill="auto" w:val="clear"/>
          </w:tcPr>
          <w:p>
            <w:pPr>
              <w:pStyle w:val="TableContents"/>
              <w:spacing w:before="0" w:after="283"/>
              <w:rPr/>
            </w:pPr>
            <w:r>
              <w:rPr/>
              <w:t>Assistant Secretary</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160</Words>
  <CharactersWithSpaces>993</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IRANNOTICE</dc:title>
</cp:coreProperties>
</file>