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300" w:type="dxa"/>
            <w:vAlign w:val="bottom"/>
            <w:gridSpan w:val="12"/>
            <w:vMerge w:val="restart"/>
          </w:tcPr>
          <w:p>
            <w:pPr>
              <w:jc w:val="center"/>
              <w:ind w:left="1493"/>
              <w:spacing w:after="0"/>
              <w:rPr>
                <w:sz w:val="20"/>
                <w:szCs w:val="20"/>
                <w:color w:val="auto"/>
              </w:rPr>
            </w:pPr>
            <w:r>
              <w:rPr>
                <w:rFonts w:ascii="Arial" w:cs="Arial" w:eastAsia="Arial" w:hAnsi="Arial"/>
                <w:sz w:val="14"/>
                <w:szCs w:val="14"/>
                <w:b w:val="1"/>
                <w:bCs w:val="1"/>
                <w:color w:val="auto"/>
              </w:rPr>
              <w:t>NOTICE OF PROPOSED SALE OF SECURITIES</w:t>
            </w: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300" w:type="dxa"/>
            <w:vAlign w:val="bottom"/>
            <w:gridSpan w:val="12"/>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6"/>
              </w:rPr>
              <w:t>directly with a market maker.</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80" w:type="dxa"/>
            <w:vAlign w:val="bottom"/>
            <w:gridSpan w:val="3"/>
          </w:tcPr>
          <w:p>
            <w:pPr>
              <w:jc w:val="center"/>
              <w:ind w:right="13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2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2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80" w:type="dxa"/>
            <w:vAlign w:val="bottom"/>
          </w:tcPr>
          <w:p>
            <w:pPr>
              <w:spacing w:after="0"/>
              <w:rPr>
                <w:sz w:val="9"/>
                <w:szCs w:val="9"/>
                <w:color w:val="auto"/>
              </w:rPr>
            </w:pPr>
          </w:p>
        </w:tc>
        <w:tc>
          <w:tcPr>
            <w:tcW w:w="96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20" w:type="dxa"/>
            <w:vAlign w:val="bottom"/>
            <w:gridSpan w:val="2"/>
          </w:tcPr>
          <w:p>
            <w:pPr>
              <w:jc w:val="right"/>
              <w:ind w:right="161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Howard Guild</w:t>
            </w:r>
          </w:p>
        </w:tc>
        <w:tc>
          <w:tcPr>
            <w:tcW w:w="18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880" w:type="dxa"/>
            <w:vAlign w:val="bottom"/>
          </w:tcPr>
          <w:p>
            <w:pPr>
              <w:jc w:val="right"/>
              <w:ind w:right="159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6"/>
                <w:szCs w:val="6"/>
                <w:color w:val="auto"/>
              </w:rPr>
            </w:pPr>
          </w:p>
        </w:tc>
        <w:tc>
          <w:tcPr>
            <w:tcW w:w="96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80" w:type="dxa"/>
            <w:vAlign w:val="bottom"/>
          </w:tcPr>
          <w:p>
            <w:pPr>
              <w:spacing w:after="0"/>
              <w:rPr>
                <w:sz w:val="11"/>
                <w:szCs w:val="11"/>
                <w:color w:val="auto"/>
              </w:rPr>
            </w:pPr>
          </w:p>
        </w:tc>
        <w:tc>
          <w:tcPr>
            <w:tcW w:w="9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80" w:type="dxa"/>
            <w:vAlign w:val="bottom"/>
          </w:tcPr>
          <w:p>
            <w:pPr>
              <w:spacing w:after="0"/>
              <w:rPr>
                <w:sz w:val="8"/>
                <w:szCs w:val="8"/>
                <w:color w:val="auto"/>
              </w:rPr>
            </w:pPr>
          </w:p>
        </w:tc>
        <w:tc>
          <w:tcPr>
            <w:tcW w:w="96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880" w:type="dxa"/>
            <w:vAlign w:val="bottom"/>
          </w:tcPr>
          <w:p>
            <w:pPr>
              <w:ind w:left="20"/>
              <w:spacing w:after="0" w:line="158" w:lineRule="exact"/>
              <w:rPr>
                <w:sz w:val="20"/>
                <w:szCs w:val="20"/>
                <w:color w:val="auto"/>
              </w:rPr>
            </w:pPr>
            <w:r>
              <w:rPr>
                <w:rFonts w:ascii="Arial" w:cs="Arial" w:eastAsia="Arial" w:hAnsi="Arial"/>
                <w:sz w:val="14"/>
                <w:szCs w:val="14"/>
                <w:color w:val="auto"/>
                <w:w w:val="97"/>
              </w:rPr>
              <w:t>StockCross Financial Services</w:t>
            </w:r>
          </w:p>
        </w:tc>
        <w:tc>
          <w:tcPr>
            <w:tcW w:w="3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55"/>
              <w:spacing w:after="0"/>
              <w:rPr>
                <w:sz w:val="20"/>
                <w:szCs w:val="20"/>
                <w:color w:val="auto"/>
              </w:rPr>
            </w:pPr>
            <w:r>
              <w:rPr>
                <w:rFonts w:ascii="Arial" w:cs="Arial" w:eastAsia="Arial" w:hAnsi="Arial"/>
                <w:sz w:val="14"/>
                <w:szCs w:val="14"/>
                <w:color w:val="auto"/>
              </w:rPr>
              <w:t>3063</w:t>
            </w:r>
          </w:p>
        </w:tc>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right w:val="single" w:sz="8" w:color="auto"/>
            </w:tcBorders>
            <w:gridSpan w:val="2"/>
            <w:vMerge w:val="restart"/>
          </w:tcPr>
          <w:p>
            <w:pPr>
              <w:jc w:val="right"/>
              <w:ind w:right="334"/>
              <w:spacing w:after="0"/>
              <w:rPr>
                <w:sz w:val="20"/>
                <w:szCs w:val="20"/>
                <w:color w:val="auto"/>
              </w:rPr>
            </w:pPr>
            <w:r>
              <w:rPr>
                <w:rFonts w:ascii="Arial" w:cs="Arial" w:eastAsia="Arial" w:hAnsi="Arial"/>
                <w:sz w:val="14"/>
                <w:szCs w:val="14"/>
                <w:color w:val="auto"/>
              </w:rPr>
              <w:t>318,552</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1,199,597,272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217"/>
              <w:spacing w:after="0"/>
              <w:rPr>
                <w:sz w:val="20"/>
                <w:szCs w:val="20"/>
                <w:color w:val="auto"/>
              </w:rPr>
            </w:pPr>
            <w:r>
              <w:rPr>
                <w:rFonts w:ascii="Arial" w:cs="Arial" w:eastAsia="Arial" w:hAnsi="Arial"/>
                <w:sz w:val="14"/>
                <w:szCs w:val="14"/>
                <w:color w:val="auto"/>
              </w:rPr>
              <w:t>7/22/08</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w w:val="90"/>
              </w:rPr>
              <w:t>1900 St. James Place, Suite 100</w:t>
            </w:r>
          </w:p>
        </w:tc>
        <w:tc>
          <w:tcPr>
            <w:tcW w:w="3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2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20" w:type="dxa"/>
            <w:vAlign w:val="bottom"/>
            <w:gridSpan w:val="6"/>
          </w:tcPr>
          <w:p>
            <w:pPr>
              <w:ind w:left="40"/>
              <w:spacing w:after="0"/>
              <w:rPr>
                <w:sz w:val="20"/>
                <w:szCs w:val="20"/>
                <w:color w:val="auto"/>
              </w:rPr>
            </w:pPr>
            <w:r>
              <w:rPr>
                <w:rFonts w:ascii="Arial" w:cs="Arial" w:eastAsia="Arial" w:hAnsi="Arial"/>
                <w:sz w:val="13"/>
                <w:szCs w:val="13"/>
                <w:color w:val="auto"/>
                <w:w w:val="90"/>
              </w:rPr>
              <w:t>Title of the class of securities to be sold</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8"/>
              </w:rPr>
              <w:t>(e)  Issuer's telephone number, including area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7/22/08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3063</w:t>
            </w:r>
          </w:p>
        </w:tc>
        <w:tc>
          <w:tcPr>
            <w:tcW w:w="1060" w:type="dxa"/>
            <w:vAlign w:val="bottom"/>
            <w:tcBorders>
              <w:bottom w:val="single" w:sz="8" w:color="auto"/>
              <w:right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7/22/08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7/22/2008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Howard Guild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2019-12-21T02:10:22Z</dcterms:created>
  <dcterms:modified xsi:type="dcterms:W3CDTF">2019-12-21T02:10:22Z</dcterms:modified>
</cp:coreProperties>
</file>