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830101d425.htm"/>
      <w:bookmarkStart w:id="1" w:name="ksd830101d425"/>
      <w:bookmarkEnd w:id="0"/>
      <w:bookmarkEnd w:id="1"/>
      <w:r>
        <w:rPr>
          <w:rFonts w:ascii="ARIAL" w:hAnsi="ARIAL"/>
          <w:sz w:val="20"/>
        </w:rPr>
        <w:t>Filed by Schlumberger N.V.</w:t>
      </w:r>
    </w:p>
    <w:p>
      <w:pPr>
        <w:pStyle w:val="TextBody"/>
        <w:bidi w:val="0"/>
        <w:spacing w:before="0" w:after="0"/>
        <w:jc w:val="right"/>
        <w:rPr>
          <w:rFonts w:ascii="ARIAL" w:hAnsi="ARIAL"/>
          <w:sz w:val="20"/>
        </w:rPr>
      </w:pPr>
      <w:r>
        <w:rPr>
          <w:rFonts w:ascii="ARIAL" w:hAnsi="ARIAL"/>
          <w:sz w:val="20"/>
        </w:rPr>
        <w:t>pursuant to Rule 425 under the Securities Act of 1933</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under the Securities Exchange Act of 1934</w:t>
      </w:r>
    </w:p>
    <w:p>
      <w:pPr>
        <w:pStyle w:val="TextBody"/>
        <w:bidi w:val="0"/>
        <w:spacing w:before="0" w:after="0"/>
        <w:jc w:val="right"/>
        <w:rPr>
          <w:rFonts w:ascii="ARIAL" w:hAnsi="ARIAL"/>
          <w:sz w:val="20"/>
        </w:rPr>
      </w:pPr>
      <w:r>
        <w:rPr>
          <w:rFonts w:ascii="ARIAL" w:hAnsi="ARIAL"/>
          <w:sz w:val="20"/>
        </w:rPr>
        <w:t>Subject Company: ChampionX Corporation</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23,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14DC" w:val="clear"/>
          </w:tcPr>
          <w:p>
            <w:pPr>
              <w:pStyle w:val="TableContents"/>
              <w:bidi w:val="0"/>
              <w:spacing w:before="0" w:after="283"/>
              <w:jc w:val="center"/>
              <w:rPr/>
            </w:pPr>
            <w:r>
              <w:rPr/>
              <w:drawing>
                <wp:inline distT="0" distB="0" distL="0" distR="0">
                  <wp:extent cx="62103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10300" cy="1428750"/>
                          </a:xfrm>
                          <a:prstGeom prst="rect">
                            <a:avLst/>
                          </a:prstGeom>
                        </pic:spPr>
                      </pic:pic>
                    </a:graphicData>
                  </a:graphic>
                </wp:inline>
              </w:drawing>
            </w:r>
            <w:r>
              <w:rPr/>
              <w:t xml:space="preserve"> </w:t>
            </w:r>
          </w:p>
        </w:tc>
      </w:tr>
    </w:tbl>
    <w:tbl>
      <w:tblPr>
        <w:tblW w:w="5000" w:type="pct"/>
        <w:jc w:val="center"/>
        <w:tblInd w:w="0" w:type="dxa"/>
        <w:tblLayout w:type="fixed"/>
        <w:tblCellMar>
          <w:top w:w="0" w:type="dxa"/>
          <w:left w:w="0" w:type="dxa"/>
          <w:bottom w:w="0" w:type="dxa"/>
          <w:right w:w="0" w:type="dxa"/>
        </w:tblCellMar>
      </w:tblPr>
      <w:tblGrid>
        <w:gridCol w:w="260"/>
        <w:gridCol w:w="127"/>
        <w:gridCol w:w="9445"/>
        <w:gridCol w:w="109"/>
        <w:gridCol w:w="264"/>
      </w:tblGrid>
      <w:tr>
        <w:trPr/>
        <w:tc>
          <w:tcPr>
            <w:tcW w:w="2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44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60" w:type="dxa"/>
            <w:tcBorders>
              <w:left w:val="single" w:sz="12" w:space="0" w:color="000000"/>
            </w:tcBorders>
            <w:tcMar>
              <w:left w:w="160" w:type="dxa"/>
            </w:tcMar>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4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64" w:type="dxa"/>
            <w:tcBorders>
              <w:right w:val="single" w:sz="12" w:space="0" w:color="000000"/>
            </w:tcBorders>
            <w:tcMar>
              <w:right w:w="40" w:type="dxa"/>
            </w:tcMar>
            <w:vAlign w:val="bottom"/>
          </w:tcPr>
          <w:p>
            <w:pPr>
              <w:pStyle w:val="TableContents"/>
              <w:bidi w:val="0"/>
              <w:spacing w:before="0" w:after="283"/>
              <w:jc w:val="left"/>
              <w:rPr/>
            </w:pPr>
            <w:r>
              <w:rPr/>
              <w:t> </w:t>
            </w:r>
          </w:p>
        </w:tc>
      </w:tr>
      <w:tr>
        <w:trPr/>
        <w:tc>
          <w:tcPr>
            <w:tcW w:w="260" w:type="dxa"/>
            <w:tcBorders>
              <w:left w:val="single" w:sz="12" w:space="0" w:color="000000"/>
            </w:tcBorders>
            <w:tcMar>
              <w:left w:w="160" w:type="dxa"/>
            </w:tcMar>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9445" w:type="dxa"/>
            <w:tcBorders/>
          </w:tcPr>
          <w:p>
            <w:pPr>
              <w:pStyle w:val="TableContents"/>
              <w:bidi w:val="0"/>
              <w:spacing w:before="0" w:after="0"/>
              <w:jc w:val="left"/>
              <w:rPr>
                <w:rFonts w:ascii="ARIAL" w:hAnsi="ARIAL"/>
                <w:b/>
                <w:color w:val="0000FF"/>
                <w:sz w:val="36"/>
              </w:rPr>
            </w:pPr>
            <w:r>
              <w:rPr>
                <w:rFonts w:ascii="ARIAL" w:hAnsi="ARIAL"/>
                <w:b/>
                <w:color w:val="0000FF"/>
                <w:sz w:val="36"/>
              </w:rPr>
              <w:t>A Message from our Midstream Director, Ziad Jeha</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885950" cy="1838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18383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ARIAL" w:hAnsi="ARIAL"/>
                <w:sz w:val="28"/>
              </w:rPr>
            </w:pPr>
            <w:r>
              <w:rPr>
                <w:rFonts w:ascii="ARIAL" w:hAnsi="ARIAL"/>
                <w:sz w:val="28"/>
              </w:rPr>
              <w:t>SLB to Acquire ChampionX -A Conversation</w:t>
            </w:r>
          </w:p>
        </w:tc>
        <w:tc>
          <w:tcPr>
            <w:tcW w:w="109" w:type="dxa"/>
            <w:tcBorders/>
            <w:vAlign w:val="bottom"/>
          </w:tcPr>
          <w:p>
            <w:pPr>
              <w:pStyle w:val="TableContents"/>
              <w:bidi w:val="0"/>
              <w:spacing w:before="0" w:after="283"/>
              <w:jc w:val="left"/>
              <w:rPr/>
            </w:pPr>
            <w:r>
              <w:rPr/>
              <w:t> </w:t>
            </w:r>
          </w:p>
        </w:tc>
        <w:tc>
          <w:tcPr>
            <w:tcW w:w="264" w:type="dxa"/>
            <w:tcBorders>
              <w:right w:val="single" w:sz="12" w:space="0" w:color="000000"/>
            </w:tcBorders>
            <w:tcMar>
              <w:right w:w="40" w:type="dxa"/>
            </w:tcMar>
          </w:tcPr>
          <w:p>
            <w:pPr>
              <w:pStyle w:val="TableContents"/>
              <w:bidi w:val="0"/>
              <w:spacing w:before="0" w:after="283"/>
              <w:jc w:val="left"/>
              <w:rPr/>
            </w:pPr>
            <w:r>
              <w:rPr/>
              <w:t> </w:t>
            </w:r>
          </w:p>
        </w:tc>
      </w:tr>
      <w:tr>
        <w:trPr/>
        <w:tc>
          <w:tcPr>
            <w:tcW w:w="260" w:type="dxa"/>
            <w:tcBorders>
              <w:left w:val="single" w:sz="12" w:space="0" w:color="000000"/>
            </w:tcBorders>
            <w:tcMar>
              <w:left w:w="160" w:type="dxa"/>
            </w:tcMa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45" w:type="dxa"/>
            <w:tcBorders/>
          </w:tcPr>
          <w:p>
            <w:pPr>
              <w:pStyle w:val="TableContents"/>
              <w:bidi w:val="0"/>
              <w:spacing w:before="0" w:after="0"/>
              <w:jc w:val="left"/>
              <w:rPr>
                <w:rFonts w:ascii="ARIAL" w:hAnsi="ARIAL"/>
                <w:sz w:val="24"/>
              </w:rPr>
            </w:pPr>
            <w:r>
              <w:rPr>
                <w:rFonts w:ascii="ARIAL" w:hAnsi="ARIAL"/>
                <w:sz w:val="24"/>
              </w:rPr>
              <w:t>Dear Midstream Team,</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 xml:space="preserve">Please join me on </w:t>
            </w:r>
            <w:r>
              <w:rPr>
                <w:rFonts w:ascii="ARIAL" w:hAnsi="ARIAL"/>
                <w:b/>
                <w:sz w:val="24"/>
              </w:rPr>
              <w:t>April 30th</w:t>
            </w:r>
            <w:r>
              <w:rPr>
                <w:rFonts w:ascii="ARIAL" w:hAnsi="ARIAL"/>
                <w:sz w:val="24"/>
              </w:rPr>
              <w:t xml:space="preserve"> </w:t>
            </w:r>
            <w:r>
              <w:rPr>
                <w:rFonts w:ascii="ARIAL" w:hAnsi="ARIAL"/>
                <w:b/>
                <w:sz w:val="24"/>
              </w:rPr>
              <w:t>at 9:00AM</w:t>
            </w:r>
            <w:r>
              <w:rPr>
                <w:rFonts w:ascii="ARIAL" w:hAnsi="ARIAL"/>
                <w:sz w:val="24"/>
              </w:rPr>
              <w:t xml:space="preserve"> CST Houston Time, where I will be joined by some members of my MPS team to discuss the exciting news delivered by our CEO Olivier LePeuch earlier this month, SLB to Acquire ChampionX and what that will mean for our business line.</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 xml:space="preserve">In the meantime, please read </w:t>
            </w:r>
            <w:r>
              <w:rPr>
                <w:rFonts w:ascii="ARIAL" w:hAnsi="ARIAL"/>
                <w:color w:val="0000FF"/>
                <w:sz w:val="24"/>
                <w:u w:val="single"/>
              </w:rPr>
              <w:t>the FAQs</w:t>
            </w:r>
            <w:r>
              <w:rPr>
                <w:rFonts w:ascii="ARIAL" w:hAnsi="ARIAL"/>
                <w:sz w:val="24"/>
              </w:rPr>
              <w: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 xml:space="preserve">While we know there is a lot of excitement around this announcement, please remember that </w:t>
            </w:r>
            <w:r>
              <w:rPr>
                <w:rFonts w:ascii="ARIAL" w:hAnsi="ARIAL"/>
                <w:b/>
                <w:color w:val="0000FF"/>
                <w:sz w:val="24"/>
              </w:rPr>
              <w:t>SLB and ChampionX are still two independent, publicly traded companies</w:t>
            </w:r>
            <w:r>
              <w:rPr>
                <w:rFonts w:ascii="ARIAL" w:hAnsi="ARIAL"/>
                <w:sz w:val="24"/>
              </w:rPr>
              <w:t xml:space="preserve"> and will continue to operate independently in all capacities until regulatory approval has been granted.</w:t>
            </w:r>
          </w:p>
          <w:p>
            <w:pPr>
              <w:pStyle w:val="TableContents"/>
              <w:bidi w:val="0"/>
              <w:spacing w:before="0" w:after="0"/>
              <w:jc w:val="left"/>
              <w:rPr/>
            </w:pPr>
            <w:r>
              <w:rPr/>
              <w:t> </w:t>
            </w:r>
          </w:p>
          <w:p>
            <w:pPr>
              <w:pStyle w:val="TableContents"/>
              <w:bidi w:val="0"/>
              <w:spacing w:before="0" w:after="0"/>
              <w:jc w:val="center"/>
              <w:rPr>
                <w:color w:val="0000FF"/>
              </w:rPr>
            </w:pPr>
            <w:r>
              <w:rPr>
                <w:color w:val="0000FF"/>
              </w:rPr>
              <w:t>  </w:t>
            </w:r>
            <w:r>
              <w:rPr>
                <w:rFonts w:ascii="ARIAL" w:hAnsi="ARIAL"/>
                <w:b/>
                <w:color w:val="0000FF"/>
                <w:sz w:val="40"/>
                <w:u w:val="single"/>
              </w:rPr>
              <w:t>Join the meeting now</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Cheers,</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Ziad</w:t>
            </w:r>
          </w:p>
          <w:p>
            <w:pPr>
              <w:pStyle w:val="TableContents"/>
              <w:bidi w:val="0"/>
              <w:spacing w:before="0" w:after="20"/>
              <w:jc w:val="left"/>
              <w:rPr/>
            </w:pPr>
            <w:r>
              <w:rPr/>
              <w:t> </w:t>
            </w:r>
          </w:p>
        </w:tc>
        <w:tc>
          <w:tcPr>
            <w:tcW w:w="109" w:type="dxa"/>
            <w:tcBorders/>
            <w:vAlign w:val="bottom"/>
          </w:tcPr>
          <w:p>
            <w:pPr>
              <w:pStyle w:val="TableContents"/>
              <w:bidi w:val="0"/>
              <w:spacing w:before="0" w:after="283"/>
              <w:jc w:val="left"/>
              <w:rPr/>
            </w:pPr>
            <w:r>
              <w:rPr/>
              <w:t> </w:t>
            </w:r>
          </w:p>
        </w:tc>
        <w:tc>
          <w:tcPr>
            <w:tcW w:w="264" w:type="dxa"/>
            <w:tcBorders>
              <w:right w:val="single" w:sz="12" w:space="0" w:color="000000"/>
            </w:tcBorders>
            <w:tcMar>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
        <w:gridCol w:w="120"/>
        <w:gridCol w:w="9856"/>
        <w:gridCol w:w="108"/>
        <w:gridCol w:w="62"/>
      </w:tblGrid>
      <w:tr>
        <w:trPr/>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5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9" w:type="dxa"/>
            <w:tcBorders>
              <w:left w:val="single" w:sz="12" w:space="0" w:color="000000"/>
            </w:tcBorders>
            <w:tcMar>
              <w:left w:w="160" w:type="dxa"/>
            </w:tcMa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56" w:type="dxa"/>
            <w:tcBorders/>
          </w:tcPr>
          <w:p>
            <w:pPr>
              <w:pStyle w:val="TableContents"/>
              <w:bidi w:val="0"/>
              <w:spacing w:before="0" w:after="0"/>
              <w:jc w:val="left"/>
              <w:rPr>
                <w:rFonts w:ascii="ARIAL" w:hAnsi="ARIAL"/>
                <w:sz w:val="24"/>
              </w:rPr>
            </w:pPr>
            <w:r>
              <w:rPr>
                <w:rFonts w:ascii="ARIAL" w:hAnsi="ARIAL"/>
                <w:sz w:val="24"/>
              </w:rPr>
              <w:t>-</w:t>
            </w:r>
          </w:p>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Forward-Looking Statements</w:t>
            </w:r>
          </w:p>
          <w:p>
            <w:pPr>
              <w:pStyle w:val="TableContents"/>
              <w:bidi w:val="0"/>
              <w:spacing w:before="0" w:after="20"/>
              <w:jc w:val="left"/>
              <w:rPr>
                <w:rFonts w:ascii="ARIAL" w:hAnsi="ARIAL"/>
                <w:sz w:val="24"/>
              </w:rPr>
            </w:pPr>
            <w:r>
              <w:rPr>
                <w:rFonts w:ascii="ARIAL" w:hAnsi="ARIAL"/>
                <w:sz w:val="24"/>
              </w:rPr>
              <w:t>This communication contains forward-looking statements within the meaning of the Private Securities Litigation Reform Act of 1995, Section 27A of the Securities Act of 1933, as amended, and Section 21E of the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tc>
        <w:tc>
          <w:tcPr>
            <w:tcW w:w="108" w:type="dxa"/>
            <w:tcBorders/>
            <w:vAlign w:val="bottom"/>
          </w:tcPr>
          <w:p>
            <w:pPr>
              <w:pStyle w:val="TableContents"/>
              <w:bidi w:val="0"/>
              <w:spacing w:before="0" w:after="283"/>
              <w:jc w:val="left"/>
              <w:rPr/>
            </w:pPr>
            <w:r>
              <w:rPr/>
              <w:t> </w:t>
            </w:r>
          </w:p>
        </w:tc>
        <w:tc>
          <w:tcPr>
            <w:tcW w:w="62" w:type="dxa"/>
            <w:tcBorders>
              <w:right w:val="single" w:sz="12" w:space="0" w:color="000000"/>
            </w:tcBorders>
            <w:tcMar>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
        <w:gridCol w:w="124"/>
        <w:gridCol w:w="9849"/>
        <w:gridCol w:w="110"/>
        <w:gridCol w:w="63"/>
      </w:tblGrid>
      <w:tr>
        <w:trPr/>
        <w:tc>
          <w:tcPr>
            <w:tcW w:w="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84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 w:type="dxa"/>
            <w:tcBorders>
              <w:left w:val="single" w:sz="12" w:space="0" w:color="000000"/>
            </w:tcBorders>
            <w:tcMar>
              <w:left w:w="160"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849" w:type="dxa"/>
            <w:tcBorders/>
          </w:tcPr>
          <w:p>
            <w:pPr>
              <w:pStyle w:val="TableContents"/>
              <w:bidi w:val="0"/>
              <w:spacing w:before="0" w:after="283"/>
              <w:jc w:val="left"/>
              <w:rPr/>
            </w:pPr>
            <w:r>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w:t>
            </w:r>
          </w:p>
        </w:tc>
        <w:tc>
          <w:tcPr>
            <w:tcW w:w="110" w:type="dxa"/>
            <w:tcBorders/>
            <w:vAlign w:val="bottom"/>
          </w:tcPr>
          <w:p>
            <w:pPr>
              <w:pStyle w:val="TableContents"/>
              <w:bidi w:val="0"/>
              <w:spacing w:before="0" w:after="283"/>
              <w:jc w:val="left"/>
              <w:rPr/>
            </w:pPr>
            <w:r>
              <w:rPr/>
              <w:t> </w:t>
            </w:r>
          </w:p>
        </w:tc>
        <w:tc>
          <w:tcPr>
            <w:tcW w:w="63" w:type="dxa"/>
            <w:tcBorders>
              <w:right w:val="single" w:sz="12" w:space="0" w:color="000000"/>
            </w:tcBorders>
            <w:tcMar>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
        <w:gridCol w:w="122"/>
        <w:gridCol w:w="9853"/>
        <w:gridCol w:w="109"/>
        <w:gridCol w:w="62"/>
      </w:tblGrid>
      <w:tr>
        <w:trPr/>
        <w:tc>
          <w:tcPr>
            <w:tcW w:w="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9" w:type="dxa"/>
            <w:tcBorders>
              <w:left w:val="single" w:sz="12" w:space="0" w:color="000000"/>
            </w:tcBorders>
            <w:tcMar>
              <w:left w:w="160" w:type="dxa"/>
            </w:tcMa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853" w:type="dxa"/>
            <w:tcBorders/>
          </w:tcPr>
          <w:p>
            <w:pPr>
              <w:pStyle w:val="TableContents"/>
              <w:bidi w:val="0"/>
              <w:spacing w:before="0" w:after="0"/>
              <w:jc w:val="left"/>
              <w:rPr>
                <w:rFonts w:ascii="ARIAL" w:hAnsi="ARIAL"/>
                <w:sz w:val="24"/>
              </w:rPr>
            </w:pPr>
            <w:r>
              <w:rPr>
                <w:rFonts w:ascii="ARIAL" w:hAnsi="ARIAL"/>
                <w:sz w:val="24"/>
              </w:rPr>
              <w:t>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sz w:val="24"/>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Additional Information about the Transaction and Where to Find It</w:t>
            </w:r>
          </w:p>
          <w:p>
            <w:pPr>
              <w:pStyle w:val="TableContents"/>
              <w:bidi w:val="0"/>
              <w:spacing w:before="0" w:after="20"/>
              <w:jc w:val="left"/>
              <w:rPr>
                <w:rFonts w:ascii="ARIAL" w:hAnsi="ARIAL"/>
                <w:sz w:val="24"/>
              </w:rPr>
            </w:pPr>
            <w:r>
              <w:rPr>
                <w:rFonts w:ascii="ARIAL" w:hAnsi="ARIAL"/>
                <w:sz w:val="24"/>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w:t>
            </w:r>
          </w:p>
        </w:tc>
        <w:tc>
          <w:tcPr>
            <w:tcW w:w="109" w:type="dxa"/>
            <w:tcBorders/>
            <w:vAlign w:val="bottom"/>
          </w:tcPr>
          <w:p>
            <w:pPr>
              <w:pStyle w:val="TableContents"/>
              <w:bidi w:val="0"/>
              <w:spacing w:before="0" w:after="283"/>
              <w:jc w:val="left"/>
              <w:rPr/>
            </w:pPr>
            <w:r>
              <w:rPr/>
              <w:t> </w:t>
            </w:r>
          </w:p>
        </w:tc>
        <w:tc>
          <w:tcPr>
            <w:tcW w:w="62" w:type="dxa"/>
            <w:tcBorders>
              <w:right w:val="single" w:sz="12" w:space="0" w:color="000000"/>
            </w:tcBorders>
            <w:tcMar>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
        <w:gridCol w:w="122"/>
        <w:gridCol w:w="9854"/>
        <w:gridCol w:w="107"/>
        <w:gridCol w:w="63"/>
      </w:tblGrid>
      <w:tr>
        <w:trPr/>
        <w:tc>
          <w:tcPr>
            <w:tcW w:w="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85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 w:type="dxa"/>
            <w:tcBorders>
              <w:left w:val="single" w:sz="12" w:space="0" w:color="000000"/>
            </w:tcBorders>
            <w:tcMar>
              <w:left w:w="160" w:type="dxa"/>
            </w:tcMa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854" w:type="dxa"/>
            <w:tcBorders/>
          </w:tcPr>
          <w:p>
            <w:pPr>
              <w:pStyle w:val="TableContents"/>
              <w:bidi w:val="0"/>
              <w:spacing w:before="0" w:after="0"/>
              <w:jc w:val="left"/>
              <w:rPr>
                <w:rFonts w:ascii="ARIAL" w:hAnsi="ARIAL"/>
                <w:sz w:val="24"/>
              </w:rPr>
            </w:pPr>
            <w:r>
              <w:rPr>
                <w:rFonts w:ascii="ARIAL" w:hAnsi="ARIAL"/>
                <w:sz w:val="24"/>
              </w:rPr>
              <w:t xml:space="preserve">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w:t>
            </w:r>
            <w:r>
              <w:rPr>
                <w:rFonts w:ascii="ARIAL" w:hAnsi="ARIAL"/>
                <w:color w:val="0000FF"/>
                <w:sz w:val="24"/>
                <w:u w:val="single"/>
              </w:rPr>
              <w:t>http://www.sec.gov</w:t>
            </w:r>
            <w:r>
              <w:rPr>
                <w:rFonts w:ascii="ARIAL" w:hAnsi="ARIAL"/>
                <w:sz w:val="24"/>
              </w:rPr>
              <w:t xml:space="preserve">. Copies of the documents filed with, or furnished to, the SEC by SLB will be available free of charge on SLBs website at </w:t>
            </w:r>
            <w:r>
              <w:rPr>
                <w:rFonts w:ascii="ARIAL" w:hAnsi="ARIAL"/>
                <w:color w:val="0000FF"/>
                <w:sz w:val="24"/>
                <w:u w:val="single"/>
              </w:rPr>
              <w:t>https://investorcenter.slb.com</w:t>
            </w:r>
            <w:r>
              <w:rPr>
                <w:rFonts w:ascii="ARIAL" w:hAnsi="ARIAL"/>
                <w:sz w:val="24"/>
              </w:rPr>
              <w:t xml:space="preserve">. Copies of the documents filed with, or furnished to, the SEC by ChampionX will be available free of charge on ChampionXs website at </w:t>
            </w:r>
            <w:r>
              <w:rPr>
                <w:rFonts w:ascii="ARIAL" w:hAnsi="ARIAL"/>
                <w:color w:val="0000FF"/>
                <w:sz w:val="24"/>
                <w:u w:val="single"/>
              </w:rPr>
              <w:t>https://investors.championx.com</w:t>
            </w:r>
            <w:r>
              <w:rPr>
                <w:rFonts w:ascii="ARIAL" w:hAnsi="ARIAL"/>
                <w:sz w:val="24"/>
              </w:rPr>
              <w:t>. The information included on, or accessible through, SLBs or ChampionXs website is not incorporated by reference into this communication.</w:t>
            </w:r>
          </w:p>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Participants in the Solicitation</w:t>
            </w:r>
          </w:p>
          <w:p>
            <w:pPr>
              <w:pStyle w:val="TableContents"/>
              <w:bidi w:val="0"/>
              <w:spacing w:before="0" w:after="20"/>
              <w:jc w:val="left"/>
              <w:rPr/>
            </w:pPr>
            <w:r>
              <w:rPr>
                <w:rFonts w:ascii="ARIAL" w:hAnsi="ARIAL"/>
                <w:sz w:val="24"/>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w:t>
            </w:r>
            <w:hyperlink r:id="rId4">
              <w:r>
                <w:rPr>
                  <w:rStyle w:val="InternetLink"/>
                  <w:rFonts w:ascii="ARIAL" w:hAnsi="ARIAL"/>
                  <w:sz w:val="24"/>
                </w:rPr>
                <w:t xml:space="preserve">https://www.sec.gov/ix?doc=/Archives/edgar/data/0000087347/000130817924000033/lslb2024_def14a.htm </w:t>
              </w:r>
            </w:hyperlink>
            <w:r>
              <w:rPr>
                <w:rFonts w:ascii="ARIAL" w:hAnsi="ARIAL"/>
                <w:sz w:val="24"/>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5">
              <w:r>
                <w:rPr>
                  <w:rStyle w:val="InternetLink"/>
                  <w:rFonts w:ascii="ARIAL" w:hAnsi="ARIAL"/>
                  <w:sz w:val="24"/>
                </w:rPr>
                <w:t>https://www.sec.gov/ix?doc=/Archives/edgar/data/0000087347/000095017024006884/slb-20231231.htm</w:t>
              </w:r>
            </w:hyperlink>
            <w:r>
              <w:rPr>
                <w:rFonts w:ascii="ARIAL" w:hAnsi="ARIAL"/>
                <w:sz w:val="24"/>
              </w:rPr>
              <w:t>), which was filed with the SEC on January 24, 2024,</w:t>
            </w:r>
          </w:p>
        </w:tc>
        <w:tc>
          <w:tcPr>
            <w:tcW w:w="107" w:type="dxa"/>
            <w:tcBorders/>
            <w:vAlign w:val="bottom"/>
          </w:tcPr>
          <w:p>
            <w:pPr>
              <w:pStyle w:val="TableContents"/>
              <w:bidi w:val="0"/>
              <w:spacing w:before="0" w:after="283"/>
              <w:jc w:val="left"/>
              <w:rPr/>
            </w:pPr>
            <w:r>
              <w:rPr/>
              <w:t> </w:t>
            </w:r>
          </w:p>
        </w:tc>
        <w:tc>
          <w:tcPr>
            <w:tcW w:w="63" w:type="dxa"/>
            <w:tcBorders>
              <w:right w:val="single" w:sz="12" w:space="0" w:color="000000"/>
            </w:tcBorders>
            <w:tcMar>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
        <w:gridCol w:w="123"/>
        <w:gridCol w:w="9852"/>
        <w:gridCol w:w="109"/>
        <w:gridCol w:w="62"/>
      </w:tblGrid>
      <w:tr>
        <w:trPr/>
        <w:tc>
          <w:tcPr>
            <w:tcW w:w="5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9" w:type="dxa"/>
            <w:tcBorders>
              <w:left w:val="single" w:sz="12" w:space="0" w:color="000000"/>
            </w:tcBorders>
            <w:tcMar>
              <w:left w:w="160" w:type="dxa"/>
            </w:tcMa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852" w:type="dxa"/>
            <w:tcBorders/>
          </w:tcPr>
          <w:p>
            <w:pPr>
              <w:pStyle w:val="TableContents"/>
              <w:bidi w:val="0"/>
              <w:spacing w:before="0" w:after="283"/>
              <w:jc w:val="left"/>
              <w:rPr/>
            </w:pPr>
            <w:r>
              <w:rPr/>
              <w:t>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w:t>
            </w:r>
            <w:hyperlink r:id="rId6">
              <w:r>
                <w:rPr>
                  <w:rStyle w:val="InternetLink"/>
                </w:rPr>
                <w:t xml:space="preserve">https://www.sec.gov/ix?doc=/Archives/edgar/data/0001723089/000172308924000079/championx-20240401.htm </w:t>
              </w:r>
            </w:hyperlink>
            <w:r>
              <w:rPr/>
              <w:t>),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7">
              <w:r>
                <w:rPr>
                  <w:rStyle w:val="InternetLink"/>
                </w:rPr>
                <w:t>https://www.sec.gov/ix?doc=/Archives/edgar/data/1723089/000172308924000011/championx-20231231.htm</w:t>
              </w:r>
            </w:hyperlink>
            <w:r>
              <w:rPr/>
              <w:t>),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tc>
        <w:tc>
          <w:tcPr>
            <w:tcW w:w="109" w:type="dxa"/>
            <w:tcBorders/>
            <w:vAlign w:val="bottom"/>
          </w:tcPr>
          <w:p>
            <w:pPr>
              <w:pStyle w:val="TableContents"/>
              <w:bidi w:val="0"/>
              <w:spacing w:before="0" w:after="283"/>
              <w:jc w:val="left"/>
              <w:rPr/>
            </w:pPr>
            <w:r>
              <w:rPr/>
              <w:t> </w:t>
            </w:r>
          </w:p>
        </w:tc>
        <w:tc>
          <w:tcPr>
            <w:tcW w:w="62" w:type="dxa"/>
            <w:tcBorders>
              <w:right w:val="single" w:sz="12" w:space="0" w:color="000000"/>
            </w:tcBorders>
            <w:tcMar>
              <w:right w:w="40" w:type="dxa"/>
            </w:tcMar>
          </w:tcPr>
          <w:p>
            <w:pPr>
              <w:pStyle w:val="TableContents"/>
              <w:bidi w:val="0"/>
              <w:spacing w:before="0" w:after="283"/>
              <w:jc w:val="left"/>
              <w:rPr/>
            </w:pPr>
            <w:r>
              <w:rPr/>
              <w:t> </w:t>
            </w:r>
          </w:p>
        </w:tc>
      </w:tr>
    </w:tbl>
    <w:tbl>
      <w:tblPr>
        <w:tblW w:w="5000" w:type="pct"/>
        <w:jc w:val="center"/>
        <w:tblInd w:w="0" w:type="dxa"/>
        <w:shd w:fill="0014DC" w:val="clear"/>
        <w:tblLayout w:type="fixed"/>
        <w:tblCellMar>
          <w:top w:w="0" w:type="dxa"/>
          <w:left w:w="0" w:type="dxa"/>
          <w:bottom w:w="0" w:type="dxa"/>
          <w:right w:w="0" w:type="dxa"/>
        </w:tblCellMar>
      </w:tblPr>
      <w:tblGrid>
        <w:gridCol w:w="10205"/>
      </w:tblGrid>
      <w:tr>
        <w:trPr/>
        <w:tc>
          <w:tcPr>
            <w:tcW w:w="10205" w:type="dxa"/>
            <w:tcBorders/>
            <w:shd w:fill="0014DC" w:val="clear"/>
            <w:vAlign w:val="center"/>
          </w:tcPr>
          <w:p>
            <w:pPr>
              <w:pStyle w:val="TableContents"/>
              <w:bidi w:val="0"/>
              <w:spacing w:before="0" w:after="283"/>
              <w:jc w:val="left"/>
              <w:rPr>
                <w:sz w:val="4"/>
                <w:szCs w:val="4"/>
              </w:rPr>
            </w:pPr>
            <w:r>
              <w:rPr>
                <w:sz w:val="4"/>
                <w:szCs w:val="4"/>
              </w:rPr>
            </w:r>
          </w:p>
        </w:tc>
      </w:tr>
      <w:tr>
        <w:trPr/>
        <w:tc>
          <w:tcPr>
            <w:tcW w:w="10205" w:type="dxa"/>
            <w:tcBorders>
              <w:left w:val="single" w:sz="12" w:space="0" w:color="FFFFFF"/>
              <w:right w:val="single" w:sz="12" w:space="0" w:color="FFFFFF"/>
            </w:tcBorders>
            <w:shd w:fill="0014DC" w:val="clear"/>
            <w:tcMar>
              <w:left w:w="160" w:type="dxa"/>
              <w:right w:w="40" w:type="dxa"/>
            </w:tcMar>
          </w:tcPr>
          <w:p>
            <w:pPr>
              <w:pStyle w:val="TableContents"/>
              <w:bidi w:val="0"/>
              <w:spacing w:before="0" w:after="283"/>
              <w:jc w:val="left"/>
              <w:rPr/>
            </w:pPr>
            <w:r>
              <w:rPr/>
              <w:t> </w:t>
            </w:r>
          </w:p>
        </w:tc>
      </w:tr>
      <w:tr>
        <w:trPr/>
        <w:tc>
          <w:tcPr>
            <w:tcW w:w="10205" w:type="dxa"/>
            <w:tcBorders>
              <w:left w:val="single" w:sz="12" w:space="0" w:color="FFFFFF"/>
              <w:right w:val="single" w:sz="12" w:space="0" w:color="FFFFFF"/>
            </w:tcBorders>
            <w:shd w:fill="0014DC" w:val="clear"/>
            <w:tcMar>
              <w:left w:w="160" w:type="dxa"/>
              <w:right w:w="40" w:type="dxa"/>
            </w:tcMar>
          </w:tcPr>
          <w:p>
            <w:pPr>
              <w:pStyle w:val="TableContents"/>
              <w:bidi w:val="0"/>
              <w:spacing w:before="0" w:after="283"/>
              <w:jc w:val="center"/>
              <w:rPr>
                <w:b/>
                <w:color w:val="FFFFFF"/>
              </w:rPr>
            </w:pPr>
            <w:r>
              <w:rPr>
                <w:b/>
                <w:color w:val="FFFFFF"/>
              </w:rPr>
              <w:t>This email is classified as SLB Private and is for internal use only.</w:t>
            </w:r>
          </w:p>
        </w:tc>
      </w:tr>
      <w:tr>
        <w:trPr/>
        <w:tc>
          <w:tcPr>
            <w:tcW w:w="10205" w:type="dxa"/>
            <w:tcBorders>
              <w:left w:val="single" w:sz="12" w:space="0" w:color="FFFFFF"/>
              <w:right w:val="single" w:sz="12" w:space="0" w:color="FFFFFF"/>
            </w:tcBorders>
            <w:shd w:fill="0014DC" w:val="clear"/>
            <w:tcMar>
              <w:left w:w="160" w:type="dxa"/>
              <w:right w:w="40" w:type="dxa"/>
            </w:tcMar>
          </w:tcPr>
          <w:p>
            <w:pPr>
              <w:pStyle w:val="TableContents"/>
              <w:bidi w:val="0"/>
              <w:spacing w:before="0" w:after="283"/>
              <w:jc w:val="left"/>
              <w:rPr/>
            </w:pPr>
            <w:r>
              <w:rPr/>
              <w:t> </w:t>
            </w:r>
          </w:p>
        </w:tc>
      </w:tr>
      <w:tr>
        <w:trPr/>
        <w:tc>
          <w:tcPr>
            <w:tcW w:w="10205" w:type="dxa"/>
            <w:tcBorders>
              <w:left w:val="single" w:sz="12" w:space="0" w:color="FFFFFF"/>
              <w:right w:val="single" w:sz="12" w:space="0" w:color="FFFFFF"/>
            </w:tcBorders>
            <w:shd w:fill="0014DC" w:val="clear"/>
            <w:tcMar>
              <w:left w:w="160" w:type="dxa"/>
              <w:right w:w="40" w:type="dxa"/>
            </w:tcMar>
          </w:tcPr>
          <w:p>
            <w:pPr>
              <w:pStyle w:val="TableContents"/>
              <w:bidi w:val="0"/>
              <w:spacing w:before="0" w:after="283"/>
              <w:jc w:val="center"/>
              <w:rPr/>
            </w:pPr>
            <w:r>
              <w:rPr/>
              <w:drawing>
                <wp:inline distT="0" distB="0" distL="0" distR="0">
                  <wp:extent cx="107632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076325" cy="333375"/>
                          </a:xfrm>
                          <a:prstGeom prst="rect">
                            <a:avLst/>
                          </a:prstGeom>
                        </pic:spPr>
                      </pic:pic>
                    </a:graphicData>
                  </a:graphic>
                </wp:inline>
              </w:drawing>
            </w:r>
            <w:r>
              <w:rPr/>
              <w:t xml:space="preserve"> </w:t>
            </w:r>
          </w:p>
        </w:tc>
      </w:tr>
      <w:tr>
        <w:trPr/>
        <w:tc>
          <w:tcPr>
            <w:tcW w:w="10205" w:type="dxa"/>
            <w:tcBorders>
              <w:left w:val="single" w:sz="12" w:space="0" w:color="FFFFFF"/>
              <w:right w:val="single" w:sz="12" w:space="0" w:color="FFFFFF"/>
            </w:tcBorders>
            <w:shd w:fill="0014DC" w:val="clear"/>
            <w:tcMar>
              <w:left w:w="160" w:type="dxa"/>
              <w:right w:w="40" w:type="dxa"/>
            </w:tcMa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0087347/000130817924000033/lslb2024_def14a.htm" TargetMode="External"/><Relationship Id="rId5" Type="http://schemas.openxmlformats.org/officeDocument/2006/relationships/hyperlink" Target="http://www.sec.gov/Archives/edgar/data/../../../ix?doc=/Archives/edgar/data/0000087347/000095017024006884/slb-20231231.htm" TargetMode="External"/><Relationship Id="rId6" Type="http://schemas.openxmlformats.org/officeDocument/2006/relationships/hyperlink" Target="http://www.sec.gov/Archives/edgar/data/../../../ix?doc=/Archives/edgar/data/0001723089/000172308924000079/championx-20240401.htm" TargetMode="External"/><Relationship Id="rId7" Type="http://schemas.openxmlformats.org/officeDocument/2006/relationships/hyperlink" Target="http://www.sec.gov/Archives/edgar/data/../../../ix?doc=/Archives/edgar/data/1723089/000172308924000011/championx-20231231.htm" TargetMode="External"/><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2220</Words>
  <Characters>12055</Characters>
  <CharactersWithSpaces>14088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