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260"/>
        <w:spacing w:after="0"/>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FORM 11-K</w:t>
      </w:r>
    </w:p>
    <w:p>
      <w:pPr>
        <w:spacing w:after="0" w:line="335" w:lineRule="exact"/>
        <w:rPr>
          <w:sz w:val="24"/>
          <w:szCs w:val="24"/>
          <w:color w:val="auto"/>
        </w:rPr>
      </w:pPr>
    </w:p>
    <w:p>
      <w:pPr>
        <w:ind w:left="2620"/>
        <w:spacing w:after="0"/>
        <w:rPr>
          <w:sz w:val="20"/>
          <w:szCs w:val="20"/>
          <w:color w:val="auto"/>
        </w:rPr>
      </w:pPr>
      <w:r>
        <w:rPr>
          <w:rFonts w:ascii="Courier New" w:cs="Courier New" w:eastAsia="Courier New" w:hAnsi="Courier New"/>
          <w:sz w:val="15"/>
          <w:szCs w:val="15"/>
          <w:color w:val="auto"/>
        </w:rPr>
        <w:t>ANNUAL REPORT</w:t>
      </w:r>
    </w:p>
    <w:p>
      <w:pPr>
        <w:spacing w:after="0" w:line="335"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5"/>
          <w:szCs w:val="15"/>
          <w:color w:val="auto"/>
        </w:rPr>
        <w:t>Pursuant to Section 15(d) of the Securities Exchange Act of 1934</w:t>
      </w:r>
    </w:p>
    <w:p>
      <w:pPr>
        <w:spacing w:after="0" w:line="166" w:lineRule="exact"/>
        <w:rPr>
          <w:sz w:val="24"/>
          <w:szCs w:val="24"/>
          <w:color w:val="auto"/>
        </w:rPr>
      </w:pPr>
    </w:p>
    <w:p>
      <w:pPr>
        <w:ind w:left="1300"/>
        <w:spacing w:after="0"/>
        <w:rPr>
          <w:sz w:val="20"/>
          <w:szCs w:val="20"/>
          <w:color w:val="auto"/>
        </w:rPr>
      </w:pPr>
      <w:r>
        <w:rPr>
          <w:rFonts w:ascii="Courier New" w:cs="Courier New" w:eastAsia="Courier New" w:hAnsi="Courier New"/>
          <w:sz w:val="15"/>
          <w:szCs w:val="15"/>
          <w:color w:val="auto"/>
        </w:rPr>
        <w:t>For the Fiscal Year Ended December 31, 1999</w:t>
      </w:r>
    </w:p>
    <w:p>
      <w:pPr>
        <w:spacing w:after="0" w:line="166" w:lineRule="exact"/>
        <w:rPr>
          <w:sz w:val="24"/>
          <w:szCs w:val="24"/>
          <w:color w:val="auto"/>
        </w:rPr>
      </w:pPr>
    </w:p>
    <w:p>
      <w:pPr>
        <w:ind w:left="1820"/>
        <w:spacing w:after="0"/>
        <w:rPr>
          <w:sz w:val="20"/>
          <w:szCs w:val="20"/>
          <w:color w:val="auto"/>
        </w:rPr>
      </w:pPr>
      <w:r>
        <w:rPr>
          <w:rFonts w:ascii="Courier New" w:cs="Courier New" w:eastAsia="Courier New" w:hAnsi="Courier New"/>
          <w:sz w:val="15"/>
          <w:szCs w:val="15"/>
          <w:color w:val="auto"/>
        </w:rPr>
        <w:t>Commission File Number 001-04601</w:t>
      </w:r>
    </w:p>
    <w:p>
      <w:pPr>
        <w:spacing w:after="0" w:line="166"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_______________</w:t>
      </w:r>
    </w:p>
    <w:p>
      <w:pPr>
        <w:spacing w:after="0" w:line="166"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5"/>
          <w:szCs w:val="15"/>
          <w:color w:val="auto"/>
        </w:rPr>
        <w:t>PRODUCTION OPERATORS THRIFT PLAN</w:t>
      </w:r>
    </w:p>
    <w:p>
      <w:pPr>
        <w:jc w:val="center"/>
        <w:ind w:right="3499"/>
        <w:spacing w:after="0" w:line="237" w:lineRule="auto"/>
        <w:rPr>
          <w:sz w:val="20"/>
          <w:szCs w:val="20"/>
          <w:color w:val="auto"/>
        </w:rPr>
      </w:pPr>
      <w:r>
        <w:rPr>
          <w:rFonts w:ascii="Courier New" w:cs="Courier New" w:eastAsia="Courier New" w:hAnsi="Courier New"/>
          <w:sz w:val="15"/>
          <w:szCs w:val="15"/>
          <w:color w:val="auto"/>
        </w:rPr>
        <w:t>(Full title of the plan)</w:t>
      </w:r>
    </w:p>
    <w:p>
      <w:pPr>
        <w:spacing w:after="0" w:line="167"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_______________</w:t>
      </w:r>
    </w:p>
    <w:p>
      <w:pPr>
        <w:spacing w:after="0" w:line="335"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5"/>
          <w:szCs w:val="15"/>
          <w:color w:val="auto"/>
        </w:rPr>
        <w:t>SCHLUMBERGER LIMITED</w:t>
      </w:r>
    </w:p>
    <w:p>
      <w:pPr>
        <w:jc w:val="center"/>
        <w:ind w:right="3499"/>
        <w:spacing w:after="0" w:line="237" w:lineRule="auto"/>
        <w:rPr>
          <w:sz w:val="20"/>
          <w:szCs w:val="20"/>
          <w:color w:val="auto"/>
        </w:rPr>
      </w:pPr>
      <w:r>
        <w:rPr>
          <w:rFonts w:ascii="Courier New" w:cs="Courier New" w:eastAsia="Courier New" w:hAnsi="Courier New"/>
          <w:sz w:val="15"/>
          <w:szCs w:val="15"/>
          <w:color w:val="auto"/>
        </w:rPr>
        <w:t>(Name of issuer of the securities held pursuant to the plan)</w:t>
      </w:r>
    </w:p>
    <w:p>
      <w:pPr>
        <w:spacing w:after="0" w:line="200" w:lineRule="exact"/>
        <w:rPr>
          <w:sz w:val="24"/>
          <w:szCs w:val="24"/>
          <w:color w:val="auto"/>
        </w:rPr>
      </w:pPr>
    </w:p>
    <w:p>
      <w:pPr>
        <w:spacing w:after="0" w:line="30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42, RUE SAINT-DOMINIQUE</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277 PARK</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AVENUE</w:t>
            </w:r>
          </w:p>
        </w:tc>
        <w:tc>
          <w:tcPr>
            <w:tcW w:w="3200" w:type="dxa"/>
            <w:vAlign w:val="bottom"/>
          </w:tcPr>
          <w:p>
            <w:pPr>
              <w:ind w:left="1100"/>
              <w:spacing w:after="0"/>
              <w:rPr>
                <w:sz w:val="20"/>
                <w:szCs w:val="20"/>
                <w:color w:val="auto"/>
              </w:rPr>
            </w:pPr>
            <w:r>
              <w:rPr>
                <w:rFonts w:ascii="Courier New" w:cs="Courier New" w:eastAsia="Courier New" w:hAnsi="Courier New"/>
                <w:sz w:val="15"/>
                <w:szCs w:val="15"/>
                <w:color w:val="auto"/>
              </w:rPr>
              <w:t>PARKSTRAAT 83</w:t>
            </w:r>
          </w:p>
        </w:tc>
      </w:tr>
      <w:tr>
        <w:trPr>
          <w:trHeight w:val="168"/>
        </w:trPr>
        <w:tc>
          <w:tcPr>
            <w:tcW w:w="226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7"/>
              </w:rPr>
              <w:t>PARIS, FRANCE 75077</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NEW YORK, NY</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10172-2066</w:t>
            </w:r>
          </w:p>
        </w:tc>
        <w:tc>
          <w:tcPr>
            <w:tcW w:w="32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THE HAGUE, THE NETHERLANDS 2514 JG</w:t>
            </w:r>
          </w:p>
        </w:tc>
      </w:tr>
      <w:tr>
        <w:trPr>
          <w:trHeight w:val="168"/>
        </w:trPr>
        <w:tc>
          <w:tcPr>
            <w:tcW w:w="2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(33-1) 4062-1000</w:t>
            </w:r>
          </w:p>
        </w:tc>
        <w:tc>
          <w:tcPr>
            <w:tcW w:w="25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(212) 350-9400</w:t>
            </w:r>
          </w:p>
        </w:tc>
        <w:tc>
          <w:tcPr>
            <w:tcW w:w="32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(31-70) 310-5447</w:t>
            </w:r>
          </w:p>
        </w:tc>
      </w:tr>
    </w:tbl>
    <w:p>
      <w:pPr>
        <w:spacing w:after="0" w:line="5" w:lineRule="exact"/>
        <w:rPr>
          <w:sz w:val="24"/>
          <w:szCs w:val="24"/>
          <w:color w:val="auto"/>
        </w:rPr>
      </w:pPr>
    </w:p>
    <w:p>
      <w:pPr>
        <w:ind w:left="420" w:right="4099" w:firstLine="262"/>
        <w:spacing w:after="0" w:line="261" w:lineRule="auto"/>
        <w:rPr>
          <w:sz w:val="20"/>
          <w:szCs w:val="20"/>
          <w:color w:val="auto"/>
        </w:rPr>
      </w:pPr>
      <w:r>
        <w:rPr>
          <w:rFonts w:ascii="Courier New" w:cs="Courier New" w:eastAsia="Courier New" w:hAnsi="Courier New"/>
          <w:sz w:val="14"/>
          <w:szCs w:val="14"/>
          <w:color w:val="auto"/>
        </w:rPr>
        <w:t>(Addresses, including zip codes, and telephone numbers, including area codes, of issuer's principal executive offices)</w:t>
      </w:r>
    </w:p>
    <w:p>
      <w:pPr>
        <w:spacing w:after="0" w:line="200" w:lineRule="exact"/>
        <w:rPr>
          <w:sz w:val="24"/>
          <w:szCs w:val="24"/>
          <w:color w:val="auto"/>
        </w:rPr>
      </w:pPr>
    </w:p>
    <w:p>
      <w:pPr>
        <w:spacing w:after="0" w:line="290"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959"/>
          </w:cols>
          <w:pgMar w:left="500" w:top="561" w:right="1440" w:bottom="1440" w:gutter="0" w:footer="0" w:header="0"/>
        </w:sectPr>
      </w:pPr>
    </w:p>
    <w:bookmarkStart w:id="1" w:name="page2"/>
    <w:bookmarkEnd w:id="1"/>
    <w:p>
      <w:pPr>
        <w:jc w:val="center"/>
        <w:ind w:right="3219"/>
        <w:spacing w:after="0"/>
        <w:rPr>
          <w:sz w:val="20"/>
          <w:szCs w:val="20"/>
          <w:color w:val="auto"/>
        </w:rPr>
      </w:pPr>
      <w:r>
        <w:rPr>
          <w:rFonts w:ascii="Courier New" w:cs="Courier New" w:eastAsia="Courier New" w:hAnsi="Courier New"/>
          <w:sz w:val="15"/>
          <w:szCs w:val="15"/>
          <w:color w:val="auto"/>
        </w:rPr>
        <w:t>PRODUCTION OPERATORS THRIFT PLAN</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INDEX TO FINANCIAL STATEMENTS AND SUPPLEMENTAL SCHEDULES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____________________</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8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6"/>
              </w:rPr>
              <w:t>FINANCIAL STATEMENTS</w:t>
            </w:r>
          </w:p>
        </w:tc>
        <w:tc>
          <w:tcPr>
            <w:tcW w:w="480" w:type="dxa"/>
            <w:vAlign w:val="bottom"/>
          </w:tcPr>
          <w:p>
            <w:pPr>
              <w:spacing w:after="0"/>
              <w:rPr>
                <w:sz w:val="14"/>
                <w:szCs w:val="14"/>
                <w:color w:val="auto"/>
              </w:rPr>
            </w:pPr>
          </w:p>
        </w:tc>
      </w:tr>
      <w:tr>
        <w:trPr>
          <w:trHeight w:val="336"/>
        </w:trPr>
        <w:tc>
          <w:tcPr>
            <w:tcW w:w="58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58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Independent Auditors' Report.....................................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Statements of Net Assets Available for Benefits,</w:t>
            </w:r>
          </w:p>
        </w:tc>
        <w:tc>
          <w:tcPr>
            <w:tcW w:w="480" w:type="dxa"/>
            <w:vAlign w:val="bottom"/>
          </w:tcPr>
          <w:p>
            <w:pPr>
              <w:spacing w:after="0"/>
              <w:rPr>
                <w:sz w:val="24"/>
                <w:szCs w:val="24"/>
                <w:color w:val="auto"/>
              </w:rPr>
            </w:pPr>
          </w:p>
        </w:tc>
      </w:tr>
      <w:tr>
        <w:trPr>
          <w:trHeight w:val="168"/>
        </w:trPr>
        <w:tc>
          <w:tcPr>
            <w:tcW w:w="582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7"/>
              </w:rPr>
              <w:t>December 31, 1999 and 1998..................................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Statement of Changes in Net Assets Available for Benefits with</w:t>
            </w:r>
          </w:p>
        </w:tc>
        <w:tc>
          <w:tcPr>
            <w:tcW w:w="480" w:type="dxa"/>
            <w:vAlign w:val="bottom"/>
          </w:tcPr>
          <w:p>
            <w:pPr>
              <w:spacing w:after="0"/>
              <w:rPr>
                <w:sz w:val="24"/>
                <w:szCs w:val="24"/>
                <w:color w:val="auto"/>
              </w:rPr>
            </w:pPr>
          </w:p>
        </w:tc>
      </w:tr>
      <w:tr>
        <w:trPr>
          <w:trHeight w:val="168"/>
        </w:trPr>
        <w:tc>
          <w:tcPr>
            <w:tcW w:w="582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7"/>
              </w:rPr>
              <w:t>Fund Information, Year Ended December 31, 1999..............</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w w:val="99"/>
              </w:rPr>
              <w:t>Notes to Financial Statements....................................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36"/>
        </w:trPr>
        <w:tc>
          <w:tcPr>
            <w:tcW w:w="58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6"/>
              </w:rPr>
              <w:t>____________________</w:t>
            </w:r>
          </w:p>
        </w:tc>
        <w:tc>
          <w:tcPr>
            <w:tcW w:w="480" w:type="dxa"/>
            <w:vAlign w:val="bottom"/>
          </w:tcPr>
          <w:p>
            <w:pPr>
              <w:spacing w:after="0"/>
              <w:rPr>
                <w:sz w:val="24"/>
                <w:szCs w:val="24"/>
                <w:color w:val="auto"/>
              </w:rPr>
            </w:pPr>
          </w:p>
        </w:tc>
      </w:tr>
      <w:tr>
        <w:trPr>
          <w:trHeight w:val="505"/>
        </w:trPr>
        <w:tc>
          <w:tcPr>
            <w:tcW w:w="58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SUPPLEMENTAL SCHEDULES</w:t>
            </w:r>
          </w:p>
        </w:tc>
        <w:tc>
          <w:tcPr>
            <w:tcW w:w="480" w:type="dxa"/>
            <w:vAlign w:val="bottom"/>
          </w:tcPr>
          <w:p>
            <w:pPr>
              <w:spacing w:after="0"/>
              <w:rPr>
                <w:sz w:val="24"/>
                <w:szCs w:val="24"/>
                <w:color w:val="auto"/>
              </w:rPr>
            </w:pP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Schedule of Assets Held for Investment Purposes at End of Year,</w:t>
            </w:r>
          </w:p>
        </w:tc>
        <w:tc>
          <w:tcPr>
            <w:tcW w:w="480" w:type="dxa"/>
            <w:vAlign w:val="bottom"/>
          </w:tcPr>
          <w:p>
            <w:pPr>
              <w:spacing w:after="0"/>
              <w:rPr>
                <w:sz w:val="24"/>
                <w:szCs w:val="24"/>
                <w:color w:val="auto"/>
              </w:rPr>
            </w:pPr>
          </w:p>
        </w:tc>
      </w:tr>
      <w:tr>
        <w:trPr>
          <w:trHeight w:val="168"/>
        </w:trPr>
        <w:tc>
          <w:tcPr>
            <w:tcW w:w="582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7"/>
              </w:rPr>
              <w:t>December 31, 1999...........................................</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Schedule of Reportable Transactions,</w:t>
            </w:r>
          </w:p>
        </w:tc>
        <w:tc>
          <w:tcPr>
            <w:tcW w:w="480" w:type="dxa"/>
            <w:vAlign w:val="bottom"/>
          </w:tcPr>
          <w:p>
            <w:pPr>
              <w:spacing w:after="0"/>
              <w:rPr>
                <w:sz w:val="24"/>
                <w:szCs w:val="24"/>
                <w:color w:val="auto"/>
              </w:rPr>
            </w:pPr>
          </w:p>
        </w:tc>
      </w:tr>
      <w:tr>
        <w:trPr>
          <w:trHeight w:val="168"/>
        </w:trPr>
        <w:tc>
          <w:tcPr>
            <w:tcW w:w="582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7"/>
              </w:rPr>
              <w:t>Year Ended December 31, 1999................................</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bl>
    <w:p>
      <w:pPr>
        <w:spacing w:after="0" w:line="173" w:lineRule="exact"/>
        <w:rPr>
          <w:sz w:val="20"/>
          <w:szCs w:val="20"/>
          <w:color w:val="auto"/>
        </w:rPr>
      </w:pPr>
    </w:p>
    <w:p>
      <w:pPr>
        <w:ind w:left="440" w:right="3839"/>
        <w:spacing w:after="0" w:line="235" w:lineRule="auto"/>
        <w:rPr>
          <w:sz w:val="20"/>
          <w:szCs w:val="20"/>
          <w:color w:val="auto"/>
        </w:rPr>
      </w:pPr>
      <w:r>
        <w:rPr>
          <w:rFonts w:ascii="Courier New" w:cs="Courier New" w:eastAsia="Courier New" w:hAnsi="Courier New"/>
          <w:sz w:val="15"/>
          <w:szCs w:val="15"/>
          <w:color w:val="auto"/>
        </w:rPr>
        <w:t>All other schedules are omitted because they are not applicable, not required or the information is included in the Notes to Financial Statements.</w:t>
      </w:r>
    </w:p>
    <w:p>
      <w:pPr>
        <w:ind w:left="2640"/>
        <w:spacing w:after="0" w:line="238" w:lineRule="auto"/>
        <w:rPr>
          <w:sz w:val="20"/>
          <w:szCs w:val="20"/>
          <w:color w:val="auto"/>
        </w:rPr>
      </w:pPr>
      <w:r>
        <w:rPr>
          <w:rFonts w:ascii="Courier New" w:cs="Courier New" w:eastAsia="Courier New" w:hAnsi="Courier New"/>
          <w:sz w:val="15"/>
          <w:szCs w:val="15"/>
          <w:color w:val="auto"/>
        </w:rPr>
        <w:t>____________________</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PLAN. Pursuant to the requirements of the Securities Exchange Act of 1934, the trustees (or other persons who administer the employee benefit plan) have caused this annual report to be signed on their behalf by the undersigned hereunto duly authorized.</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PRODUCTION OPERATORS THRIFT PLAN</w:t>
      </w:r>
    </w:p>
    <w:p>
      <w:pPr>
        <w:sectPr>
          <w:pgSz w:w="11900" w:h="16838" w:orient="portrait"/>
          <w:cols w:equalWidth="0" w:num="1">
            <w:col w:w="10239"/>
          </w:cols>
          <w:pgMar w:left="220" w:top="617" w:right="1440" w:bottom="1440" w:gutter="0" w:footer="0" w:header="0"/>
        </w:sectPr>
      </w:pPr>
    </w:p>
    <w:p>
      <w:pPr>
        <w:spacing w:after="0" w:line="341"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BY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J. CHRISTOPHER HOLLAND</w:t>
      </w:r>
    </w:p>
    <w:p>
      <w:pPr>
        <w:spacing w:after="0" w:line="237" w:lineRule="auto"/>
        <w:rPr>
          <w:sz w:val="20"/>
          <w:szCs w:val="20"/>
          <w:color w:val="auto"/>
        </w:rPr>
      </w:pPr>
      <w:r>
        <w:rPr>
          <w:rFonts w:ascii="Courier New" w:cs="Courier New" w:eastAsia="Courier New" w:hAnsi="Courier New"/>
          <w:sz w:val="15"/>
          <w:szCs w:val="15"/>
          <w:color w:val="auto"/>
        </w:rPr>
        <w:t>------------------------------------</w:t>
      </w:r>
    </w:p>
    <w:p>
      <w:pPr>
        <w:ind w:left="540"/>
        <w:spacing w:after="0" w:line="238" w:lineRule="auto"/>
        <w:rPr>
          <w:sz w:val="20"/>
          <w:szCs w:val="20"/>
          <w:color w:val="auto"/>
        </w:rPr>
      </w:pPr>
      <w:r>
        <w:rPr>
          <w:rFonts w:ascii="Courier New" w:cs="Courier New" w:eastAsia="Courier New" w:hAnsi="Courier New"/>
          <w:sz w:val="15"/>
          <w:szCs w:val="15"/>
          <w:color w:val="auto"/>
        </w:rPr>
        <w:t>J. Christopher Holland</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Secretary, Administrative Committee</w:t>
      </w:r>
    </w:p>
    <w:p>
      <w:pPr>
        <w:spacing w:after="0" w:line="178" w:lineRule="exact"/>
        <w:rPr>
          <w:sz w:val="20"/>
          <w:szCs w:val="20"/>
          <w:color w:val="auto"/>
        </w:rPr>
      </w:pPr>
    </w:p>
    <w:p>
      <w:pPr>
        <w:sectPr>
          <w:pgSz w:w="11900" w:h="16838" w:orient="portrait"/>
          <w:cols w:equalWidth="0" w:num="2">
            <w:col w:w="2800" w:space="0"/>
            <w:col w:w="7439"/>
          </w:cols>
          <w:pgMar w:left="220" w:top="617" w:right="1440" w:bottom="1440" w:gutter="0" w:footer="0" w:header="0"/>
          <w:type w:val="continuous"/>
        </w:sect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June 20, 2000</w:t>
      </w:r>
    </w:p>
    <w:p>
      <w:pPr>
        <w:sectPr>
          <w:pgSz w:w="11900" w:h="16838" w:orient="portrait"/>
          <w:cols w:equalWidth="0" w:num="1">
            <w:col w:w="10239"/>
          </w:cols>
          <w:pgMar w:left="220" w:top="617" w:right="1440" w:bottom="1440" w:gutter="0" w:footer="0" w:header="0"/>
          <w:type w:val="continuous"/>
        </w:sectPr>
      </w:pPr>
    </w:p>
    <w:bookmarkStart w:id="2" w:name="page3"/>
    <w:bookmarkEnd w:id="2"/>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Retirement Plan Committee of the</w:t>
      </w:r>
    </w:p>
    <w:p>
      <w:pPr>
        <w:spacing w:after="0" w:line="237" w:lineRule="auto"/>
        <w:rPr>
          <w:sz w:val="20"/>
          <w:szCs w:val="20"/>
          <w:color w:val="auto"/>
        </w:rPr>
      </w:pPr>
      <w:r>
        <w:rPr>
          <w:rFonts w:ascii="Courier New" w:cs="Courier New" w:eastAsia="Courier New" w:hAnsi="Courier New"/>
          <w:sz w:val="15"/>
          <w:szCs w:val="15"/>
          <w:color w:val="auto"/>
        </w:rPr>
        <w:t>Production Operators Thrift Plan: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statements of net assets available for benefits of the Production Operators Thrift Plan as of December 31, 1999 and 1998, and the related statement of changes in net assets available for benefits for the year ended December 31, 1999. These financial statements are the responsibility of the Plan's management. Our responsibility is to express an opinion on these financial statements based on our audits.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net assets available for benefits of the Production Operators Thrift Plan as of December 31, 1999 and 1998, and the changes in net assets available for benefits for the year ended December 31, 1999, in conformity with generally accepted accounting principles.</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Our audits were conducted for the purpose of forming an opinion on the basic financial statements taken as a whole. The supplemental schedules of assets held for investment purposes and reportable transactions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Fund Information in the statement of changes in net assets available for benefits is presented for purposes of additional analysis rather than to present the changes in net assets available for plan benefits of each fund. The supplemental schedules and Fund Information have been subjected to the auditing procedures applied in the audits of the basic financial statements and, in our opinion, are fairly stated in all material respects in relation to the basic financial statements taken as a whole.</w:t>
      </w:r>
    </w:p>
    <w:p>
      <w:pPr>
        <w:spacing w:after="0" w:line="33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 LARKIN, ERVIN &amp; SHIRLEY,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June 20, 2000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3" w:name="page4"/>
    <w:bookmarkEnd w:id="3"/>
    <w:p>
      <w:pPr>
        <w:ind w:left="2100"/>
        <w:spacing w:after="0"/>
        <w:rPr>
          <w:sz w:val="20"/>
          <w:szCs w:val="20"/>
          <w:color w:val="auto"/>
        </w:rPr>
      </w:pPr>
      <w:r>
        <w:rPr>
          <w:rFonts w:ascii="Courier New" w:cs="Courier New" w:eastAsia="Courier New" w:hAnsi="Courier New"/>
          <w:sz w:val="15"/>
          <w:szCs w:val="15"/>
          <w:color w:val="auto"/>
        </w:rPr>
        <w:t>PRODUCTION OPERATORS THRIFT PLAN</w:t>
      </w:r>
    </w:p>
    <w:p>
      <w:pPr>
        <w:ind w:left="1400"/>
        <w:spacing w:after="0" w:line="237" w:lineRule="auto"/>
        <w:rPr>
          <w:sz w:val="20"/>
          <w:szCs w:val="20"/>
          <w:color w:val="auto"/>
        </w:rPr>
      </w:pPr>
      <w:r>
        <w:rPr>
          <w:rFonts w:ascii="Courier New" w:cs="Courier New" w:eastAsia="Courier New" w:hAnsi="Courier New"/>
          <w:sz w:val="15"/>
          <w:szCs w:val="15"/>
          <w:color w:val="auto"/>
        </w:rPr>
        <w:t>Statements of Net Assets Available for Benefits</w:t>
      </w:r>
    </w:p>
    <w:p>
      <w:pPr>
        <w:ind w:left="2980"/>
        <w:spacing w:after="0" w:line="238" w:lineRule="auto"/>
        <w:rPr>
          <w:sz w:val="20"/>
          <w:szCs w:val="20"/>
          <w:color w:val="auto"/>
        </w:rPr>
      </w:pPr>
      <w:r>
        <w:rPr>
          <w:rFonts w:ascii="Courier New" w:cs="Courier New" w:eastAsia="Courier New" w:hAnsi="Courier New"/>
          <w:sz w:val="15"/>
          <w:szCs w:val="15"/>
          <w:color w:val="auto"/>
        </w:rPr>
        <w:t>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88"/>
              </w:rPr>
              <w:t>1999</w:t>
            </w:r>
          </w:p>
        </w:tc>
        <w:tc>
          <w:tcPr>
            <w:tcW w:w="900" w:type="dxa"/>
            <w:vAlign w:val="bottom"/>
          </w:tcPr>
          <w:p>
            <w:pPr>
              <w:spacing w:after="0"/>
              <w:rPr>
                <w:sz w:val="14"/>
                <w:szCs w:val="14"/>
                <w:color w:val="auto"/>
              </w:rPr>
            </w:pP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4520" w:type="dxa"/>
            <w:vAlign w:val="bottom"/>
          </w:tcPr>
          <w:p>
            <w:pPr>
              <w:spacing w:after="0"/>
              <w:rPr>
                <w:sz w:val="14"/>
                <w:szCs w:val="14"/>
                <w:color w:val="auto"/>
              </w:rPr>
            </w:pPr>
          </w:p>
        </w:tc>
        <w:tc>
          <w:tcPr>
            <w:tcW w:w="30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ind w:left="2200"/>
              <w:spacing w:after="0"/>
              <w:rPr>
                <w:sz w:val="20"/>
                <w:szCs w:val="20"/>
                <w:color w:val="auto"/>
              </w:rPr>
            </w:pPr>
            <w:r>
              <w:rPr>
                <w:rFonts w:ascii="Courier New" w:cs="Courier New" w:eastAsia="Courier New" w:hAnsi="Courier New"/>
                <w:sz w:val="15"/>
                <w:szCs w:val="15"/>
                <w:color w:val="auto"/>
              </w:rPr>
              <w:t>Assets</w:t>
            </w: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At fair value -</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Registered investment company shares:</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AXP International Fund</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287,382</w:t>
            </w: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27,198</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AXP New Dimensions Fund</w:t>
            </w:r>
          </w:p>
        </w:tc>
        <w:tc>
          <w:tcPr>
            <w:tcW w:w="162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8,117,971</w:t>
            </w:r>
          </w:p>
        </w:tc>
        <w:tc>
          <w:tcPr>
            <w:tcW w:w="90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5,831,555</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AXP Mutual Fund</w:t>
            </w:r>
          </w:p>
        </w:tc>
        <w:tc>
          <w:tcPr>
            <w:tcW w:w="162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3,435,690</w:t>
            </w:r>
          </w:p>
        </w:tc>
        <w:tc>
          <w:tcPr>
            <w:tcW w:w="90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3,251,966</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AXP Federal Income Fund</w:t>
            </w:r>
          </w:p>
        </w:tc>
        <w:tc>
          <w:tcPr>
            <w:tcW w:w="162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766,242</w:t>
            </w:r>
          </w:p>
        </w:tc>
        <w:tc>
          <w:tcPr>
            <w:tcW w:w="90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559,757</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AIM Constellation Fund</w:t>
            </w:r>
          </w:p>
        </w:tc>
        <w:tc>
          <w:tcPr>
            <w:tcW w:w="162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1,250,901</w:t>
            </w:r>
          </w:p>
        </w:tc>
        <w:tc>
          <w:tcPr>
            <w:tcW w:w="90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798,965</w:t>
            </w: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Schlumberger Stock Fund</w:t>
            </w:r>
          </w:p>
        </w:tc>
        <w:tc>
          <w:tcPr>
            <w:tcW w:w="162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30,041,461</w:t>
            </w:r>
          </w:p>
        </w:tc>
        <w:tc>
          <w:tcPr>
            <w:tcW w:w="90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55,525</w:t>
            </w: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Participant notes receivable</w:t>
            </w:r>
          </w:p>
        </w:tc>
        <w:tc>
          <w:tcPr>
            <w:tcW w:w="162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1,751,612</w:t>
            </w:r>
          </w:p>
        </w:tc>
        <w:tc>
          <w:tcPr>
            <w:tcW w:w="90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1,114,147</w:t>
            </w:r>
          </w:p>
        </w:tc>
      </w:tr>
      <w:tr>
        <w:trPr>
          <w:trHeight w:val="168"/>
        </w:trPr>
        <w:tc>
          <w:tcPr>
            <w:tcW w:w="4520" w:type="dxa"/>
            <w:vAlign w:val="bottom"/>
          </w:tcPr>
          <w:p>
            <w:pPr>
              <w:spacing w:after="0"/>
              <w:rPr>
                <w:sz w:val="14"/>
                <w:szCs w:val="14"/>
                <w:color w:val="auto"/>
              </w:rPr>
            </w:pPr>
          </w:p>
        </w:tc>
        <w:tc>
          <w:tcPr>
            <w:tcW w:w="30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45,651,259</w:t>
            </w:r>
          </w:p>
        </w:tc>
        <w:tc>
          <w:tcPr>
            <w:tcW w:w="90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11,639,113</w:t>
            </w:r>
          </w:p>
        </w:tc>
      </w:tr>
      <w:tr>
        <w:trPr>
          <w:trHeight w:val="168"/>
        </w:trPr>
        <w:tc>
          <w:tcPr>
            <w:tcW w:w="4520" w:type="dxa"/>
            <w:vAlign w:val="bottom"/>
          </w:tcPr>
          <w:p>
            <w:pPr>
              <w:spacing w:after="0"/>
              <w:rPr>
                <w:sz w:val="14"/>
                <w:szCs w:val="14"/>
                <w:color w:val="auto"/>
              </w:rPr>
            </w:pPr>
          </w:p>
        </w:tc>
        <w:tc>
          <w:tcPr>
            <w:tcW w:w="30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 contract value -</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AET Equity Index Fund I</w:t>
            </w:r>
          </w:p>
        </w:tc>
        <w:tc>
          <w:tcPr>
            <w:tcW w:w="162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11,481,125</w:t>
            </w:r>
          </w:p>
        </w:tc>
        <w:tc>
          <w:tcPr>
            <w:tcW w:w="90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9,956,645</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AET Income Fund II</w:t>
            </w:r>
          </w:p>
        </w:tc>
        <w:tc>
          <w:tcPr>
            <w:tcW w:w="162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6,217,835</w:t>
            </w:r>
          </w:p>
        </w:tc>
        <w:tc>
          <w:tcPr>
            <w:tcW w:w="90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5,107,977</w:t>
            </w:r>
          </w:p>
        </w:tc>
      </w:tr>
      <w:tr>
        <w:trPr>
          <w:trHeight w:val="168"/>
        </w:trPr>
        <w:tc>
          <w:tcPr>
            <w:tcW w:w="4520" w:type="dxa"/>
            <w:vAlign w:val="bottom"/>
          </w:tcPr>
          <w:p>
            <w:pPr>
              <w:spacing w:after="0"/>
              <w:rPr>
                <w:sz w:val="14"/>
                <w:szCs w:val="14"/>
                <w:color w:val="auto"/>
              </w:rPr>
            </w:pPr>
          </w:p>
        </w:tc>
        <w:tc>
          <w:tcPr>
            <w:tcW w:w="30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17,698,960</w:t>
            </w:r>
          </w:p>
        </w:tc>
        <w:tc>
          <w:tcPr>
            <w:tcW w:w="90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15,064,622</w:t>
            </w:r>
          </w:p>
        </w:tc>
      </w:tr>
      <w:tr>
        <w:trPr>
          <w:trHeight w:val="168"/>
        </w:trPr>
        <w:tc>
          <w:tcPr>
            <w:tcW w:w="4520" w:type="dxa"/>
            <w:vAlign w:val="bottom"/>
          </w:tcPr>
          <w:p>
            <w:pPr>
              <w:spacing w:after="0"/>
              <w:rPr>
                <w:sz w:val="14"/>
                <w:szCs w:val="14"/>
                <w:color w:val="auto"/>
              </w:rPr>
            </w:pPr>
          </w:p>
        </w:tc>
        <w:tc>
          <w:tcPr>
            <w:tcW w:w="30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investments</w:t>
            </w:r>
          </w:p>
        </w:tc>
        <w:tc>
          <w:tcPr>
            <w:tcW w:w="162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63,350,219</w:t>
            </w:r>
          </w:p>
        </w:tc>
        <w:tc>
          <w:tcPr>
            <w:tcW w:w="90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26,703,735</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620" w:type="dxa"/>
            <w:vAlign w:val="bottom"/>
          </w:tcPr>
          <w:p>
            <w:pPr>
              <w:spacing w:after="0"/>
              <w:rPr>
                <w:sz w:val="24"/>
                <w:szCs w:val="24"/>
                <w:color w:val="auto"/>
              </w:rPr>
            </w:pPr>
          </w:p>
        </w:tc>
        <w:tc>
          <w:tcPr>
            <w:tcW w:w="1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30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assets</w:t>
            </w:r>
          </w:p>
        </w:tc>
        <w:tc>
          <w:tcPr>
            <w:tcW w:w="162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63,350,219</w:t>
            </w:r>
          </w:p>
        </w:tc>
        <w:tc>
          <w:tcPr>
            <w:tcW w:w="90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26,703,735</w:t>
            </w:r>
          </w:p>
        </w:tc>
      </w:tr>
      <w:tr>
        <w:trPr>
          <w:trHeight w:val="336"/>
        </w:trPr>
        <w:tc>
          <w:tcPr>
            <w:tcW w:w="4520" w:type="dxa"/>
            <w:vAlign w:val="bottom"/>
          </w:tcPr>
          <w:p>
            <w:pPr>
              <w:ind w:left="2020"/>
              <w:spacing w:after="0"/>
              <w:rPr>
                <w:sz w:val="20"/>
                <w:szCs w:val="20"/>
                <w:color w:val="auto"/>
              </w:rPr>
            </w:pPr>
            <w:r>
              <w:rPr>
                <w:rFonts w:ascii="Courier New" w:cs="Courier New" w:eastAsia="Courier New" w:hAnsi="Courier New"/>
                <w:sz w:val="15"/>
                <w:szCs w:val="15"/>
                <w:color w:val="auto"/>
              </w:rPr>
              <w:t>Liabilities</w:t>
            </w: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62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30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assets available for benefits</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63,350,219</w:t>
            </w: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26,703,735</w:t>
            </w:r>
          </w:p>
        </w:tc>
      </w:tr>
      <w:tr>
        <w:trPr>
          <w:trHeight w:val="168"/>
        </w:trPr>
        <w:tc>
          <w:tcPr>
            <w:tcW w:w="4520" w:type="dxa"/>
            <w:vAlign w:val="bottom"/>
          </w:tcPr>
          <w:p>
            <w:pPr>
              <w:spacing w:after="0"/>
              <w:rPr>
                <w:sz w:val="14"/>
                <w:szCs w:val="14"/>
                <w:color w:val="auto"/>
              </w:rPr>
            </w:pPr>
          </w:p>
        </w:tc>
        <w:tc>
          <w:tcPr>
            <w:tcW w:w="30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The accompanying notes are an integral</w:t>
      </w:r>
    </w:p>
    <w:p>
      <w:pPr>
        <w:ind w:left="1940"/>
        <w:spacing w:after="0" w:line="237" w:lineRule="auto"/>
        <w:rPr>
          <w:sz w:val="20"/>
          <w:szCs w:val="20"/>
          <w:color w:val="auto"/>
        </w:rPr>
      </w:pPr>
      <w:r>
        <w:rPr>
          <w:rFonts w:ascii="Courier New" w:cs="Courier New" w:eastAsia="Courier New" w:hAnsi="Courier New"/>
          <w:sz w:val="15"/>
          <w:szCs w:val="15"/>
          <w:color w:val="auto"/>
        </w:rPr>
        <w:t>part of these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4" w:name="page5"/>
    <w:bookmarkEnd w:id="4"/>
    <w:p>
      <w:pPr>
        <w:jc w:val="center"/>
        <w:ind w:right="4520"/>
        <w:spacing w:after="0"/>
        <w:rPr>
          <w:sz w:val="20"/>
          <w:szCs w:val="20"/>
          <w:color w:val="auto"/>
        </w:rPr>
      </w:pPr>
      <w:r>
        <w:rPr>
          <w:rFonts w:ascii="Courier New" w:cs="Courier New" w:eastAsia="Courier New" w:hAnsi="Courier New"/>
          <w:sz w:val="15"/>
          <w:szCs w:val="15"/>
          <w:color w:val="auto"/>
        </w:rPr>
        <w:t>PRODUCTION OPERATORS THRIFT PLAN</w:t>
      </w:r>
    </w:p>
    <w:p>
      <w:pPr>
        <w:jc w:val="center"/>
        <w:ind w:right="4620"/>
        <w:spacing w:after="0" w:line="237" w:lineRule="auto"/>
        <w:rPr>
          <w:sz w:val="20"/>
          <w:szCs w:val="20"/>
          <w:color w:val="auto"/>
        </w:rPr>
      </w:pPr>
      <w:r>
        <w:rPr>
          <w:rFonts w:ascii="Courier New" w:cs="Courier New" w:eastAsia="Courier New" w:hAnsi="Courier New"/>
          <w:sz w:val="15"/>
          <w:szCs w:val="15"/>
          <w:color w:val="auto"/>
        </w:rPr>
        <w:t>Statement of Changes in Net Assets Available for Benefits</w:t>
      </w:r>
    </w:p>
    <w:p>
      <w:pPr>
        <w:ind w:left="2540"/>
        <w:spacing w:after="0" w:line="238" w:lineRule="auto"/>
        <w:rPr>
          <w:sz w:val="20"/>
          <w:szCs w:val="20"/>
          <w:color w:val="auto"/>
        </w:rPr>
      </w:pPr>
      <w:r>
        <w:rPr>
          <w:rFonts w:ascii="Courier New" w:cs="Courier New" w:eastAsia="Courier New" w:hAnsi="Courier New"/>
          <w:sz w:val="15"/>
          <w:szCs w:val="15"/>
          <w:color w:val="auto"/>
        </w:rPr>
        <w:t>with Fund Information</w:t>
      </w:r>
    </w:p>
    <w:p>
      <w:pPr>
        <w:ind w:left="1940"/>
        <w:spacing w:after="0" w:line="237" w:lineRule="auto"/>
        <w:rPr>
          <w:sz w:val="20"/>
          <w:szCs w:val="20"/>
          <w:color w:val="auto"/>
        </w:rPr>
      </w:pPr>
      <w:r>
        <w:rPr>
          <w:rFonts w:ascii="Courier New" w:cs="Courier New" w:eastAsia="Courier New" w:hAnsi="Courier New"/>
          <w:sz w:val="15"/>
          <w:szCs w:val="15"/>
          <w:color w:val="auto"/>
        </w:rPr>
        <w:t>For the Year Ended December 31,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AXP</w:t>
            </w:r>
          </w:p>
        </w:tc>
        <w:tc>
          <w:tcPr>
            <w:tcW w:w="3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AXP New</w:t>
            </w:r>
          </w:p>
        </w:tc>
        <w:tc>
          <w:tcPr>
            <w:tcW w:w="340" w:type="dxa"/>
            <w:vAlign w:val="bottom"/>
          </w:tcPr>
          <w:p>
            <w:pPr>
              <w:spacing w:after="0"/>
              <w:rPr>
                <w:sz w:val="14"/>
                <w:szCs w:val="14"/>
                <w:color w:val="auto"/>
              </w:rPr>
            </w:pP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AXP</w:t>
            </w:r>
          </w:p>
        </w:tc>
        <w:tc>
          <w:tcPr>
            <w:tcW w:w="360" w:type="dxa"/>
            <w:vAlign w:val="bottom"/>
          </w:tcPr>
          <w:p>
            <w:pPr>
              <w:spacing w:after="0"/>
              <w:rPr>
                <w:sz w:val="14"/>
                <w:szCs w:val="14"/>
                <w:color w:val="auto"/>
              </w:rPr>
            </w:pPr>
          </w:p>
        </w:tc>
        <w:tc>
          <w:tcPr>
            <w:tcW w:w="12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AXP</w:t>
            </w:r>
          </w:p>
        </w:tc>
        <w:tc>
          <w:tcPr>
            <w:tcW w:w="320" w:type="dxa"/>
            <w:vAlign w:val="bottom"/>
          </w:tcPr>
          <w:p>
            <w:pPr>
              <w:spacing w:after="0"/>
              <w:rPr>
                <w:sz w:val="14"/>
                <w:szCs w:val="14"/>
                <w:color w:val="auto"/>
              </w:rPr>
            </w:pPr>
          </w:p>
        </w:tc>
        <w:tc>
          <w:tcPr>
            <w:tcW w:w="12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AIM</w:t>
            </w:r>
          </w:p>
        </w:tc>
      </w:tr>
      <w:tr>
        <w:trPr>
          <w:trHeight w:val="168"/>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International</w:t>
            </w:r>
          </w:p>
        </w:tc>
        <w:tc>
          <w:tcPr>
            <w:tcW w:w="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Dimensions</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Mutual</w:t>
            </w:r>
          </w:p>
        </w:tc>
        <w:tc>
          <w:tcPr>
            <w:tcW w:w="360" w:type="dxa"/>
            <w:vAlign w:val="bottom"/>
          </w:tcPr>
          <w:p>
            <w:pPr>
              <w:spacing w:after="0"/>
              <w:rPr>
                <w:sz w:val="14"/>
                <w:szCs w:val="14"/>
                <w:color w:val="auto"/>
              </w:rPr>
            </w:pPr>
          </w:p>
        </w:tc>
        <w:tc>
          <w:tcPr>
            <w:tcW w:w="12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Federal</w:t>
            </w:r>
          </w:p>
        </w:tc>
        <w:tc>
          <w:tcPr>
            <w:tcW w:w="3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Constellation</w:t>
            </w:r>
          </w:p>
        </w:tc>
      </w:tr>
      <w:tr>
        <w:trPr>
          <w:trHeight w:val="168"/>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Fund</w:t>
            </w:r>
          </w:p>
        </w:tc>
        <w:tc>
          <w:tcPr>
            <w:tcW w:w="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Fund</w:t>
            </w:r>
          </w:p>
        </w:tc>
        <w:tc>
          <w:tcPr>
            <w:tcW w:w="340" w:type="dxa"/>
            <w:vAlign w:val="bottom"/>
          </w:tcPr>
          <w:p>
            <w:pPr>
              <w:spacing w:after="0"/>
              <w:rPr>
                <w:sz w:val="14"/>
                <w:szCs w:val="14"/>
                <w:color w:val="auto"/>
              </w:rPr>
            </w:pP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Fund</w:t>
            </w:r>
          </w:p>
        </w:tc>
        <w:tc>
          <w:tcPr>
            <w:tcW w:w="360" w:type="dxa"/>
            <w:vAlign w:val="bottom"/>
          </w:tcPr>
          <w:p>
            <w:pPr>
              <w:spacing w:after="0"/>
              <w:rPr>
                <w:sz w:val="14"/>
                <w:szCs w:val="14"/>
                <w:color w:val="auto"/>
              </w:rPr>
            </w:pPr>
          </w:p>
        </w:tc>
        <w:tc>
          <w:tcPr>
            <w:tcW w:w="12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Income Fund</w:t>
            </w:r>
          </w:p>
        </w:tc>
        <w:tc>
          <w:tcPr>
            <w:tcW w:w="320" w:type="dxa"/>
            <w:vAlign w:val="bottom"/>
          </w:tcPr>
          <w:p>
            <w:pPr>
              <w:spacing w:after="0"/>
              <w:rPr>
                <w:sz w:val="14"/>
                <w:szCs w:val="14"/>
                <w:color w:val="auto"/>
              </w:rPr>
            </w:pPr>
          </w:p>
        </w:tc>
        <w:tc>
          <w:tcPr>
            <w:tcW w:w="12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Fund</w:t>
            </w:r>
          </w:p>
        </w:tc>
      </w:tr>
      <w:tr>
        <w:trPr>
          <w:trHeight w:val="168"/>
        </w:trPr>
        <w:tc>
          <w:tcPr>
            <w:tcW w:w="3820" w:type="dxa"/>
            <w:vAlign w:val="bottom"/>
          </w:tcPr>
          <w:p>
            <w:pPr>
              <w:spacing w:after="0"/>
              <w:rPr>
                <w:sz w:val="14"/>
                <w:szCs w:val="14"/>
                <w:color w:val="auto"/>
              </w:rPr>
            </w:pPr>
          </w:p>
        </w:tc>
        <w:tc>
          <w:tcPr>
            <w:tcW w:w="1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82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 to net assets attributed to:</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income</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appreciation/(depreciation) in</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fair value of investments</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17,687</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1,474,732</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(65,956)</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(37,980)</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305,789</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3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w:t>
            </w:r>
          </w:p>
        </w:tc>
        <w:tc>
          <w:tcPr>
            <w:tcW w:w="3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49,837</w:t>
            </w:r>
          </w:p>
        </w:tc>
        <w:tc>
          <w:tcPr>
            <w:tcW w:w="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453,959</w:t>
            </w:r>
          </w:p>
        </w:tc>
        <w:tc>
          <w:tcPr>
            <w:tcW w:w="3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309,264</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45,686</w:t>
            </w:r>
          </w:p>
        </w:tc>
        <w:tc>
          <w:tcPr>
            <w:tcW w:w="3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93,121</w:t>
            </w:r>
          </w:p>
        </w:tc>
      </w:tr>
      <w:tr>
        <w:trPr>
          <w:trHeight w:val="168"/>
        </w:trPr>
        <w:tc>
          <w:tcPr>
            <w:tcW w:w="3820" w:type="dxa"/>
            <w:vAlign w:val="bottom"/>
          </w:tcPr>
          <w:p>
            <w:pPr>
              <w:spacing w:after="0"/>
              <w:rPr>
                <w:sz w:val="14"/>
                <w:szCs w:val="14"/>
                <w:color w:val="auto"/>
              </w:rPr>
            </w:pPr>
          </w:p>
        </w:tc>
        <w:tc>
          <w:tcPr>
            <w:tcW w:w="1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67,524</w:t>
            </w:r>
          </w:p>
        </w:tc>
        <w:tc>
          <w:tcPr>
            <w:tcW w:w="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1,928,691</w:t>
            </w:r>
          </w:p>
        </w:tc>
        <w:tc>
          <w:tcPr>
            <w:tcW w:w="3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243,308</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7,706</w:t>
            </w:r>
          </w:p>
        </w:tc>
        <w:tc>
          <w:tcPr>
            <w:tcW w:w="3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398,910</w:t>
            </w:r>
          </w:p>
        </w:tc>
      </w:tr>
      <w:tr>
        <w:trPr>
          <w:trHeight w:val="168"/>
        </w:trPr>
        <w:tc>
          <w:tcPr>
            <w:tcW w:w="3820" w:type="dxa"/>
            <w:vAlign w:val="bottom"/>
          </w:tcPr>
          <w:p>
            <w:pPr>
              <w:spacing w:after="0"/>
              <w:rPr>
                <w:sz w:val="14"/>
                <w:szCs w:val="14"/>
                <w:color w:val="auto"/>
              </w:rPr>
            </w:pPr>
          </w:p>
        </w:tc>
        <w:tc>
          <w:tcPr>
            <w:tcW w:w="1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Contributions</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Participants'</w:t>
            </w:r>
          </w:p>
        </w:tc>
        <w:tc>
          <w:tcPr>
            <w:tcW w:w="3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20,320</w:t>
            </w:r>
          </w:p>
        </w:tc>
        <w:tc>
          <w:tcPr>
            <w:tcW w:w="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324,635</w:t>
            </w:r>
          </w:p>
        </w:tc>
        <w:tc>
          <w:tcPr>
            <w:tcW w:w="3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167,556</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31,271</w:t>
            </w:r>
          </w:p>
        </w:tc>
        <w:tc>
          <w:tcPr>
            <w:tcW w:w="3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98,004</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Employer's</w:t>
            </w:r>
          </w:p>
        </w:tc>
        <w:tc>
          <w:tcPr>
            <w:tcW w:w="3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4,683</w:t>
            </w:r>
          </w:p>
        </w:tc>
        <w:tc>
          <w:tcPr>
            <w:tcW w:w="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93,657</w:t>
            </w:r>
          </w:p>
        </w:tc>
        <w:tc>
          <w:tcPr>
            <w:tcW w:w="3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49,960</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10,771</w:t>
            </w:r>
          </w:p>
        </w:tc>
        <w:tc>
          <w:tcPr>
            <w:tcW w:w="3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22,657</w:t>
            </w:r>
          </w:p>
        </w:tc>
      </w:tr>
      <w:tr>
        <w:trPr>
          <w:trHeight w:val="168"/>
        </w:trPr>
        <w:tc>
          <w:tcPr>
            <w:tcW w:w="3820" w:type="dxa"/>
            <w:vAlign w:val="bottom"/>
          </w:tcPr>
          <w:p>
            <w:pPr>
              <w:spacing w:after="0"/>
              <w:rPr>
                <w:sz w:val="14"/>
                <w:szCs w:val="14"/>
                <w:color w:val="auto"/>
              </w:rPr>
            </w:pPr>
          </w:p>
        </w:tc>
        <w:tc>
          <w:tcPr>
            <w:tcW w:w="1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25,003</w:t>
            </w:r>
          </w:p>
        </w:tc>
        <w:tc>
          <w:tcPr>
            <w:tcW w:w="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418,292</w:t>
            </w:r>
          </w:p>
        </w:tc>
        <w:tc>
          <w:tcPr>
            <w:tcW w:w="3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217,516</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42,042</w:t>
            </w:r>
          </w:p>
        </w:tc>
        <w:tc>
          <w:tcPr>
            <w:tcW w:w="3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120,661</w:t>
            </w:r>
          </w:p>
        </w:tc>
      </w:tr>
      <w:tr>
        <w:trPr>
          <w:trHeight w:val="168"/>
        </w:trPr>
        <w:tc>
          <w:tcPr>
            <w:tcW w:w="3820" w:type="dxa"/>
            <w:vAlign w:val="bottom"/>
          </w:tcPr>
          <w:p>
            <w:pPr>
              <w:spacing w:after="0"/>
              <w:rPr>
                <w:sz w:val="14"/>
                <w:szCs w:val="14"/>
                <w:color w:val="auto"/>
              </w:rPr>
            </w:pPr>
          </w:p>
        </w:tc>
        <w:tc>
          <w:tcPr>
            <w:tcW w:w="1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additions</w:t>
            </w:r>
          </w:p>
        </w:tc>
        <w:tc>
          <w:tcPr>
            <w:tcW w:w="3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92,527</w:t>
            </w:r>
          </w:p>
        </w:tc>
        <w:tc>
          <w:tcPr>
            <w:tcW w:w="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2,346,983</w:t>
            </w:r>
          </w:p>
        </w:tc>
        <w:tc>
          <w:tcPr>
            <w:tcW w:w="3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460,824</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49,748</w:t>
            </w:r>
          </w:p>
        </w:tc>
        <w:tc>
          <w:tcPr>
            <w:tcW w:w="3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519,571</w:t>
            </w:r>
          </w:p>
        </w:tc>
      </w:tr>
      <w:tr>
        <w:trPr>
          <w:trHeight w:val="168"/>
        </w:trPr>
        <w:tc>
          <w:tcPr>
            <w:tcW w:w="3820" w:type="dxa"/>
            <w:vAlign w:val="bottom"/>
          </w:tcPr>
          <w:p>
            <w:pPr>
              <w:spacing w:after="0"/>
              <w:rPr>
                <w:sz w:val="14"/>
                <w:szCs w:val="14"/>
                <w:color w:val="auto"/>
              </w:rPr>
            </w:pPr>
          </w:p>
        </w:tc>
        <w:tc>
          <w:tcPr>
            <w:tcW w:w="1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Deductions</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Deductions from net assets attributable to:</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Benefits paid to participants</w:t>
            </w:r>
          </w:p>
        </w:tc>
        <w:tc>
          <w:tcPr>
            <w:tcW w:w="3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3,782</w:t>
            </w:r>
          </w:p>
        </w:tc>
        <w:tc>
          <w:tcPr>
            <w:tcW w:w="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409,980</w:t>
            </w:r>
          </w:p>
        </w:tc>
        <w:tc>
          <w:tcPr>
            <w:tcW w:w="3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304,515</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12,802</w:t>
            </w:r>
          </w:p>
        </w:tc>
        <w:tc>
          <w:tcPr>
            <w:tcW w:w="3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131,586</w:t>
            </w: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3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w:t>
            </w:r>
          </w:p>
        </w:tc>
        <w:tc>
          <w:tcPr>
            <w:tcW w:w="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594</w:t>
            </w:r>
          </w:p>
        </w:tc>
        <w:tc>
          <w:tcPr>
            <w:tcW w:w="3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277</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w:t>
            </w:r>
          </w:p>
        </w:tc>
        <w:tc>
          <w:tcPr>
            <w:tcW w:w="3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3820" w:type="dxa"/>
            <w:vAlign w:val="bottom"/>
          </w:tcPr>
          <w:p>
            <w:pPr>
              <w:spacing w:after="0"/>
              <w:rPr>
                <w:sz w:val="14"/>
                <w:szCs w:val="14"/>
                <w:color w:val="auto"/>
              </w:rPr>
            </w:pPr>
          </w:p>
        </w:tc>
        <w:tc>
          <w:tcPr>
            <w:tcW w:w="1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deductions</w:t>
            </w:r>
          </w:p>
        </w:tc>
        <w:tc>
          <w:tcPr>
            <w:tcW w:w="3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3,821</w:t>
            </w:r>
          </w:p>
        </w:tc>
        <w:tc>
          <w:tcPr>
            <w:tcW w:w="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410,574</w:t>
            </w:r>
          </w:p>
        </w:tc>
        <w:tc>
          <w:tcPr>
            <w:tcW w:w="3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304,792</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12,861</w:t>
            </w:r>
          </w:p>
        </w:tc>
        <w:tc>
          <w:tcPr>
            <w:tcW w:w="3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131,736</w:t>
            </w:r>
          </w:p>
        </w:tc>
      </w:tr>
      <w:tr>
        <w:trPr>
          <w:trHeight w:val="168"/>
        </w:trPr>
        <w:tc>
          <w:tcPr>
            <w:tcW w:w="3820" w:type="dxa"/>
            <w:vAlign w:val="bottom"/>
          </w:tcPr>
          <w:p>
            <w:pPr>
              <w:spacing w:after="0"/>
              <w:rPr>
                <w:sz w:val="14"/>
                <w:szCs w:val="14"/>
                <w:color w:val="auto"/>
              </w:rPr>
            </w:pPr>
          </w:p>
        </w:tc>
        <w:tc>
          <w:tcPr>
            <w:tcW w:w="1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increase/(decrease) prior to transfers</w:t>
            </w:r>
          </w:p>
        </w:tc>
        <w:tc>
          <w:tcPr>
            <w:tcW w:w="3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88,706</w:t>
            </w:r>
          </w:p>
        </w:tc>
        <w:tc>
          <w:tcPr>
            <w:tcW w:w="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1,936,409</w:t>
            </w:r>
          </w:p>
        </w:tc>
        <w:tc>
          <w:tcPr>
            <w:tcW w:w="3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156,032</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36,887</w:t>
            </w:r>
          </w:p>
        </w:tc>
        <w:tc>
          <w:tcPr>
            <w:tcW w:w="3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387,835</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Transfer of assets from Production</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Operators, Inc. ESOP (Note 5)</w:t>
            </w:r>
          </w:p>
        </w:tc>
        <w:tc>
          <w:tcPr>
            <w:tcW w:w="3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Transfers from affiliate's plan</w:t>
            </w:r>
          </w:p>
        </w:tc>
        <w:tc>
          <w:tcPr>
            <w:tcW w:w="300" w:type="dxa"/>
            <w:vAlign w:val="bottom"/>
          </w:tcPr>
          <w:p>
            <w:pPr>
              <w:spacing w:after="0"/>
              <w:rPr>
                <w:sz w:val="24"/>
                <w:szCs w:val="2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73,899</w:t>
            </w:r>
          </w:p>
        </w:tc>
        <w:tc>
          <w:tcPr>
            <w:tcW w:w="34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37,484</w:t>
            </w:r>
          </w:p>
        </w:tc>
        <w:tc>
          <w:tcPr>
            <w:tcW w:w="36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3,555</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Interfund transfers</w:t>
            </w:r>
          </w:p>
        </w:tc>
        <w:tc>
          <w:tcPr>
            <w:tcW w:w="300" w:type="dxa"/>
            <w:vAlign w:val="bottom"/>
          </w:tcPr>
          <w:p>
            <w:pPr>
              <w:spacing w:after="0"/>
              <w:rPr>
                <w:sz w:val="24"/>
                <w:szCs w:val="2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171,478</w:t>
            </w:r>
          </w:p>
        </w:tc>
        <w:tc>
          <w:tcPr>
            <w:tcW w:w="34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276,108</w:t>
            </w:r>
          </w:p>
        </w:tc>
        <w:tc>
          <w:tcPr>
            <w:tcW w:w="34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(9,792)</w:t>
            </w:r>
          </w:p>
        </w:tc>
        <w:tc>
          <w:tcPr>
            <w:tcW w:w="36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166,043</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64,101</w:t>
            </w:r>
          </w:p>
        </w:tc>
      </w:tr>
      <w:tr>
        <w:trPr>
          <w:trHeight w:val="168"/>
        </w:trPr>
        <w:tc>
          <w:tcPr>
            <w:tcW w:w="3820" w:type="dxa"/>
            <w:vAlign w:val="bottom"/>
          </w:tcPr>
          <w:p>
            <w:pPr>
              <w:spacing w:after="0"/>
              <w:rPr>
                <w:sz w:val="14"/>
                <w:szCs w:val="14"/>
                <w:color w:val="auto"/>
              </w:rPr>
            </w:pPr>
          </w:p>
        </w:tc>
        <w:tc>
          <w:tcPr>
            <w:tcW w:w="1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w:t>
            </w:r>
          </w:p>
        </w:tc>
        <w:tc>
          <w:tcPr>
            <w:tcW w:w="3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260,184</w:t>
            </w:r>
          </w:p>
        </w:tc>
        <w:tc>
          <w:tcPr>
            <w:tcW w:w="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2,286,416</w:t>
            </w:r>
          </w:p>
        </w:tc>
        <w:tc>
          <w:tcPr>
            <w:tcW w:w="3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183,724</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206,485</w:t>
            </w:r>
          </w:p>
        </w:tc>
        <w:tc>
          <w:tcPr>
            <w:tcW w:w="3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451,936</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30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27,198</w:t>
            </w:r>
          </w:p>
        </w:tc>
        <w:tc>
          <w:tcPr>
            <w:tcW w:w="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5,831,555</w:t>
            </w:r>
          </w:p>
        </w:tc>
        <w:tc>
          <w:tcPr>
            <w:tcW w:w="3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3,251,966</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559,757</w:t>
            </w:r>
          </w:p>
        </w:tc>
        <w:tc>
          <w:tcPr>
            <w:tcW w:w="3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798,965</w:t>
            </w:r>
          </w:p>
        </w:tc>
      </w:tr>
      <w:tr>
        <w:trPr>
          <w:trHeight w:val="168"/>
        </w:trPr>
        <w:tc>
          <w:tcPr>
            <w:tcW w:w="3820" w:type="dxa"/>
            <w:vAlign w:val="bottom"/>
          </w:tcPr>
          <w:p>
            <w:pPr>
              <w:spacing w:after="0"/>
              <w:rPr>
                <w:sz w:val="14"/>
                <w:szCs w:val="14"/>
                <w:color w:val="auto"/>
              </w:rPr>
            </w:pPr>
          </w:p>
        </w:tc>
        <w:tc>
          <w:tcPr>
            <w:tcW w:w="1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End of year</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287,382</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8,117,971</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3,435,690</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766,242</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1,250,901</w:t>
            </w:r>
          </w:p>
        </w:tc>
      </w:tr>
      <w:tr>
        <w:trPr>
          <w:trHeight w:val="168"/>
        </w:trPr>
        <w:tc>
          <w:tcPr>
            <w:tcW w:w="3820" w:type="dxa"/>
            <w:vAlign w:val="bottom"/>
          </w:tcPr>
          <w:p>
            <w:pPr>
              <w:spacing w:after="0"/>
              <w:rPr>
                <w:sz w:val="14"/>
                <w:szCs w:val="14"/>
                <w:color w:val="auto"/>
              </w:rPr>
            </w:pPr>
          </w:p>
        </w:tc>
        <w:tc>
          <w:tcPr>
            <w:tcW w:w="1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The accompanying notes are an integral</w:t>
      </w:r>
    </w:p>
    <w:p>
      <w:pPr>
        <w:ind w:left="1940"/>
        <w:spacing w:after="0" w:line="237" w:lineRule="auto"/>
        <w:rPr>
          <w:sz w:val="20"/>
          <w:szCs w:val="20"/>
          <w:color w:val="auto"/>
        </w:rPr>
      </w:pPr>
      <w:r>
        <w:rPr>
          <w:rFonts w:ascii="Courier New" w:cs="Courier New" w:eastAsia="Courier New" w:hAnsi="Courier New"/>
          <w:sz w:val="15"/>
          <w:szCs w:val="15"/>
          <w:color w:val="auto"/>
        </w:rPr>
        <w:t>part of these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40"/>
          </w:cols>
          <w:pgMar w:left="220" w:top="617" w:right="139" w:bottom="1440" w:gutter="0" w:footer="0" w:header="0"/>
        </w:sectPr>
      </w:pPr>
    </w:p>
    <w:bookmarkStart w:id="5" w:name="page6"/>
    <w:bookmarkEnd w:id="5"/>
    <w:p>
      <w:pPr>
        <w:jc w:val="center"/>
        <w:ind w:right="4280"/>
        <w:spacing w:after="0"/>
        <w:rPr>
          <w:sz w:val="20"/>
          <w:szCs w:val="20"/>
          <w:color w:val="auto"/>
        </w:rPr>
      </w:pPr>
      <w:r>
        <w:rPr>
          <w:rFonts w:ascii="Courier New" w:cs="Courier New" w:eastAsia="Courier New" w:hAnsi="Courier New"/>
          <w:sz w:val="15"/>
          <w:szCs w:val="15"/>
          <w:color w:val="auto"/>
        </w:rPr>
        <w:t>PRODUCTION OPERATORS THRIFT PLAN</w:t>
      </w:r>
    </w:p>
    <w:p>
      <w:pPr>
        <w:jc w:val="center"/>
        <w:ind w:right="4380"/>
        <w:spacing w:after="0" w:line="237" w:lineRule="auto"/>
        <w:rPr>
          <w:sz w:val="20"/>
          <w:szCs w:val="20"/>
          <w:color w:val="auto"/>
        </w:rPr>
      </w:pPr>
      <w:r>
        <w:rPr>
          <w:rFonts w:ascii="Courier New" w:cs="Courier New" w:eastAsia="Courier New" w:hAnsi="Courier New"/>
          <w:sz w:val="15"/>
          <w:szCs w:val="15"/>
          <w:color w:val="auto"/>
        </w:rPr>
        <w:t>Statement of Changes in Net Assets Available for Benefits</w:t>
      </w:r>
    </w:p>
    <w:p>
      <w:pPr>
        <w:ind w:left="2540"/>
        <w:spacing w:after="0" w:line="238" w:lineRule="auto"/>
        <w:rPr>
          <w:sz w:val="20"/>
          <w:szCs w:val="20"/>
          <w:color w:val="auto"/>
        </w:rPr>
      </w:pPr>
      <w:r>
        <w:rPr>
          <w:rFonts w:ascii="Courier New" w:cs="Courier New" w:eastAsia="Courier New" w:hAnsi="Courier New"/>
          <w:sz w:val="15"/>
          <w:szCs w:val="15"/>
          <w:color w:val="auto"/>
        </w:rPr>
        <w:t>with Fund Information</w:t>
      </w:r>
    </w:p>
    <w:tbl>
      <w:tblPr>
        <w:tblLayout w:type="fixed"/>
        <w:tblInd w:w="0" w:type="dxa"/>
        <w:tblCellMar>
          <w:top w:w="0" w:type="dxa"/>
          <w:left w:w="0" w:type="dxa"/>
          <w:bottom w:w="0" w:type="dxa"/>
          <w:right w:w="0" w:type="dxa"/>
        </w:tblCellMar>
      </w:tblPr>
      <w:tr>
        <w:trPr>
          <w:trHeight w:val="168"/>
        </w:trPr>
        <w:tc>
          <w:tcPr>
            <w:tcW w:w="538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For the Year Ended December 31, 1999</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841"/>
        </w:trPr>
        <w:tc>
          <w:tcPr>
            <w:tcW w:w="3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AET</w:t>
            </w:r>
          </w:p>
        </w:tc>
        <w:tc>
          <w:tcPr>
            <w:tcW w:w="320" w:type="dxa"/>
            <w:vAlign w:val="bottom"/>
          </w:tcPr>
          <w:p>
            <w:pPr>
              <w:spacing w:after="0"/>
              <w:rPr>
                <w:sz w:val="24"/>
                <w:szCs w:val="24"/>
                <w:color w:val="auto"/>
              </w:rPr>
            </w:pP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AET</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Equity Index</w:t>
            </w:r>
          </w:p>
        </w:tc>
        <w:tc>
          <w:tcPr>
            <w:tcW w:w="3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Income</w:t>
            </w:r>
          </w:p>
        </w:tc>
        <w:tc>
          <w:tcPr>
            <w:tcW w:w="32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Schlumberger</w:t>
            </w:r>
          </w:p>
        </w:tc>
        <w:tc>
          <w:tcPr>
            <w:tcW w:w="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Participant</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Fund I</w:t>
            </w:r>
          </w:p>
        </w:tc>
        <w:tc>
          <w:tcPr>
            <w:tcW w:w="3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Fund II</w:t>
            </w:r>
          </w:p>
        </w:tc>
        <w:tc>
          <w:tcPr>
            <w:tcW w:w="32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Stock Fund</w:t>
            </w:r>
          </w:p>
        </w:tc>
        <w:tc>
          <w:tcPr>
            <w:tcW w:w="340" w:type="dxa"/>
            <w:vAlign w:val="bottom"/>
          </w:tcPr>
          <w:p>
            <w:pPr>
              <w:spacing w:after="0"/>
              <w:rPr>
                <w:sz w:val="14"/>
                <w:szCs w:val="14"/>
                <w:color w:val="auto"/>
              </w:rPr>
            </w:pP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Notes</w:t>
            </w:r>
          </w:p>
        </w:tc>
        <w:tc>
          <w:tcPr>
            <w:tcW w:w="2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820" w:type="dxa"/>
            <w:vAlign w:val="bottom"/>
          </w:tcPr>
          <w:p>
            <w:pPr>
              <w:spacing w:after="0"/>
              <w:rPr>
                <w:sz w:val="14"/>
                <w:szCs w:val="14"/>
                <w:color w:val="auto"/>
              </w:rPr>
            </w:pPr>
          </w:p>
        </w:tc>
        <w:tc>
          <w:tcPr>
            <w:tcW w:w="15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 to net assets attributed to:</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income</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appreciation/(depreciation) in</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fair value of investments</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2,028,853</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307,023</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8,163,503</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12,193,651</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30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134,286</w:t>
            </w:r>
          </w:p>
        </w:tc>
        <w:tc>
          <w:tcPr>
            <w:tcW w:w="2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134,286</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w:t>
            </w:r>
          </w:p>
        </w:tc>
        <w:tc>
          <w:tcPr>
            <w:tcW w:w="30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198,703</w:t>
            </w:r>
          </w:p>
        </w:tc>
        <w:tc>
          <w:tcPr>
            <w:tcW w:w="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1,150,570</w:t>
            </w:r>
          </w:p>
        </w:tc>
      </w:tr>
      <w:tr>
        <w:trPr>
          <w:trHeight w:val="168"/>
        </w:trPr>
        <w:tc>
          <w:tcPr>
            <w:tcW w:w="3820" w:type="dxa"/>
            <w:vAlign w:val="bottom"/>
          </w:tcPr>
          <w:p>
            <w:pPr>
              <w:spacing w:after="0"/>
              <w:rPr>
                <w:sz w:val="14"/>
                <w:szCs w:val="14"/>
                <w:color w:val="auto"/>
              </w:rPr>
            </w:pPr>
          </w:p>
        </w:tc>
        <w:tc>
          <w:tcPr>
            <w:tcW w:w="15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2,028,853</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307,023</w:t>
            </w:r>
          </w:p>
        </w:tc>
        <w:tc>
          <w:tcPr>
            <w:tcW w:w="32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8,362,206</w:t>
            </w:r>
          </w:p>
        </w:tc>
        <w:tc>
          <w:tcPr>
            <w:tcW w:w="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134,286</w:t>
            </w:r>
          </w:p>
        </w:tc>
        <w:tc>
          <w:tcPr>
            <w:tcW w:w="2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13,478,507</w:t>
            </w:r>
          </w:p>
        </w:tc>
      </w:tr>
      <w:tr>
        <w:trPr>
          <w:trHeight w:val="168"/>
        </w:trPr>
        <w:tc>
          <w:tcPr>
            <w:tcW w:w="3820" w:type="dxa"/>
            <w:vAlign w:val="bottom"/>
          </w:tcPr>
          <w:p>
            <w:pPr>
              <w:spacing w:after="0"/>
              <w:rPr>
                <w:sz w:val="14"/>
                <w:szCs w:val="14"/>
                <w:color w:val="auto"/>
              </w:rPr>
            </w:pPr>
          </w:p>
        </w:tc>
        <w:tc>
          <w:tcPr>
            <w:tcW w:w="15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Contributions</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Participants'</w:t>
            </w:r>
          </w:p>
        </w:tc>
        <w:tc>
          <w:tcPr>
            <w:tcW w:w="30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450,457</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204,278</w:t>
            </w:r>
          </w:p>
        </w:tc>
        <w:tc>
          <w:tcPr>
            <w:tcW w:w="32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32,985</w:t>
            </w:r>
          </w:p>
        </w:tc>
        <w:tc>
          <w:tcPr>
            <w:tcW w:w="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1,329,506</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Employer's</w:t>
            </w:r>
          </w:p>
        </w:tc>
        <w:tc>
          <w:tcPr>
            <w:tcW w:w="30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119,232</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65,628</w:t>
            </w:r>
          </w:p>
        </w:tc>
        <w:tc>
          <w:tcPr>
            <w:tcW w:w="32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236,805</w:t>
            </w:r>
          </w:p>
        </w:tc>
        <w:tc>
          <w:tcPr>
            <w:tcW w:w="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603,393</w:t>
            </w:r>
          </w:p>
        </w:tc>
      </w:tr>
      <w:tr>
        <w:trPr>
          <w:trHeight w:val="168"/>
        </w:trPr>
        <w:tc>
          <w:tcPr>
            <w:tcW w:w="3820" w:type="dxa"/>
            <w:vAlign w:val="bottom"/>
          </w:tcPr>
          <w:p>
            <w:pPr>
              <w:spacing w:after="0"/>
              <w:rPr>
                <w:sz w:val="14"/>
                <w:szCs w:val="14"/>
                <w:color w:val="auto"/>
              </w:rPr>
            </w:pPr>
          </w:p>
        </w:tc>
        <w:tc>
          <w:tcPr>
            <w:tcW w:w="15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569,689</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269,906</w:t>
            </w:r>
          </w:p>
        </w:tc>
        <w:tc>
          <w:tcPr>
            <w:tcW w:w="32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269,790</w:t>
            </w:r>
          </w:p>
        </w:tc>
        <w:tc>
          <w:tcPr>
            <w:tcW w:w="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1,932,899</w:t>
            </w:r>
          </w:p>
        </w:tc>
      </w:tr>
      <w:tr>
        <w:trPr>
          <w:trHeight w:val="168"/>
        </w:trPr>
        <w:tc>
          <w:tcPr>
            <w:tcW w:w="3820" w:type="dxa"/>
            <w:vAlign w:val="bottom"/>
          </w:tcPr>
          <w:p>
            <w:pPr>
              <w:spacing w:after="0"/>
              <w:rPr>
                <w:sz w:val="14"/>
                <w:szCs w:val="14"/>
                <w:color w:val="auto"/>
              </w:rPr>
            </w:pPr>
          </w:p>
        </w:tc>
        <w:tc>
          <w:tcPr>
            <w:tcW w:w="15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additions</w:t>
            </w:r>
          </w:p>
        </w:tc>
        <w:tc>
          <w:tcPr>
            <w:tcW w:w="30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2,598,542</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576,929</w:t>
            </w:r>
          </w:p>
        </w:tc>
        <w:tc>
          <w:tcPr>
            <w:tcW w:w="32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8,631,996</w:t>
            </w:r>
          </w:p>
        </w:tc>
        <w:tc>
          <w:tcPr>
            <w:tcW w:w="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134,286</w:t>
            </w:r>
          </w:p>
        </w:tc>
        <w:tc>
          <w:tcPr>
            <w:tcW w:w="2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15,411,406</w:t>
            </w:r>
          </w:p>
        </w:tc>
      </w:tr>
      <w:tr>
        <w:trPr>
          <w:trHeight w:val="168"/>
        </w:trPr>
        <w:tc>
          <w:tcPr>
            <w:tcW w:w="3820" w:type="dxa"/>
            <w:vAlign w:val="bottom"/>
          </w:tcPr>
          <w:p>
            <w:pPr>
              <w:spacing w:after="0"/>
              <w:rPr>
                <w:sz w:val="14"/>
                <w:szCs w:val="14"/>
                <w:color w:val="auto"/>
              </w:rPr>
            </w:pPr>
          </w:p>
        </w:tc>
        <w:tc>
          <w:tcPr>
            <w:tcW w:w="15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Deductions</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Deductions from net assets attributable to:</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Benefits paid to participants</w:t>
            </w:r>
          </w:p>
        </w:tc>
        <w:tc>
          <w:tcPr>
            <w:tcW w:w="30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635,353</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825,569</w:t>
            </w:r>
          </w:p>
        </w:tc>
        <w:tc>
          <w:tcPr>
            <w:tcW w:w="32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3,492,290</w:t>
            </w:r>
          </w:p>
        </w:tc>
        <w:tc>
          <w:tcPr>
            <w:tcW w:w="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266,855</w:t>
            </w:r>
          </w:p>
        </w:tc>
        <w:tc>
          <w:tcPr>
            <w:tcW w:w="2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6,082,732</w:t>
            </w: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30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745</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508</w:t>
            </w:r>
          </w:p>
        </w:tc>
        <w:tc>
          <w:tcPr>
            <w:tcW w:w="32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3,143</w:t>
            </w:r>
          </w:p>
        </w:tc>
        <w:tc>
          <w:tcPr>
            <w:tcW w:w="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5,515</w:t>
            </w:r>
          </w:p>
        </w:tc>
      </w:tr>
      <w:tr>
        <w:trPr>
          <w:trHeight w:val="168"/>
        </w:trPr>
        <w:tc>
          <w:tcPr>
            <w:tcW w:w="3820" w:type="dxa"/>
            <w:vAlign w:val="bottom"/>
          </w:tcPr>
          <w:p>
            <w:pPr>
              <w:spacing w:after="0"/>
              <w:rPr>
                <w:sz w:val="14"/>
                <w:szCs w:val="14"/>
                <w:color w:val="auto"/>
              </w:rPr>
            </w:pPr>
          </w:p>
        </w:tc>
        <w:tc>
          <w:tcPr>
            <w:tcW w:w="15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deductions</w:t>
            </w:r>
          </w:p>
        </w:tc>
        <w:tc>
          <w:tcPr>
            <w:tcW w:w="30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636,098</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826,077</w:t>
            </w:r>
          </w:p>
        </w:tc>
        <w:tc>
          <w:tcPr>
            <w:tcW w:w="32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3,495,433</w:t>
            </w:r>
          </w:p>
        </w:tc>
        <w:tc>
          <w:tcPr>
            <w:tcW w:w="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266,855</w:t>
            </w:r>
          </w:p>
        </w:tc>
        <w:tc>
          <w:tcPr>
            <w:tcW w:w="2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6,088,247</w:t>
            </w:r>
          </w:p>
        </w:tc>
      </w:tr>
      <w:tr>
        <w:trPr>
          <w:trHeight w:val="168"/>
        </w:trPr>
        <w:tc>
          <w:tcPr>
            <w:tcW w:w="3820" w:type="dxa"/>
            <w:vAlign w:val="bottom"/>
          </w:tcPr>
          <w:p>
            <w:pPr>
              <w:spacing w:after="0"/>
              <w:rPr>
                <w:sz w:val="14"/>
                <w:szCs w:val="14"/>
                <w:color w:val="auto"/>
              </w:rPr>
            </w:pPr>
          </w:p>
        </w:tc>
        <w:tc>
          <w:tcPr>
            <w:tcW w:w="15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increase/(decrease) prior to transfers</w:t>
            </w:r>
          </w:p>
        </w:tc>
        <w:tc>
          <w:tcPr>
            <w:tcW w:w="30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1,962,444</w:t>
            </w:r>
          </w:p>
        </w:tc>
        <w:tc>
          <w:tcPr>
            <w:tcW w:w="3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(249,148)</w:t>
            </w:r>
          </w:p>
        </w:tc>
        <w:tc>
          <w:tcPr>
            <w:tcW w:w="32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5,136,563</w:t>
            </w:r>
          </w:p>
        </w:tc>
        <w:tc>
          <w:tcPr>
            <w:tcW w:w="34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(132,569)</w:t>
            </w:r>
          </w:p>
        </w:tc>
        <w:tc>
          <w:tcPr>
            <w:tcW w:w="2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9,323,159</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 of assets from Production</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Operators, Inc. ESOP (Note 5)</w:t>
            </w:r>
          </w:p>
        </w:tc>
        <w:tc>
          <w:tcPr>
            <w:tcW w:w="30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27,158,653</w:t>
            </w:r>
          </w:p>
        </w:tc>
        <w:tc>
          <w:tcPr>
            <w:tcW w:w="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27,158,653</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Transfers from affiliate's plan</w:t>
            </w:r>
          </w:p>
        </w:tc>
        <w:tc>
          <w:tcPr>
            <w:tcW w:w="30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37,590</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2,072</w:t>
            </w:r>
          </w:p>
        </w:tc>
        <w:tc>
          <w:tcPr>
            <w:tcW w:w="32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5,182</w:t>
            </w:r>
          </w:p>
        </w:tc>
        <w:tc>
          <w:tcPr>
            <w:tcW w:w="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4,890</w:t>
            </w:r>
          </w:p>
        </w:tc>
        <w:tc>
          <w:tcPr>
            <w:tcW w:w="2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164,672</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30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(475,554)</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1,356,934</w:t>
            </w:r>
          </w:p>
        </w:tc>
        <w:tc>
          <w:tcPr>
            <w:tcW w:w="32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(2,314,462)</w:t>
            </w:r>
          </w:p>
        </w:tc>
        <w:tc>
          <w:tcPr>
            <w:tcW w:w="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765,144</w:t>
            </w:r>
          </w:p>
        </w:tc>
        <w:tc>
          <w:tcPr>
            <w:tcW w:w="2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5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w:t>
            </w:r>
          </w:p>
        </w:tc>
        <w:tc>
          <w:tcPr>
            <w:tcW w:w="30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1,524,480</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1,109,858</w:t>
            </w:r>
          </w:p>
        </w:tc>
        <w:tc>
          <w:tcPr>
            <w:tcW w:w="32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29,985,936</w:t>
            </w:r>
          </w:p>
        </w:tc>
        <w:tc>
          <w:tcPr>
            <w:tcW w:w="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637,465</w:t>
            </w:r>
          </w:p>
        </w:tc>
        <w:tc>
          <w:tcPr>
            <w:tcW w:w="2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36,646,484</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 for benefits:</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300" w:type="dxa"/>
            <w:vAlign w:val="bottom"/>
          </w:tcPr>
          <w:p>
            <w:pPr>
              <w:spacing w:after="0"/>
              <w:rPr>
                <w:sz w:val="14"/>
                <w:szCs w:val="14"/>
                <w:color w:val="auto"/>
              </w:rPr>
            </w:pP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9,956,645</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5,107,977</w:t>
            </w:r>
          </w:p>
        </w:tc>
        <w:tc>
          <w:tcPr>
            <w:tcW w:w="32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55,525</w:t>
            </w:r>
          </w:p>
        </w:tc>
        <w:tc>
          <w:tcPr>
            <w:tcW w:w="3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1,114,147</w:t>
            </w:r>
          </w:p>
        </w:tc>
        <w:tc>
          <w:tcPr>
            <w:tcW w:w="2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26,703,735</w:t>
            </w:r>
          </w:p>
        </w:tc>
      </w:tr>
      <w:tr>
        <w:trPr>
          <w:trHeight w:val="168"/>
        </w:trPr>
        <w:tc>
          <w:tcPr>
            <w:tcW w:w="3820" w:type="dxa"/>
            <w:vAlign w:val="bottom"/>
          </w:tcPr>
          <w:p>
            <w:pPr>
              <w:spacing w:after="0"/>
              <w:rPr>
                <w:sz w:val="14"/>
                <w:szCs w:val="14"/>
                <w:color w:val="auto"/>
              </w:rPr>
            </w:pPr>
          </w:p>
        </w:tc>
        <w:tc>
          <w:tcPr>
            <w:tcW w:w="15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End of year</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11,481,125</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6,217,835</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30,041,461</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1,751,612</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63,350,219</w:t>
            </w:r>
          </w:p>
        </w:tc>
      </w:tr>
      <w:tr>
        <w:trPr>
          <w:trHeight w:val="168"/>
        </w:trPr>
        <w:tc>
          <w:tcPr>
            <w:tcW w:w="3820" w:type="dxa"/>
            <w:vAlign w:val="bottom"/>
          </w:tcPr>
          <w:p>
            <w:pPr>
              <w:spacing w:after="0"/>
              <w:rPr>
                <w:sz w:val="14"/>
                <w:szCs w:val="14"/>
                <w:color w:val="auto"/>
              </w:rPr>
            </w:pPr>
          </w:p>
        </w:tc>
        <w:tc>
          <w:tcPr>
            <w:tcW w:w="156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The accompanying notes are an integral</w:t>
      </w:r>
    </w:p>
    <w:p>
      <w:pPr>
        <w:ind w:left="1940"/>
        <w:spacing w:after="0" w:line="237" w:lineRule="auto"/>
        <w:rPr>
          <w:sz w:val="20"/>
          <w:szCs w:val="20"/>
          <w:color w:val="auto"/>
        </w:rPr>
      </w:pPr>
      <w:r>
        <w:rPr>
          <w:rFonts w:ascii="Courier New" w:cs="Courier New" w:eastAsia="Courier New" w:hAnsi="Courier New"/>
          <w:sz w:val="15"/>
          <w:szCs w:val="15"/>
          <w:color w:val="auto"/>
        </w:rPr>
        <w:t>part of these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300"/>
          </w:cols>
          <w:pgMar w:left="220" w:top="617" w:right="379" w:bottom="1440" w:gutter="0" w:footer="0" w:header="0"/>
        </w:sectPr>
      </w:pPr>
    </w:p>
    <w:bookmarkStart w:id="6" w:name="page7"/>
    <w:bookmarkEnd w:id="6"/>
    <w:p>
      <w:pPr>
        <w:jc w:val="center"/>
        <w:ind w:right="3239"/>
        <w:spacing w:after="0"/>
        <w:rPr>
          <w:sz w:val="20"/>
          <w:szCs w:val="20"/>
          <w:color w:val="auto"/>
        </w:rPr>
      </w:pPr>
      <w:r>
        <w:rPr>
          <w:rFonts w:ascii="Courier New" w:cs="Courier New" w:eastAsia="Courier New" w:hAnsi="Courier New"/>
          <w:sz w:val="15"/>
          <w:szCs w:val="15"/>
          <w:color w:val="auto"/>
        </w:rPr>
        <w:t>PRODUCTION OPERATORS THRIFT PLAN</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Financial Statements</w:t>
      </w:r>
    </w:p>
    <w:p>
      <w:pPr>
        <w:jc w:val="center"/>
        <w:ind w:right="3319"/>
        <w:spacing w:after="0" w:line="238" w:lineRule="auto"/>
        <w:rPr>
          <w:sz w:val="20"/>
          <w:szCs w:val="20"/>
          <w:color w:val="auto"/>
        </w:rPr>
      </w:pPr>
      <w:r>
        <w:rPr>
          <w:rFonts w:ascii="Courier New" w:cs="Courier New" w:eastAsia="Courier New" w:hAnsi="Courier New"/>
          <w:sz w:val="15"/>
          <w:szCs w:val="15"/>
          <w:color w:val="auto"/>
        </w:rPr>
        <w:t>December 31, 1999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DESCRIPTION OF THE PLAN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Production Operators Thrift Plan (the "Plan"), a defined contribution plan, was established on July 1, 1974. It covers substantially all domestic employees and certain employees in foreign service of Production Operators, Inc. (the "Company"). The Company is a first tier subsidiary of Production Operators Corp., a second tier subsidiary of Camco International Inc. ("Camco"), a third tier subsidiary of Schlumberger Technology Corporation ("STC") and a fourth tier subsidiary of Schlumberger Limited ("Schlumberger"). Schlumberger maintains the Schlumberger Well Services Savings and Profit Sharing Plan (the "SWS Plan") that is a defined contribution plan similar to the Plan and expects to merge the Plan into the SWS Plan before the end of 2001. Nevertheless, the Company has reserved the right to terminate the Plan at any time by resolution of the board of directors.</w:t>
      </w:r>
    </w:p>
    <w:p>
      <w:pPr>
        <w:spacing w:after="0" w:line="33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The following description of the Plan and Plan Amendments is provided for general purposes only. Participants should refer to the Plan Document, as amended, for more complete information.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Administration of the Plan is conducted by a committee consisting of no less than three members appointed by the board of directors of the Company. The board of directors has appointed two employees of Schlumberger as Trustees for the Plan. American Express Trust Company ("American Express") is asset custodian and record keeper for the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Eligibility and Vesting</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Employees are eligible to participate in the Plan after completing one hour of service. Participants are fully vested in their contributions and the related earnings/losses. Participants vest in Company matching contributions and related earnings/losses at 20% per year, becoming fully vested after five years of service. In the event the Plan is partially or completely terminated, all participants will become 100% vested in their account balances.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Contributions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Participants may elect to defer from 1% to 15% of their compensation on a pre-tax basis, subject to maximum annual contributions of $10,000, and have the Company contribute to the Plan on their behalf the amount so deferred. After-tax contributions of up to 10% of compensation are also permitted. The Company makes matching contributions of 50% of participants' pre-tax contributions up to a maximum contribution amount of $1,500 per year. Participants' accounts also include frozen after-tax contributions made by participants to the Production Operators, Inc. Profit Sharing Plan, that was merged into the Plan on October 1, 1996.</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Expenses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accounts of participants are charged fees of $2.50 per quarter, which are applied to the cost of administering the Plan. Transaction fees are also charged for participant loans, withdrawals and distributions. The Company has paid all administrative expenses in excess of these fees.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Withdrawals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All after-tax contributions may be withdrawn by participants by making written application to the Plan's record keeper. Company matching contributions, pre-tax contributions and rollover contributions may be withdrawn after the participant has attained age 59-1/2 or if the participant suffers an immediate and heavy financial hardship that cannot be satisfied from other reasonably available resources. Additionally, Company matching contributions may be withdrawn only if they have been credited to a participant's account for more than two years. No more than one withdrawal may be made during any calendar quarter.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Participants may borrow a portion of their account balance to relieve a financial hardship or for any other suitable purpose. Loan amounts are limited in accordance with a formula based on 50% of the present value of a participant's vested account balance, not to exceed $50,000. Loans must be repaid within five years and are secured by the participant's account balance.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Forfeitures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Participants who terminate employment forfeit the non-vested portion of their account. Forfeited amounts will be restored for former participants who resume employment if they repay, within five years, the full amount of termination distribution they received. Amounts forfeited are used first to restore accounts, as above, and then to reduce Company contributions.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financial statements of the Plan are presented on the accrual basis of accounting in compliance with generally accepted accounting principles. Certain reclassifications have been made to prior year balances to conform to current year financial statement presentation.</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the Plan administrator to make estimates and assumptions that affect certain reported amounts and disclosures. Accordingly, actual results may differ from those estimates.</w:t>
      </w:r>
    </w:p>
    <w:p>
      <w:pPr>
        <w:spacing w:after="0" w:line="17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Investments in registered investment companies (mutual funds) are valued at quoted market prices. American Express Trust Equity Index Fund I and American Express Trust Income Fund II are collective trusts stated at contract value. Units of the Schlumberger Stock Fund, invested primarily in common stock of Schlumberger, but also in cash or cash equivalents to provide liquidity, are valued using quoted market prices for the common stock.</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NOTE 3 - INVESTMENT PROGRAMS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Participants may invest their account balances and all contributions made to their accounts in the investment choices described below. Investments may be made in one or more of the funds in 1% increments and choices may be changed any business day. The number of participants investing in each fund at December 31, 1999, is shown parenthetically.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AXP International Fund (34 participants)</w:t>
      </w:r>
    </w:p>
    <w:p>
      <w:pPr>
        <w:spacing w:after="0" w:line="173" w:lineRule="exact"/>
        <w:rPr>
          <w:sz w:val="20"/>
          <w:szCs w:val="20"/>
          <w:color w:val="auto"/>
        </w:rPr>
      </w:pPr>
    </w:p>
    <w:p>
      <w:pPr>
        <w:jc w:val="both"/>
        <w:ind w:left="880" w:right="3399"/>
        <w:spacing w:after="0" w:line="235" w:lineRule="auto"/>
        <w:rPr>
          <w:sz w:val="20"/>
          <w:szCs w:val="20"/>
          <w:color w:val="auto"/>
        </w:rPr>
      </w:pPr>
      <w:r>
        <w:rPr>
          <w:rFonts w:ascii="Courier New" w:cs="Courier New" w:eastAsia="Courier New" w:hAnsi="Courier New"/>
          <w:sz w:val="15"/>
          <w:szCs w:val="15"/>
          <w:color w:val="auto"/>
        </w:rPr>
        <w:t>A specialty growth fund for aggressive investors whose objective is long-term growth of capital that invests in common stocks of foreign companies.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AXP New Dimensions Fund (224 participants)</w:t>
      </w:r>
    </w:p>
    <w:p>
      <w:pPr>
        <w:spacing w:after="0" w:line="173" w:lineRule="exact"/>
        <w:rPr>
          <w:sz w:val="20"/>
          <w:szCs w:val="20"/>
          <w:color w:val="auto"/>
        </w:rPr>
      </w:pPr>
    </w:p>
    <w:p>
      <w:pPr>
        <w:ind w:left="880" w:right="3499"/>
        <w:spacing w:after="0" w:line="258" w:lineRule="auto"/>
        <w:rPr>
          <w:sz w:val="20"/>
          <w:szCs w:val="20"/>
          <w:color w:val="auto"/>
        </w:rPr>
      </w:pPr>
      <w:r>
        <w:rPr>
          <w:rFonts w:ascii="Courier New" w:cs="Courier New" w:eastAsia="Courier New" w:hAnsi="Courier New"/>
          <w:sz w:val="14"/>
          <w:szCs w:val="14"/>
          <w:color w:val="auto"/>
        </w:rPr>
        <w:t>A growth fund for aggressive investors whose objective is long-term growth of capital that invests in a portfolio of company stocks in which powerful economic and/or technical changes may take place.</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AXP Mutual Fund (164 participants)</w:t>
      </w:r>
    </w:p>
    <w:p>
      <w:pPr>
        <w:spacing w:after="0" w:line="173" w:lineRule="exact"/>
        <w:rPr>
          <w:sz w:val="20"/>
          <w:szCs w:val="20"/>
          <w:color w:val="auto"/>
        </w:rPr>
      </w:pPr>
    </w:p>
    <w:p>
      <w:pPr>
        <w:ind w:left="880" w:right="3319"/>
        <w:spacing w:after="0" w:line="235" w:lineRule="auto"/>
        <w:rPr>
          <w:sz w:val="20"/>
          <w:szCs w:val="20"/>
          <w:color w:val="auto"/>
        </w:rPr>
      </w:pPr>
      <w:r>
        <w:rPr>
          <w:rFonts w:ascii="Courier New" w:cs="Courier New" w:eastAsia="Courier New" w:hAnsi="Courier New"/>
          <w:sz w:val="15"/>
          <w:szCs w:val="15"/>
          <w:color w:val="auto"/>
        </w:rPr>
        <w:t>A growth and income fund for investors with moderate tolerance for risk whose objective is balance of growth of capital and current income that invests in a portfolio of common and preferred stocks and bonds.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AXP Federal Income Fund (41 participants)</w:t>
      </w:r>
    </w:p>
    <w:p>
      <w:pPr>
        <w:spacing w:after="0" w:line="173" w:lineRule="exact"/>
        <w:rPr>
          <w:sz w:val="20"/>
          <w:szCs w:val="20"/>
          <w:color w:val="auto"/>
        </w:rPr>
      </w:pPr>
    </w:p>
    <w:p>
      <w:pPr>
        <w:ind w:left="880" w:right="3399"/>
        <w:spacing w:after="0" w:line="235" w:lineRule="auto"/>
        <w:rPr>
          <w:sz w:val="20"/>
          <w:szCs w:val="20"/>
          <w:color w:val="auto"/>
        </w:rPr>
      </w:pPr>
      <w:r>
        <w:rPr>
          <w:rFonts w:ascii="Courier New" w:cs="Courier New" w:eastAsia="Courier New" w:hAnsi="Courier New"/>
          <w:sz w:val="15"/>
          <w:szCs w:val="15"/>
          <w:color w:val="auto"/>
        </w:rPr>
        <w:t>An income fund for conservative investors whose objective is current income and preservation of capital that invests in a portfolio of U.S. government and government agency securities.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AIM Constellation Fund (86 participants)</w:t>
      </w:r>
    </w:p>
    <w:p>
      <w:pPr>
        <w:spacing w:after="0" w:line="173" w:lineRule="exact"/>
        <w:rPr>
          <w:sz w:val="20"/>
          <w:szCs w:val="20"/>
          <w:color w:val="auto"/>
        </w:rPr>
      </w:pPr>
    </w:p>
    <w:p>
      <w:pPr>
        <w:jc w:val="both"/>
        <w:ind w:left="880" w:right="3679"/>
        <w:spacing w:after="0" w:line="258" w:lineRule="auto"/>
        <w:rPr>
          <w:sz w:val="20"/>
          <w:szCs w:val="20"/>
          <w:color w:val="auto"/>
        </w:rPr>
      </w:pPr>
      <w:r>
        <w:rPr>
          <w:rFonts w:ascii="Courier New" w:cs="Courier New" w:eastAsia="Courier New" w:hAnsi="Courier New"/>
          <w:sz w:val="14"/>
          <w:szCs w:val="14"/>
          <w:color w:val="auto"/>
        </w:rPr>
        <w:t>A growth fund for aggressive investors whose objective is capital appreciation primarily through investments in common stocks with emphasis on medium-sized and smaller emerging growth companies.</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American Express Trust Equity Index Fund I (250 participants)</w:t>
      </w:r>
    </w:p>
    <w:p>
      <w:pPr>
        <w:spacing w:after="0" w:line="173"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A growth fund for aggressive investors whose objective is to achieve a rate of return as close as possible to the return of the Standard &amp; Poor's 500 Index that employs a passive portfolio structuring and stock selecting strategy by investing primarily in common stocks of the S&amp;P 500 Index.</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9" w:name="page10"/>
    <w:bookmarkEnd w:id="9"/>
    <w:p>
      <w:pPr>
        <w:ind w:left="440"/>
        <w:spacing w:after="0"/>
        <w:rPr>
          <w:sz w:val="20"/>
          <w:szCs w:val="20"/>
          <w:color w:val="auto"/>
        </w:rPr>
      </w:pPr>
      <w:r>
        <w:rPr>
          <w:rFonts w:ascii="Courier New" w:cs="Courier New" w:eastAsia="Courier New" w:hAnsi="Courier New"/>
          <w:sz w:val="15"/>
          <w:szCs w:val="15"/>
          <w:color w:val="auto"/>
        </w:rPr>
        <w:t>American Express Trust Income Fund II (156 participants)</w:t>
      </w:r>
    </w:p>
    <w:p>
      <w:pPr>
        <w:spacing w:after="0" w:line="173" w:lineRule="exact"/>
        <w:rPr>
          <w:sz w:val="20"/>
          <w:szCs w:val="20"/>
          <w:color w:val="auto"/>
        </w:rPr>
      </w:pPr>
    </w:p>
    <w:p>
      <w:pPr>
        <w:ind w:left="880" w:right="3239"/>
        <w:spacing w:after="0" w:line="235" w:lineRule="auto"/>
        <w:rPr>
          <w:sz w:val="20"/>
          <w:szCs w:val="20"/>
          <w:color w:val="auto"/>
        </w:rPr>
      </w:pPr>
      <w:r>
        <w:rPr>
          <w:rFonts w:ascii="Courier New" w:cs="Courier New" w:eastAsia="Courier New" w:hAnsi="Courier New"/>
          <w:sz w:val="15"/>
          <w:szCs w:val="15"/>
          <w:color w:val="auto"/>
        </w:rPr>
        <w:t>A stable capital fund for conservative investors whose objective is to preserve principal and income while maximizing current income that invests in investment contracts and stable value contracts.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Schlumberger Stock Fund (377 participants)</w:t>
      </w:r>
    </w:p>
    <w:p>
      <w:pPr>
        <w:spacing w:after="0" w:line="173" w:lineRule="exact"/>
        <w:rPr>
          <w:sz w:val="20"/>
          <w:szCs w:val="20"/>
          <w:color w:val="auto"/>
        </w:rPr>
      </w:pPr>
    </w:p>
    <w:p>
      <w:pPr>
        <w:ind w:left="880" w:right="3239"/>
        <w:spacing w:after="0" w:line="235" w:lineRule="auto"/>
        <w:rPr>
          <w:sz w:val="20"/>
          <w:szCs w:val="20"/>
          <w:color w:val="auto"/>
        </w:rPr>
      </w:pPr>
      <w:r>
        <w:rPr>
          <w:rFonts w:ascii="Courier New" w:cs="Courier New" w:eastAsia="Courier New" w:hAnsi="Courier New"/>
          <w:sz w:val="15"/>
          <w:szCs w:val="15"/>
          <w:color w:val="auto"/>
        </w:rPr>
        <w:t>A stock fund for aggressive investors whose objective is growth of capital and dividend income that invests in Schlumberger common stock. Participants may invest no more than 25% of their account balances and/or contributions in this fund. See Note 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REGULATORY STATUS OF THE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Shortly after the 1997 merger of</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the Company</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into Camco, the Plan was</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extensively reviewed incident to</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internal</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audit of all the Company's employee</w:t>
            </w:r>
          </w:p>
        </w:tc>
      </w:tr>
      <w:tr>
        <w:trPr>
          <w:trHeight w:val="168"/>
        </w:trPr>
        <w:tc>
          <w:tcPr>
            <w:tcW w:w="39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benefit plans.  As a result, a determination</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was made that the Production</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Operators, Inc. Profit Sharing Plan</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(Note 1)</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should have been terminated as of</w:t>
            </w:r>
          </w:p>
        </w:tc>
      </w:tr>
      <w:tr>
        <w:trPr>
          <w:trHeight w:val="168"/>
        </w:trPr>
        <w:tc>
          <w:tcPr>
            <w:tcW w:w="3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September 30, 1989, and the account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balances</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all participants should have</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become 100% vested at that time.</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The Profit</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Sharing Plan was not terminated</w:t>
            </w:r>
          </w:p>
        </w:tc>
      </w:tr>
    </w:tbl>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until September 30, 1996, at which time, remaining participant account balances were merged into the Plan. Thus, potential operational defects of the Profit Sharing Plan have been brought forward into the Plan.</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Plan Administrator and the Plan's tax counsel believe that all Profit Sharing Plan participants who terminated employment after September 30, 1989, and suffered a forfeiture of a portion of their account balance due to incomplete vesting are entitled to payment of the amounts so forfeited. The Company is seeking relief for the Plan under the IRS's Walk-in Closing Agreement Program. The Plan Administrator and the Plan's tax counsel believe that the Company will be able to obtain an agreement with the IRS incorporating the steps necessary to correct the defects described above, to include payment by the Company of the amounts forfeited, which total approximately $125,000, along with earnings on the forfeited amounts imputed from the date of forfeiture. Because the required payments will be made by the Company through funds obtained from Schlumberger, the Plan Administrator believes there will be no effect on the Plan Financial Statements.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a determination letter dated March 12, 1996, the Internal Revenue Service (the "IRS") stated that the Plan met the requirements of Section 401(a) of the Internal Revenue Code of 1986, as amended (the "Code"), and that the trust established thereunder was entitled to exemption from federal income tax under the provisions of Section 501(a) of the Code. Company matching contributions will not be required to be included in participants' taxable income until they are distributed to the participants.</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Plan was amended and restated effective July 1, 1998, to become the mirror image of two other defined contribution plans sponsored by Camco. These other plans received favorable determination letters from the IRS dated February 12 and February 19, 1998. Although a separate request for an IRS redetermination for the Plan has not been made, the Plan administrator and the Plan's counsel believe that the Plan currently is designed and being operated in compliance with the applicable requirements of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10" w:name="page11"/>
    <w:bookmarkEnd w:id="10"/>
    <w:p>
      <w:pPr>
        <w:ind w:right="3239"/>
        <w:spacing w:after="0" w:line="236" w:lineRule="auto"/>
        <w:rPr>
          <w:sz w:val="20"/>
          <w:szCs w:val="20"/>
          <w:color w:val="auto"/>
        </w:rPr>
      </w:pPr>
      <w:r>
        <w:rPr>
          <w:rFonts w:ascii="Courier New" w:cs="Courier New" w:eastAsia="Courier New" w:hAnsi="Courier New"/>
          <w:sz w:val="15"/>
          <w:szCs w:val="15"/>
          <w:color w:val="auto"/>
        </w:rPr>
        <w:t>Code. They believe, therefore, subject to obtaining the agreement with the IRS noted in the paragraph above, that the Plan was qualified and the related trust was tax-exempt as of the financial statement date. The Plan is also in compliance with the provisions of the Employee Retirement Income Security Act of 1974, as amended.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PLAN MERGER</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been the plan sponsor of the Production Operators Employee Stock Ownership Plan (the "ESOP"). Based on a careful study and analysis of the ESOP following the merger of the Company into Camco, the Company determined that the ESOP did not integrate well with plans sponsored by Camco. Accordingly, on February 23, 1999, the ESOP was merged into the Plan, retroactively effective to September 30, 1998, by transferring 561,419 shares of Schlumberger common shares from the ESOP's custodian to American Express.</w:t>
      </w:r>
    </w:p>
    <w:p>
      <w:pPr>
        <w:spacing w:after="0" w:line="176"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As part of the plan merger, Camco made a special contribution in February 1999 of $229,510 to purchase 4,634 Schlumberger common shares. With the permission of the IRS obtained through the Voluntary Compliance Resolution program, this special contribution was made to remedy operational defects of the ESOP that occurred prior to the Company's merger with Camco. Each ESOP participant's share of the ESOP, including their share of the special contribution, was credited to their Plan accounts and invested in the Schlumberger Stock Fund.</w:t>
      </w:r>
    </w:p>
    <w:p>
      <w:pPr>
        <w:spacing w:after="0" w:line="2"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Plan's 25% limit on investments in the Schlumberger Stock Fund was waived by the Plan's administrative committee for the ESOP transfers.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SUBSEQUENT EVENTS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Pursuant to Schlumberger's intent to merge the Plan into the SWS Plan, the board of directors adopted resolutions effective January 1, 2000, to conform significant provisions of the Plan to the SWS Plan. The resolutions (i) prohibit further after-tax contributions, (ii) prohibit further investments in the Schlumberger Stock Fund on and after March 1, 2000, (iii) provide for separate profit sharing, basic matching and supplemental matching contributions to different employee groups under the Plan and allocations within those groups,</w:t>
      </w:r>
    </w:p>
    <w:p>
      <w:pPr>
        <w:spacing w:after="0" w:line="2" w:lineRule="exact"/>
        <w:rPr>
          <w:sz w:val="20"/>
          <w:szCs w:val="20"/>
          <w:color w:val="auto"/>
        </w:rPr>
      </w:pPr>
    </w:p>
    <w:p>
      <w:pPr>
        <w:ind w:right="3499" w:firstLine="10"/>
        <w:spacing w:after="0" w:line="254" w:lineRule="auto"/>
        <w:tabs>
          <w:tab w:leader="none" w:pos="437"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Plan loans to one loan outstanding at a time for any participant, with exceptions for Plan loans outstanding on December 31, 1999, (v) prohibit special compensation deferral arrangements, and (vi) conform the substance of the following Plan provisions to the SWS Plan: (a) the definition of compensation on which employee deferral and employer contributions are based,</w:t>
      </w:r>
    </w:p>
    <w:p>
      <w:pPr>
        <w:spacing w:after="0" w:line="1" w:lineRule="exact"/>
        <w:rPr>
          <w:rFonts w:ascii="Courier New" w:cs="Courier New" w:eastAsia="Courier New" w:hAnsi="Courier New"/>
          <w:sz w:val="14"/>
          <w:szCs w:val="14"/>
          <w:color w:val="auto"/>
        </w:rPr>
      </w:pP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 the percentage limit a highly compensated employee may contribute to the Plan on a pre-tax basis, (c) the eligibility for, amount of and allocation of employee contributions, basic matching contributions, supplemental matching contributions and profit sharing contributions, (d) the percentage vesting schedule (for employees hired on and after January 1, 2000), (e) the minimum required distribution provisions, (f) the provisions for the automatic cash-out of small benefits, (g) the administrations provisions and claims/appeal provisions and (h) the normal retirement age provisions.</w:t>
      </w:r>
    </w:p>
    <w:p>
      <w:pPr>
        <w:spacing w:after="0" w:line="177"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On December 31, 1999, Schlumberger announced the completion of the spin-off of its offshore contract drilling business, Sedco Forex, to its stockholders and the subsequent merger of Sedco Forex and Transocean Offshore Inc., which changed its name to Transocean Sedco Forex Inc. ("Transocean") following the merger. In the spin-off, Schlumberger stockholders received one share of Sedco Forex for</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1" w:name="page12"/>
    <w:bookmarkEnd w:id="11"/>
    <w:p>
      <w:pPr>
        <w:ind w:right="3239"/>
        <w:spacing w:after="0" w:line="236" w:lineRule="auto"/>
        <w:rPr>
          <w:sz w:val="20"/>
          <w:szCs w:val="20"/>
          <w:color w:val="auto"/>
        </w:rPr>
      </w:pPr>
      <w:r>
        <w:rPr>
          <w:rFonts w:ascii="Courier New" w:cs="Courier New" w:eastAsia="Courier New" w:hAnsi="Courier New"/>
          <w:sz w:val="15"/>
          <w:szCs w:val="15"/>
          <w:color w:val="auto"/>
        </w:rPr>
        <w:t>each share of Schlumberger owned on the record date of December 20, 1999. In the merger, each Sedco Forex share was exchanged for 0.1936 ordinary share of Transocean. Stockholders received cash for fractional shares. In early 2000, the Transocean Stock Fund was established to hold the Transocean shares that the Schlumberger Stock Fund received from the spin-off and merger. Participants who held investments in the Schlumberger Stock Fund were apportioned units of the Transocean Stock Fund in the ratio of the number of units of the Schlumberger Stock Fund they held to the total number of units in the Schlumberger Stock Fund. As with the Schlumberger Stock Fund, further investments in the Transocean Stock Fund have been prohibited.</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2" w:name="page13"/>
    <w:bookmarkEnd w:id="12"/>
    <w:p>
      <w:pPr>
        <w:ind w:left="2640"/>
        <w:spacing w:after="0"/>
        <w:rPr>
          <w:sz w:val="20"/>
          <w:szCs w:val="20"/>
          <w:color w:val="auto"/>
        </w:rPr>
      </w:pPr>
      <w:r>
        <w:rPr>
          <w:rFonts w:ascii="Courier New" w:cs="Courier New" w:eastAsia="Courier New" w:hAnsi="Courier New"/>
          <w:sz w:val="15"/>
          <w:szCs w:val="15"/>
          <w:color w:val="auto"/>
        </w:rPr>
        <w:t>Schedule H, Line 4i</w:t>
      </w:r>
    </w:p>
    <w:p>
      <w:pPr>
        <w:ind w:left="800"/>
        <w:spacing w:after="0" w:line="237" w:lineRule="auto"/>
        <w:rPr>
          <w:sz w:val="20"/>
          <w:szCs w:val="20"/>
          <w:color w:val="auto"/>
        </w:rPr>
      </w:pPr>
      <w:r>
        <w:rPr>
          <w:rFonts w:ascii="Courier New" w:cs="Courier New" w:eastAsia="Courier New" w:hAnsi="Courier New"/>
          <w:sz w:val="15"/>
          <w:szCs w:val="15"/>
          <w:color w:val="auto"/>
        </w:rPr>
        <w:t>Schedule of Assets Held for Investment Purposes At End of Year</w:t>
      </w:r>
    </w:p>
    <w:p>
      <w:pPr>
        <w:ind w:left="2100"/>
        <w:spacing w:after="0" w:line="238" w:lineRule="auto"/>
        <w:rPr>
          <w:sz w:val="20"/>
          <w:szCs w:val="20"/>
          <w:color w:val="auto"/>
        </w:rPr>
      </w:pPr>
      <w:r>
        <w:rPr>
          <w:rFonts w:ascii="Courier New" w:cs="Courier New" w:eastAsia="Courier New" w:hAnsi="Courier New"/>
          <w:sz w:val="15"/>
          <w:szCs w:val="15"/>
          <w:color w:val="auto"/>
        </w:rPr>
        <w:t>Production Operators Thrift Plan</w:t>
      </w:r>
    </w:p>
    <w:p>
      <w:pPr>
        <w:ind w:left="2380"/>
        <w:spacing w:after="0" w:line="237" w:lineRule="auto"/>
        <w:tabs>
          <w:tab w:leader="none" w:pos="2880" w:val="left"/>
        </w:tabs>
        <w:rPr>
          <w:sz w:val="20"/>
          <w:szCs w:val="20"/>
          <w:color w:val="auto"/>
        </w:rPr>
      </w:pPr>
      <w:r>
        <w:rPr>
          <w:rFonts w:ascii="Courier New" w:cs="Courier New" w:eastAsia="Courier New" w:hAnsi="Courier New"/>
          <w:sz w:val="15"/>
          <w:szCs w:val="15"/>
          <w:color w:val="auto"/>
        </w:rPr>
        <w:t>EIN:</w:t>
        <w:tab/>
        <w:t>74-1622039; P/N 002</w:t>
      </w:r>
    </w:p>
    <w:p>
      <w:pPr>
        <w:ind w:left="2720"/>
        <w:spacing w:after="0" w:line="238" w:lineRule="auto"/>
        <w:rPr>
          <w:sz w:val="20"/>
          <w:szCs w:val="20"/>
          <w:color w:val="auto"/>
        </w:rPr>
      </w:pPr>
      <w:r>
        <w:rPr>
          <w:rFonts w:ascii="Courier New" w:cs="Courier New" w:eastAsia="Courier New" w:hAnsi="Courier New"/>
          <w:sz w:val="15"/>
          <w:szCs w:val="15"/>
          <w:color w:val="auto"/>
        </w:rPr>
        <w:t>December 31, 1999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(c)</w:t>
            </w:r>
          </w:p>
        </w:tc>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Description of investment</w:t>
            </w:r>
          </w:p>
        </w:tc>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(b)</w:t>
            </w:r>
          </w:p>
        </w:tc>
        <w:tc>
          <w:tcPr>
            <w:tcW w:w="31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including maturity date,</w:t>
            </w:r>
          </w:p>
        </w:tc>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33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Identity of issue,</w:t>
            </w:r>
          </w:p>
        </w:tc>
        <w:tc>
          <w:tcPr>
            <w:tcW w:w="3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rate of interest,</w:t>
            </w:r>
          </w:p>
        </w:tc>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w:t>
            </w:r>
          </w:p>
        </w:tc>
      </w:tr>
      <w:tr>
        <w:trPr>
          <w:trHeight w:val="168"/>
        </w:trPr>
        <w:tc>
          <w:tcPr>
            <w:tcW w:w="660" w:type="dxa"/>
            <w:vAlign w:val="bottom"/>
          </w:tcPr>
          <w:p>
            <w:pPr>
              <w:spacing w:after="0"/>
              <w:rPr>
                <w:sz w:val="14"/>
                <w:szCs w:val="14"/>
                <w:color w:val="auto"/>
              </w:rPr>
            </w:pPr>
          </w:p>
        </w:tc>
        <w:tc>
          <w:tcPr>
            <w:tcW w:w="33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borrower, lessor, or</w:t>
            </w:r>
          </w:p>
        </w:tc>
        <w:tc>
          <w:tcPr>
            <w:tcW w:w="318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collateral, par or</w:t>
            </w:r>
          </w:p>
        </w:tc>
        <w:tc>
          <w:tcPr>
            <w:tcW w:w="360" w:type="dxa"/>
            <w:vAlign w:val="bottom"/>
          </w:tcPr>
          <w:p>
            <w:pPr>
              <w:spacing w:after="0"/>
              <w:rPr>
                <w:sz w:val="14"/>
                <w:szCs w:val="14"/>
                <w:color w:val="auto"/>
              </w:rPr>
            </w:pP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w:t>
            </w:r>
          </w:p>
        </w:tc>
        <w:tc>
          <w:tcPr>
            <w:tcW w:w="400" w:type="dxa"/>
            <w:vAlign w:val="bottom"/>
          </w:tcPr>
          <w:p>
            <w:pPr>
              <w:spacing w:after="0"/>
              <w:rPr>
                <w:sz w:val="14"/>
                <w:szCs w:val="14"/>
                <w:color w:val="auto"/>
              </w:rPr>
            </w:pP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Current</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(a)</w:t>
            </w:r>
          </w:p>
        </w:tc>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similar party</w:t>
            </w:r>
          </w:p>
        </w:tc>
        <w:tc>
          <w:tcPr>
            <w:tcW w:w="3180" w:type="dxa"/>
            <w:vAlign w:val="bottom"/>
            <w:gridSpan w:val="2"/>
          </w:tcPr>
          <w:p>
            <w:pPr>
              <w:jc w:val="right"/>
              <w:ind w:right="927"/>
              <w:spacing w:after="0" w:line="168" w:lineRule="exact"/>
              <w:rPr>
                <w:sz w:val="20"/>
                <w:szCs w:val="20"/>
                <w:color w:val="auto"/>
              </w:rPr>
            </w:pPr>
            <w:r>
              <w:rPr>
                <w:rFonts w:ascii="Courier New" w:cs="Courier New" w:eastAsia="Courier New" w:hAnsi="Courier New"/>
                <w:sz w:val="15"/>
                <w:szCs w:val="15"/>
                <w:color w:val="auto"/>
              </w:rPr>
              <w:t>maturity value</w:t>
            </w:r>
          </w:p>
        </w:tc>
        <w:tc>
          <w:tcPr>
            <w:tcW w:w="360" w:type="dxa"/>
            <w:vAlign w:val="bottom"/>
          </w:tcPr>
          <w:p>
            <w:pPr>
              <w:spacing w:after="0"/>
              <w:rPr>
                <w:sz w:val="14"/>
                <w:szCs w:val="14"/>
                <w:color w:val="auto"/>
              </w:rPr>
            </w:pP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Cost</w:t>
            </w:r>
          </w:p>
        </w:tc>
        <w:tc>
          <w:tcPr>
            <w:tcW w:w="400" w:type="dxa"/>
            <w:vAlign w:val="bottom"/>
          </w:tcPr>
          <w:p>
            <w:pPr>
              <w:spacing w:after="0"/>
              <w:rPr>
                <w:sz w:val="14"/>
                <w:szCs w:val="14"/>
                <w:color w:val="auto"/>
              </w:rPr>
            </w:pP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value</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3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36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400" w:type="dxa"/>
            <w:vAlign w:val="bottom"/>
          </w:tcPr>
          <w:p>
            <w:pPr>
              <w:spacing w:after="0"/>
              <w:rPr>
                <w:sz w:val="14"/>
                <w:szCs w:val="14"/>
                <w:color w:val="auto"/>
              </w:rPr>
            </w:pP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660" w:type="dxa"/>
            <w:vAlign w:val="bottom"/>
          </w:tcPr>
          <w:p>
            <w:pPr>
              <w:spacing w:after="0"/>
              <w:rPr>
                <w:sz w:val="24"/>
                <w:szCs w:val="24"/>
                <w:color w:val="auto"/>
              </w:rPr>
            </w:pPr>
          </w:p>
        </w:tc>
        <w:tc>
          <w:tcPr>
            <w:tcW w:w="3380" w:type="dxa"/>
            <w:vAlign w:val="bottom"/>
          </w:tcPr>
          <w:p>
            <w:pPr>
              <w:ind w:left="320"/>
              <w:spacing w:after="0"/>
              <w:rPr>
                <w:sz w:val="20"/>
                <w:szCs w:val="20"/>
                <w:color w:val="auto"/>
              </w:rPr>
            </w:pPr>
            <w:r>
              <w:rPr>
                <w:rFonts w:ascii="Courier New" w:cs="Courier New" w:eastAsia="Courier New" w:hAnsi="Courier New"/>
                <w:sz w:val="15"/>
                <w:szCs w:val="15"/>
                <w:color w:val="auto"/>
              </w:rPr>
              <w:t>Participant loans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8.75% - 10.00%</w:t>
            </w:r>
          </w:p>
        </w:tc>
        <w:tc>
          <w:tcPr>
            <w:tcW w:w="1560" w:type="dxa"/>
            <w:vAlign w:val="bottom"/>
          </w:tcPr>
          <w:p>
            <w:pPr>
              <w:jc w:val="right"/>
              <w:ind w:right="747"/>
              <w:spacing w:after="0"/>
              <w:rPr>
                <w:sz w:val="20"/>
                <w:szCs w:val="20"/>
                <w:color w:val="auto"/>
              </w:rPr>
            </w:pPr>
            <w:r>
              <w:rPr>
                <w:rFonts w:ascii="Courier New" w:cs="Courier New" w:eastAsia="Courier New" w:hAnsi="Courier New"/>
                <w:sz w:val="15"/>
                <w:szCs w:val="15"/>
                <w:color w:val="auto"/>
                <w:w w:val="99"/>
              </w:rPr>
              <w:t>interest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1,751,612</w:t>
            </w:r>
          </w:p>
        </w:tc>
      </w:tr>
      <w:tr>
        <w:trPr>
          <w:trHeight w:val="336"/>
        </w:trPr>
        <w:tc>
          <w:tcPr>
            <w:tcW w:w="6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80" w:type="dxa"/>
            <w:vAlign w:val="bottom"/>
            <w:gridSpan w:val="2"/>
          </w:tcPr>
          <w:p>
            <w:pPr>
              <w:jc w:val="right"/>
              <w:ind w:right="927"/>
              <w:spacing w:after="0"/>
              <w:rPr>
                <w:sz w:val="20"/>
                <w:szCs w:val="20"/>
                <w:color w:val="auto"/>
              </w:rPr>
            </w:pPr>
            <w:r>
              <w:rPr>
                <w:rFonts w:ascii="Courier New" w:cs="Courier New" w:eastAsia="Courier New" w:hAnsi="Courier New"/>
                <w:sz w:val="15"/>
                <w:szCs w:val="15"/>
                <w:color w:val="auto"/>
              </w:rPr>
              <w:t>Employer common stock</w:t>
            </w: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8"/>
        </w:trPr>
        <w:tc>
          <w:tcPr>
            <w:tcW w:w="660" w:type="dxa"/>
            <w:vAlign w:val="bottom"/>
          </w:tcPr>
          <w:p>
            <w:pPr>
              <w:spacing w:after="0"/>
              <w:rPr>
                <w:sz w:val="14"/>
                <w:szCs w:val="14"/>
                <w:color w:val="auto"/>
              </w:rPr>
            </w:pPr>
          </w:p>
        </w:tc>
        <w:tc>
          <w:tcPr>
            <w:tcW w:w="33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Schlumberger Stock Fund</w:t>
            </w:r>
          </w:p>
        </w:tc>
        <w:tc>
          <w:tcPr>
            <w:tcW w:w="3180" w:type="dxa"/>
            <w:vAlign w:val="bottom"/>
            <w:gridSpan w:val="2"/>
          </w:tcPr>
          <w:p>
            <w:pPr>
              <w:jc w:val="right"/>
              <w:ind w:right="927"/>
              <w:spacing w:after="0" w:line="168" w:lineRule="exact"/>
              <w:rPr>
                <w:sz w:val="20"/>
                <w:szCs w:val="20"/>
                <w:color w:val="auto"/>
              </w:rPr>
            </w:pPr>
            <w:r>
              <w:rPr>
                <w:rFonts w:ascii="Courier New" w:cs="Courier New" w:eastAsia="Courier New" w:hAnsi="Courier New"/>
                <w:sz w:val="15"/>
                <w:szCs w:val="15"/>
                <w:color w:val="auto"/>
              </w:rPr>
              <w:t>1,394,747 units</w:t>
            </w:r>
          </w:p>
        </w:tc>
        <w:tc>
          <w:tcPr>
            <w:tcW w:w="36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23,068,089</w:t>
            </w:r>
          </w:p>
        </w:tc>
        <w:tc>
          <w:tcPr>
            <w:tcW w:w="400" w:type="dxa"/>
            <w:vAlign w:val="bottom"/>
          </w:tcPr>
          <w:p>
            <w:pPr>
              <w:spacing w:after="0"/>
              <w:rPr>
                <w:sz w:val="14"/>
                <w:szCs w:val="14"/>
                <w:color w:val="auto"/>
              </w:rPr>
            </w:pP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30,041,461</w:t>
            </w:r>
          </w:p>
        </w:tc>
      </w:tr>
      <w:tr>
        <w:trPr>
          <w:trHeight w:val="336"/>
        </w:trPr>
        <w:tc>
          <w:tcPr>
            <w:tcW w:w="6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Common/collective trusts:</w:t>
            </w: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8"/>
        </w:trPr>
        <w:tc>
          <w:tcPr>
            <w:tcW w:w="660" w:type="dxa"/>
            <w:vAlign w:val="bottom"/>
          </w:tcPr>
          <w:p>
            <w:pPr>
              <w:spacing w:after="0"/>
              <w:rPr>
                <w:sz w:val="14"/>
                <w:szCs w:val="14"/>
                <w:color w:val="auto"/>
              </w:rPr>
            </w:pPr>
          </w:p>
        </w:tc>
        <w:tc>
          <w:tcPr>
            <w:tcW w:w="33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AET Equity Index Fund I</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272,336</w:t>
            </w:r>
          </w:p>
        </w:tc>
        <w:tc>
          <w:tcPr>
            <w:tcW w:w="15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w w:val="99"/>
              </w:rPr>
              <w:t>shares</w:t>
            </w:r>
          </w:p>
        </w:tc>
        <w:tc>
          <w:tcPr>
            <w:tcW w:w="36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9,109,047</w:t>
            </w:r>
          </w:p>
        </w:tc>
        <w:tc>
          <w:tcPr>
            <w:tcW w:w="400" w:type="dxa"/>
            <w:vAlign w:val="bottom"/>
          </w:tcPr>
          <w:p>
            <w:pPr>
              <w:spacing w:after="0"/>
              <w:rPr>
                <w:sz w:val="14"/>
                <w:szCs w:val="14"/>
                <w:color w:val="auto"/>
              </w:rPr>
            </w:pP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11,481,125</w:t>
            </w:r>
          </w:p>
        </w:tc>
      </w:tr>
      <w:tr>
        <w:trPr>
          <w:trHeight w:val="336"/>
        </w:trPr>
        <w:tc>
          <w:tcPr>
            <w:tcW w:w="660" w:type="dxa"/>
            <w:vAlign w:val="bottom"/>
          </w:tcPr>
          <w:p>
            <w:pPr>
              <w:spacing w:after="0"/>
              <w:rPr>
                <w:sz w:val="24"/>
                <w:szCs w:val="24"/>
                <w:color w:val="auto"/>
              </w:rPr>
            </w:pPr>
          </w:p>
        </w:tc>
        <w:tc>
          <w:tcPr>
            <w:tcW w:w="3380" w:type="dxa"/>
            <w:vAlign w:val="bottom"/>
          </w:tcPr>
          <w:p>
            <w:pPr>
              <w:ind w:left="320"/>
              <w:spacing w:after="0"/>
              <w:rPr>
                <w:sz w:val="20"/>
                <w:szCs w:val="20"/>
                <w:color w:val="auto"/>
              </w:rPr>
            </w:pPr>
            <w:r>
              <w:rPr>
                <w:rFonts w:ascii="Courier New" w:cs="Courier New" w:eastAsia="Courier New" w:hAnsi="Courier New"/>
                <w:sz w:val="15"/>
                <w:szCs w:val="15"/>
                <w:color w:val="auto"/>
              </w:rPr>
              <w:t>AET Income Fund II</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318,667</w:t>
            </w:r>
          </w:p>
        </w:tc>
        <w:tc>
          <w:tcPr>
            <w:tcW w:w="1560" w:type="dxa"/>
            <w:vAlign w:val="bottom"/>
          </w:tcPr>
          <w:p>
            <w:pPr>
              <w:jc w:val="right"/>
              <w:ind w:right="927"/>
              <w:spacing w:after="0"/>
              <w:rPr>
                <w:sz w:val="20"/>
                <w:szCs w:val="20"/>
                <w:color w:val="auto"/>
              </w:rPr>
            </w:pPr>
            <w:r>
              <w:rPr>
                <w:rFonts w:ascii="Courier New" w:cs="Courier New" w:eastAsia="Courier New" w:hAnsi="Courier New"/>
                <w:sz w:val="15"/>
                <w:szCs w:val="15"/>
                <w:color w:val="auto"/>
                <w:w w:val="99"/>
              </w:rPr>
              <w:t>shares</w:t>
            </w:r>
          </w:p>
        </w:tc>
        <w:tc>
          <w:tcPr>
            <w:tcW w:w="360" w:type="dxa"/>
            <w:vAlign w:val="bottom"/>
          </w:tcPr>
          <w:p>
            <w:pPr>
              <w:spacing w:after="0"/>
              <w:rPr>
                <w:sz w:val="24"/>
                <w:szCs w:val="24"/>
                <w:color w:val="auto"/>
              </w:rPr>
            </w:pP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5,906,471</w:t>
            </w:r>
          </w:p>
        </w:tc>
        <w:tc>
          <w:tcPr>
            <w:tcW w:w="400" w:type="dxa"/>
            <w:vAlign w:val="bottom"/>
          </w:tcPr>
          <w:p>
            <w:pPr>
              <w:spacing w:after="0"/>
              <w:rPr>
                <w:sz w:val="24"/>
                <w:szCs w:val="24"/>
                <w:color w:val="auto"/>
              </w:rPr>
            </w:pPr>
          </w:p>
        </w:tc>
        <w:tc>
          <w:tcPr>
            <w:tcW w:w="1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6,217,835</w:t>
            </w:r>
          </w:p>
        </w:tc>
      </w:tr>
      <w:tr>
        <w:trPr>
          <w:trHeight w:val="336"/>
        </w:trPr>
        <w:tc>
          <w:tcPr>
            <w:tcW w:w="6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80" w:type="dxa"/>
            <w:vAlign w:val="bottom"/>
            <w:gridSpan w:val="2"/>
          </w:tcPr>
          <w:p>
            <w:pPr>
              <w:jc w:val="right"/>
              <w:ind w:right="927"/>
              <w:spacing w:after="0"/>
              <w:rPr>
                <w:sz w:val="20"/>
                <w:szCs w:val="20"/>
                <w:color w:val="auto"/>
              </w:rPr>
            </w:pPr>
            <w:r>
              <w:rPr>
                <w:rFonts w:ascii="Courier New" w:cs="Courier New" w:eastAsia="Courier New" w:hAnsi="Courier New"/>
                <w:sz w:val="15"/>
                <w:szCs w:val="15"/>
                <w:color w:val="auto"/>
              </w:rPr>
              <w:t>Registered investment</w:t>
            </w: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8"/>
        </w:trPr>
        <w:tc>
          <w:tcPr>
            <w:tcW w:w="6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companies:</w:t>
            </w: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33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AXP International Fund</w:t>
            </w:r>
          </w:p>
        </w:tc>
        <w:tc>
          <w:tcPr>
            <w:tcW w:w="3180" w:type="dxa"/>
            <w:vAlign w:val="bottom"/>
            <w:gridSpan w:val="2"/>
          </w:tcPr>
          <w:p>
            <w:pPr>
              <w:jc w:val="right"/>
              <w:ind w:right="1007"/>
              <w:spacing w:after="0" w:line="168" w:lineRule="exact"/>
              <w:rPr>
                <w:sz w:val="20"/>
                <w:szCs w:val="20"/>
                <w:color w:val="auto"/>
              </w:rPr>
            </w:pPr>
            <w:r>
              <w:rPr>
                <w:rFonts w:ascii="Courier New" w:cs="Courier New" w:eastAsia="Courier New" w:hAnsi="Courier New"/>
                <w:sz w:val="15"/>
                <w:szCs w:val="15"/>
                <w:color w:val="auto"/>
              </w:rPr>
              <w:t>20,210 shares</w:t>
            </w:r>
          </w:p>
        </w:tc>
        <w:tc>
          <w:tcPr>
            <w:tcW w:w="360" w:type="dxa"/>
            <w:vAlign w:val="bottom"/>
          </w:tcPr>
          <w:p>
            <w:pPr>
              <w:spacing w:after="0"/>
              <w:rPr>
                <w:sz w:val="14"/>
                <w:szCs w:val="14"/>
                <w:color w:val="auto"/>
              </w:rPr>
            </w:pP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279,836</w:t>
            </w:r>
          </w:p>
        </w:tc>
        <w:tc>
          <w:tcPr>
            <w:tcW w:w="400" w:type="dxa"/>
            <w:vAlign w:val="bottom"/>
          </w:tcPr>
          <w:p>
            <w:pPr>
              <w:spacing w:after="0"/>
              <w:rPr>
                <w:sz w:val="14"/>
                <w:szCs w:val="14"/>
                <w:color w:val="auto"/>
              </w:rPr>
            </w:pP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287,382</w:t>
            </w:r>
          </w:p>
        </w:tc>
      </w:tr>
      <w:tr>
        <w:trPr>
          <w:trHeight w:val="336"/>
        </w:trPr>
        <w:tc>
          <w:tcPr>
            <w:tcW w:w="660" w:type="dxa"/>
            <w:vAlign w:val="bottom"/>
          </w:tcPr>
          <w:p>
            <w:pPr>
              <w:spacing w:after="0"/>
              <w:rPr>
                <w:sz w:val="24"/>
                <w:szCs w:val="24"/>
                <w:color w:val="auto"/>
              </w:rPr>
            </w:pPr>
          </w:p>
        </w:tc>
        <w:tc>
          <w:tcPr>
            <w:tcW w:w="3380" w:type="dxa"/>
            <w:vAlign w:val="bottom"/>
          </w:tcPr>
          <w:p>
            <w:pPr>
              <w:ind w:left="320"/>
              <w:spacing w:after="0"/>
              <w:rPr>
                <w:sz w:val="20"/>
                <w:szCs w:val="20"/>
                <w:color w:val="auto"/>
              </w:rPr>
            </w:pPr>
            <w:r>
              <w:rPr>
                <w:rFonts w:ascii="Courier New" w:cs="Courier New" w:eastAsia="Courier New" w:hAnsi="Courier New"/>
                <w:sz w:val="15"/>
                <w:szCs w:val="15"/>
                <w:color w:val="auto"/>
              </w:rPr>
              <w:t>AXP New Dimensions Fund</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226,696</w:t>
            </w:r>
          </w:p>
        </w:tc>
        <w:tc>
          <w:tcPr>
            <w:tcW w:w="1560" w:type="dxa"/>
            <w:vAlign w:val="bottom"/>
          </w:tcPr>
          <w:p>
            <w:pPr>
              <w:jc w:val="right"/>
              <w:ind w:right="927"/>
              <w:spacing w:after="0"/>
              <w:rPr>
                <w:sz w:val="20"/>
                <w:szCs w:val="20"/>
                <w:color w:val="auto"/>
              </w:rPr>
            </w:pPr>
            <w:r>
              <w:rPr>
                <w:rFonts w:ascii="Courier New" w:cs="Courier New" w:eastAsia="Courier New" w:hAnsi="Courier New"/>
                <w:sz w:val="15"/>
                <w:szCs w:val="15"/>
                <w:color w:val="auto"/>
                <w:w w:val="99"/>
              </w:rPr>
              <w:t>shares</w:t>
            </w:r>
          </w:p>
        </w:tc>
        <w:tc>
          <w:tcPr>
            <w:tcW w:w="360" w:type="dxa"/>
            <w:vAlign w:val="bottom"/>
          </w:tcPr>
          <w:p>
            <w:pPr>
              <w:spacing w:after="0"/>
              <w:rPr>
                <w:sz w:val="24"/>
                <w:szCs w:val="24"/>
                <w:color w:val="auto"/>
              </w:rPr>
            </w:pP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6,622,699</w:t>
            </w:r>
          </w:p>
        </w:tc>
        <w:tc>
          <w:tcPr>
            <w:tcW w:w="400" w:type="dxa"/>
            <w:vAlign w:val="bottom"/>
          </w:tcPr>
          <w:p>
            <w:pPr>
              <w:spacing w:after="0"/>
              <w:rPr>
                <w:sz w:val="24"/>
                <w:szCs w:val="24"/>
                <w:color w:val="auto"/>
              </w:rPr>
            </w:pPr>
          </w:p>
        </w:tc>
        <w:tc>
          <w:tcPr>
            <w:tcW w:w="1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8,117,971</w:t>
            </w:r>
          </w:p>
        </w:tc>
      </w:tr>
      <w:tr>
        <w:trPr>
          <w:trHeight w:val="336"/>
        </w:trPr>
        <w:tc>
          <w:tcPr>
            <w:tcW w:w="660" w:type="dxa"/>
            <w:vAlign w:val="bottom"/>
          </w:tcPr>
          <w:p>
            <w:pPr>
              <w:spacing w:after="0"/>
              <w:rPr>
                <w:sz w:val="24"/>
                <w:szCs w:val="24"/>
                <w:color w:val="auto"/>
              </w:rPr>
            </w:pPr>
          </w:p>
        </w:tc>
        <w:tc>
          <w:tcPr>
            <w:tcW w:w="3380" w:type="dxa"/>
            <w:vAlign w:val="bottom"/>
          </w:tcPr>
          <w:p>
            <w:pPr>
              <w:ind w:left="320"/>
              <w:spacing w:after="0"/>
              <w:rPr>
                <w:sz w:val="20"/>
                <w:szCs w:val="20"/>
                <w:color w:val="auto"/>
              </w:rPr>
            </w:pPr>
            <w:r>
              <w:rPr>
                <w:rFonts w:ascii="Courier New" w:cs="Courier New" w:eastAsia="Courier New" w:hAnsi="Courier New"/>
                <w:sz w:val="15"/>
                <w:szCs w:val="15"/>
                <w:color w:val="auto"/>
              </w:rPr>
              <w:t>AXP Mutual Fund</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270,740</w:t>
            </w:r>
          </w:p>
        </w:tc>
        <w:tc>
          <w:tcPr>
            <w:tcW w:w="1560" w:type="dxa"/>
            <w:vAlign w:val="bottom"/>
          </w:tcPr>
          <w:p>
            <w:pPr>
              <w:jc w:val="right"/>
              <w:ind w:right="927"/>
              <w:spacing w:after="0"/>
              <w:rPr>
                <w:sz w:val="20"/>
                <w:szCs w:val="20"/>
                <w:color w:val="auto"/>
              </w:rPr>
            </w:pPr>
            <w:r>
              <w:rPr>
                <w:rFonts w:ascii="Courier New" w:cs="Courier New" w:eastAsia="Courier New" w:hAnsi="Courier New"/>
                <w:sz w:val="15"/>
                <w:szCs w:val="15"/>
                <w:color w:val="auto"/>
                <w:w w:val="99"/>
              </w:rPr>
              <w:t>shares</w:t>
            </w:r>
          </w:p>
        </w:tc>
        <w:tc>
          <w:tcPr>
            <w:tcW w:w="360" w:type="dxa"/>
            <w:vAlign w:val="bottom"/>
          </w:tcPr>
          <w:p>
            <w:pPr>
              <w:spacing w:after="0"/>
              <w:rPr>
                <w:sz w:val="24"/>
                <w:szCs w:val="24"/>
                <w:color w:val="auto"/>
              </w:rPr>
            </w:pP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3,759,068</w:t>
            </w:r>
          </w:p>
        </w:tc>
        <w:tc>
          <w:tcPr>
            <w:tcW w:w="400" w:type="dxa"/>
            <w:vAlign w:val="bottom"/>
          </w:tcPr>
          <w:p>
            <w:pPr>
              <w:spacing w:after="0"/>
              <w:rPr>
                <w:sz w:val="24"/>
                <w:szCs w:val="24"/>
                <w:color w:val="auto"/>
              </w:rPr>
            </w:pPr>
          </w:p>
        </w:tc>
        <w:tc>
          <w:tcPr>
            <w:tcW w:w="1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3,435,690</w:t>
            </w:r>
          </w:p>
        </w:tc>
      </w:tr>
      <w:tr>
        <w:trPr>
          <w:trHeight w:val="336"/>
        </w:trPr>
        <w:tc>
          <w:tcPr>
            <w:tcW w:w="660" w:type="dxa"/>
            <w:vAlign w:val="bottom"/>
          </w:tcPr>
          <w:p>
            <w:pPr>
              <w:spacing w:after="0"/>
              <w:rPr>
                <w:sz w:val="24"/>
                <w:szCs w:val="24"/>
                <w:color w:val="auto"/>
              </w:rPr>
            </w:pPr>
          </w:p>
        </w:tc>
        <w:tc>
          <w:tcPr>
            <w:tcW w:w="3380" w:type="dxa"/>
            <w:vAlign w:val="bottom"/>
          </w:tcPr>
          <w:p>
            <w:pPr>
              <w:ind w:left="320"/>
              <w:spacing w:after="0"/>
              <w:rPr>
                <w:sz w:val="20"/>
                <w:szCs w:val="20"/>
                <w:color w:val="auto"/>
              </w:rPr>
            </w:pPr>
            <w:r>
              <w:rPr>
                <w:rFonts w:ascii="Courier New" w:cs="Courier New" w:eastAsia="Courier New" w:hAnsi="Courier New"/>
                <w:sz w:val="15"/>
                <w:szCs w:val="15"/>
                <w:color w:val="auto"/>
              </w:rPr>
              <w:t>AXP Federal Income Fund</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160,975</w:t>
            </w:r>
          </w:p>
        </w:tc>
        <w:tc>
          <w:tcPr>
            <w:tcW w:w="1560" w:type="dxa"/>
            <w:vAlign w:val="bottom"/>
          </w:tcPr>
          <w:p>
            <w:pPr>
              <w:jc w:val="right"/>
              <w:ind w:right="927"/>
              <w:spacing w:after="0"/>
              <w:rPr>
                <w:sz w:val="20"/>
                <w:szCs w:val="20"/>
                <w:color w:val="auto"/>
              </w:rPr>
            </w:pPr>
            <w:r>
              <w:rPr>
                <w:rFonts w:ascii="Courier New" w:cs="Courier New" w:eastAsia="Courier New" w:hAnsi="Courier New"/>
                <w:sz w:val="15"/>
                <w:szCs w:val="15"/>
                <w:color w:val="auto"/>
                <w:w w:val="99"/>
              </w:rPr>
              <w:t>shares</w:t>
            </w:r>
          </w:p>
        </w:tc>
        <w:tc>
          <w:tcPr>
            <w:tcW w:w="360" w:type="dxa"/>
            <w:vAlign w:val="bottom"/>
          </w:tcPr>
          <w:p>
            <w:pPr>
              <w:spacing w:after="0"/>
              <w:rPr>
                <w:sz w:val="24"/>
                <w:szCs w:val="24"/>
                <w:color w:val="auto"/>
              </w:rPr>
            </w:pP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803,899</w:t>
            </w:r>
          </w:p>
        </w:tc>
        <w:tc>
          <w:tcPr>
            <w:tcW w:w="400" w:type="dxa"/>
            <w:vAlign w:val="bottom"/>
          </w:tcPr>
          <w:p>
            <w:pPr>
              <w:spacing w:after="0"/>
              <w:rPr>
                <w:sz w:val="24"/>
                <w:szCs w:val="24"/>
                <w:color w:val="auto"/>
              </w:rPr>
            </w:pPr>
          </w:p>
        </w:tc>
        <w:tc>
          <w:tcPr>
            <w:tcW w:w="1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766,242</w:t>
            </w:r>
          </w:p>
        </w:tc>
      </w:tr>
      <w:tr>
        <w:trPr>
          <w:trHeight w:val="336"/>
        </w:trPr>
        <w:tc>
          <w:tcPr>
            <w:tcW w:w="660" w:type="dxa"/>
            <w:vAlign w:val="bottom"/>
          </w:tcPr>
          <w:p>
            <w:pPr>
              <w:spacing w:after="0"/>
              <w:rPr>
                <w:sz w:val="24"/>
                <w:szCs w:val="24"/>
                <w:color w:val="auto"/>
              </w:rPr>
            </w:pPr>
          </w:p>
        </w:tc>
        <w:tc>
          <w:tcPr>
            <w:tcW w:w="3380" w:type="dxa"/>
            <w:vAlign w:val="bottom"/>
          </w:tcPr>
          <w:p>
            <w:pPr>
              <w:ind w:left="320"/>
              <w:spacing w:after="0"/>
              <w:rPr>
                <w:sz w:val="20"/>
                <w:szCs w:val="20"/>
                <w:color w:val="auto"/>
              </w:rPr>
            </w:pPr>
            <w:r>
              <w:rPr>
                <w:rFonts w:ascii="Courier New" w:cs="Courier New" w:eastAsia="Courier New" w:hAnsi="Courier New"/>
                <w:sz w:val="15"/>
                <w:szCs w:val="15"/>
                <w:color w:val="auto"/>
              </w:rPr>
              <w:t>AIM Constellation Fund</w:t>
            </w:r>
          </w:p>
        </w:tc>
        <w:tc>
          <w:tcPr>
            <w:tcW w:w="3180" w:type="dxa"/>
            <w:vAlign w:val="bottom"/>
            <w:gridSpan w:val="2"/>
          </w:tcPr>
          <w:p>
            <w:pPr>
              <w:jc w:val="right"/>
              <w:ind w:right="1007"/>
              <w:spacing w:after="0"/>
              <w:rPr>
                <w:sz w:val="20"/>
                <w:szCs w:val="20"/>
                <w:color w:val="auto"/>
              </w:rPr>
            </w:pPr>
            <w:r>
              <w:rPr>
                <w:rFonts w:ascii="Courier New" w:cs="Courier New" w:eastAsia="Courier New" w:hAnsi="Courier New"/>
                <w:sz w:val="15"/>
                <w:szCs w:val="15"/>
                <w:color w:val="auto"/>
              </w:rPr>
              <w:t>30,879 shares</w:t>
            </w:r>
          </w:p>
        </w:tc>
        <w:tc>
          <w:tcPr>
            <w:tcW w:w="360" w:type="dxa"/>
            <w:vAlign w:val="bottom"/>
          </w:tcPr>
          <w:p>
            <w:pPr>
              <w:spacing w:after="0"/>
              <w:rPr>
                <w:sz w:val="24"/>
                <w:szCs w:val="24"/>
                <w:color w:val="auto"/>
              </w:rPr>
            </w:pP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957,280</w:t>
            </w:r>
          </w:p>
        </w:tc>
        <w:tc>
          <w:tcPr>
            <w:tcW w:w="400" w:type="dxa"/>
            <w:vAlign w:val="bottom"/>
          </w:tcPr>
          <w:p>
            <w:pPr>
              <w:spacing w:after="0"/>
              <w:rPr>
                <w:sz w:val="24"/>
                <w:szCs w:val="24"/>
                <w:color w:val="auto"/>
              </w:rPr>
            </w:pPr>
          </w:p>
        </w:tc>
        <w:tc>
          <w:tcPr>
            <w:tcW w:w="1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1,250,901</w:t>
            </w:r>
          </w:p>
        </w:tc>
      </w:tr>
      <w:tr>
        <w:trPr>
          <w:trHeight w:val="168"/>
        </w:trPr>
        <w:tc>
          <w:tcPr>
            <w:tcW w:w="6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50,506,389</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63,350,219</w:t>
            </w:r>
          </w:p>
        </w:tc>
      </w:tr>
      <w:tr>
        <w:trPr>
          <w:trHeight w:val="168"/>
        </w:trPr>
        <w:tc>
          <w:tcPr>
            <w:tcW w:w="6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60" w:type="dxa"/>
            <w:vAlign w:val="bottom"/>
          </w:tcPr>
          <w:p>
            <w:pPr>
              <w:spacing w:after="0"/>
              <w:rPr>
                <w:sz w:val="24"/>
                <w:szCs w:val="24"/>
                <w:color w:val="auto"/>
              </w:rPr>
            </w:pPr>
          </w:p>
        </w:tc>
        <w:tc>
          <w:tcPr>
            <w:tcW w:w="3380" w:type="dxa"/>
            <w:vAlign w:val="bottom"/>
          </w:tcPr>
          <w:p>
            <w:pPr>
              <w:ind w:left="2760"/>
              <w:spacing w:after="0"/>
              <w:rPr>
                <w:sz w:val="20"/>
                <w:szCs w:val="20"/>
                <w:color w:val="auto"/>
              </w:rPr>
            </w:pPr>
            <w:r>
              <w:rPr>
                <w:rFonts w:ascii="Courier New" w:cs="Courier New" w:eastAsia="Courier New" w:hAnsi="Courier New"/>
                <w:sz w:val="15"/>
                <w:szCs w:val="15"/>
                <w:color w:val="auto"/>
              </w:rPr>
              <w:t>11</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200"/>
          </w:cols>
          <w:pgMar w:left="220" w:top="617" w:right="47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gridSpan w:val="3"/>
          </w:tcPr>
          <w:p>
            <w:pPr>
              <w:ind w:left="2640"/>
              <w:spacing w:after="0"/>
              <w:rPr>
                <w:sz w:val="20"/>
                <w:szCs w:val="20"/>
                <w:color w:val="auto"/>
              </w:rPr>
            </w:pPr>
            <w:r>
              <w:rPr>
                <w:rFonts w:ascii="Courier New" w:cs="Courier New" w:eastAsia="Courier New" w:hAnsi="Courier New"/>
                <w:sz w:val="15"/>
                <w:szCs w:val="15"/>
                <w:color w:val="auto"/>
                <w:w w:val="98"/>
              </w:rPr>
              <w:t>Schedule H, Line 4j</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660" w:type="dxa"/>
            <w:vAlign w:val="bottom"/>
            <w:gridSpan w:val="5"/>
          </w:tcPr>
          <w:p>
            <w:pPr>
              <w:ind w:left="1940"/>
              <w:spacing w:after="0" w:line="168" w:lineRule="exact"/>
              <w:rPr>
                <w:sz w:val="20"/>
                <w:szCs w:val="20"/>
                <w:color w:val="auto"/>
              </w:rPr>
            </w:pPr>
            <w:r>
              <w:rPr>
                <w:rFonts w:ascii="Courier New" w:cs="Courier New" w:eastAsia="Courier New" w:hAnsi="Courier New"/>
                <w:sz w:val="15"/>
                <w:szCs w:val="15"/>
                <w:color w:val="auto"/>
              </w:rPr>
              <w:t>Schedule of Reportable Transactions</w:t>
            </w: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660" w:type="dxa"/>
            <w:vAlign w:val="bottom"/>
            <w:gridSpan w:val="5"/>
          </w:tcPr>
          <w:p>
            <w:pPr>
              <w:ind w:left="2100"/>
              <w:spacing w:after="0" w:line="168" w:lineRule="exact"/>
              <w:rPr>
                <w:sz w:val="20"/>
                <w:szCs w:val="20"/>
                <w:color w:val="auto"/>
              </w:rPr>
            </w:pPr>
            <w:r>
              <w:rPr>
                <w:rFonts w:ascii="Courier New" w:cs="Courier New" w:eastAsia="Courier New" w:hAnsi="Courier New"/>
                <w:sz w:val="15"/>
                <w:szCs w:val="15"/>
                <w:color w:val="auto"/>
              </w:rPr>
              <w:t>Production Operators Thrift Plan</w:t>
            </w: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800" w:type="dxa"/>
            <w:vAlign w:val="bottom"/>
          </w:tcPr>
          <w:p>
            <w:pPr>
              <w:ind w:left="2380"/>
              <w:spacing w:after="0" w:line="168" w:lineRule="exact"/>
              <w:rPr>
                <w:sz w:val="20"/>
                <w:szCs w:val="20"/>
                <w:color w:val="auto"/>
              </w:rPr>
            </w:pPr>
            <w:r>
              <w:rPr>
                <w:rFonts w:ascii="Courier New" w:cs="Courier New" w:eastAsia="Courier New" w:hAnsi="Courier New"/>
                <w:sz w:val="15"/>
                <w:szCs w:val="15"/>
                <w:color w:val="auto"/>
              </w:rPr>
              <w:t>EIN:</w:t>
            </w:r>
          </w:p>
        </w:tc>
        <w:tc>
          <w:tcPr>
            <w:tcW w:w="188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74-1622039; P/N 002</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4680" w:type="dxa"/>
            <w:vAlign w:val="bottom"/>
            <w:gridSpan w:val="4"/>
          </w:tcPr>
          <w:p>
            <w:pPr>
              <w:ind w:left="1940"/>
              <w:spacing w:after="0" w:line="168" w:lineRule="exact"/>
              <w:rPr>
                <w:sz w:val="20"/>
                <w:szCs w:val="20"/>
                <w:color w:val="auto"/>
              </w:rPr>
            </w:pPr>
            <w:r>
              <w:rPr>
                <w:rFonts w:ascii="Courier New" w:cs="Courier New" w:eastAsia="Courier New" w:hAnsi="Courier New"/>
                <w:sz w:val="15"/>
                <w:szCs w:val="15"/>
                <w:color w:val="auto"/>
                <w:w w:val="97"/>
              </w:rPr>
              <w:t>For the Year Ended December 31,</w:t>
            </w:r>
          </w:p>
        </w:tc>
        <w:tc>
          <w:tcPr>
            <w:tcW w:w="9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1999</w:t>
            </w: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841"/>
        </w:trPr>
        <w:tc>
          <w:tcPr>
            <w:tcW w:w="2800" w:type="dxa"/>
            <w:vAlign w:val="bottom"/>
          </w:tcPr>
          <w:p>
            <w:pPr>
              <w:ind w:left="980"/>
              <w:spacing w:after="0"/>
              <w:rPr>
                <w:sz w:val="20"/>
                <w:szCs w:val="20"/>
                <w:color w:val="auto"/>
              </w:rPr>
            </w:pPr>
            <w:r>
              <w:rPr>
                <w:rFonts w:ascii="Courier New" w:cs="Courier New" w:eastAsia="Courier New" w:hAnsi="Courier New"/>
                <w:sz w:val="15"/>
                <w:szCs w:val="15"/>
                <w:color w:val="auto"/>
              </w:rPr>
              <w:t>(a)</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6"/>
              </w:rPr>
              <w:t>(c)</w:t>
            </w:r>
          </w:p>
        </w:tc>
        <w:tc>
          <w:tcPr>
            <w:tcW w:w="400" w:type="dxa"/>
            <w:vAlign w:val="bottom"/>
          </w:tcPr>
          <w:p>
            <w:pPr>
              <w:spacing w:after="0"/>
              <w:rPr>
                <w:sz w:val="24"/>
                <w:szCs w:val="24"/>
                <w:color w:val="auto"/>
              </w:rPr>
            </w:pPr>
          </w:p>
        </w:tc>
        <w:tc>
          <w:tcPr>
            <w:tcW w:w="14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(d)</w:t>
            </w:r>
          </w:p>
        </w:tc>
        <w:tc>
          <w:tcPr>
            <w:tcW w:w="2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(i)</w:t>
            </w:r>
          </w:p>
        </w:tc>
      </w:tr>
      <w:tr>
        <w:trPr>
          <w:trHeight w:val="168"/>
        </w:trPr>
        <w:tc>
          <w:tcPr>
            <w:tcW w:w="28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Identity of</w:t>
            </w:r>
          </w:p>
        </w:tc>
        <w:tc>
          <w:tcPr>
            <w:tcW w:w="400" w:type="dxa"/>
            <w:vAlign w:val="bottom"/>
          </w:tcPr>
          <w:p>
            <w:pPr>
              <w:spacing w:after="0"/>
              <w:rPr>
                <w:sz w:val="14"/>
                <w:szCs w:val="14"/>
                <w:color w:val="auto"/>
              </w:rPr>
            </w:pPr>
          </w:p>
        </w:tc>
        <w:tc>
          <w:tcPr>
            <w:tcW w:w="11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(b)</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Purchase</w:t>
            </w:r>
          </w:p>
        </w:tc>
        <w:tc>
          <w:tcPr>
            <w:tcW w:w="400" w:type="dxa"/>
            <w:vAlign w:val="bottom"/>
          </w:tcPr>
          <w:p>
            <w:pPr>
              <w:spacing w:after="0"/>
              <w:rPr>
                <w:sz w:val="14"/>
                <w:szCs w:val="14"/>
                <w:color w:val="auto"/>
              </w:rPr>
            </w:pPr>
          </w:p>
        </w:tc>
        <w:tc>
          <w:tcPr>
            <w:tcW w:w="14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8"/>
              </w:rPr>
              <w:t>Selling</w:t>
            </w:r>
          </w:p>
        </w:tc>
        <w:tc>
          <w:tcPr>
            <w:tcW w:w="26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Net gain</w:t>
            </w:r>
          </w:p>
        </w:tc>
      </w:tr>
      <w:tr>
        <w:trPr>
          <w:trHeight w:val="168"/>
        </w:trPr>
        <w:tc>
          <w:tcPr>
            <w:tcW w:w="28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party involved</w:t>
            </w:r>
          </w:p>
        </w:tc>
        <w:tc>
          <w:tcPr>
            <w:tcW w:w="400" w:type="dxa"/>
            <w:vAlign w:val="bottom"/>
          </w:tcPr>
          <w:p>
            <w:pPr>
              <w:spacing w:after="0"/>
              <w:rPr>
                <w:sz w:val="14"/>
                <w:szCs w:val="14"/>
                <w:color w:val="auto"/>
              </w:rPr>
            </w:pPr>
          </w:p>
        </w:tc>
        <w:tc>
          <w:tcPr>
            <w:tcW w:w="24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Description of asset</w:t>
            </w:r>
          </w:p>
        </w:tc>
        <w:tc>
          <w:tcPr>
            <w:tcW w:w="600" w:type="dxa"/>
            <w:vAlign w:val="bottom"/>
          </w:tcPr>
          <w:p>
            <w:pPr>
              <w:spacing w:after="0"/>
              <w:rPr>
                <w:sz w:val="14"/>
                <w:szCs w:val="14"/>
                <w:color w:val="auto"/>
              </w:rPr>
            </w:pPr>
          </w:p>
        </w:tc>
        <w:tc>
          <w:tcPr>
            <w:tcW w:w="16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price</w:t>
            </w:r>
          </w:p>
        </w:tc>
        <w:tc>
          <w:tcPr>
            <w:tcW w:w="400" w:type="dxa"/>
            <w:vAlign w:val="bottom"/>
          </w:tcPr>
          <w:p>
            <w:pPr>
              <w:spacing w:after="0"/>
              <w:rPr>
                <w:sz w:val="14"/>
                <w:szCs w:val="14"/>
                <w:color w:val="auto"/>
              </w:rPr>
            </w:pPr>
          </w:p>
        </w:tc>
        <w:tc>
          <w:tcPr>
            <w:tcW w:w="14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price</w:t>
            </w:r>
          </w:p>
        </w:tc>
        <w:tc>
          <w:tcPr>
            <w:tcW w:w="26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or (loss)</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86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16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w:t>
            </w:r>
          </w:p>
        </w:tc>
        <w:tc>
          <w:tcPr>
            <w:tcW w:w="400" w:type="dxa"/>
            <w:vAlign w:val="bottom"/>
          </w:tcPr>
          <w:p>
            <w:pPr>
              <w:spacing w:after="0"/>
              <w:rPr>
                <w:sz w:val="14"/>
                <w:szCs w:val="14"/>
                <w:color w:val="auto"/>
              </w:rPr>
            </w:pPr>
          </w:p>
        </w:tc>
        <w:tc>
          <w:tcPr>
            <w:tcW w:w="14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800" w:type="dxa"/>
            <w:vAlign w:val="bottom"/>
          </w:tcPr>
          <w:p>
            <w:pPr>
              <w:spacing w:after="0"/>
              <w:rPr>
                <w:sz w:val="24"/>
                <w:szCs w:val="24"/>
                <w:color w:val="auto"/>
              </w:rPr>
            </w:pPr>
          </w:p>
        </w:tc>
        <w:tc>
          <w:tcPr>
            <w:tcW w:w="286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Employer common stock</w:t>
            </w: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Schlumberger Stock Fund</w:t>
            </w:r>
          </w:p>
        </w:tc>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41</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purchases,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w:t>
            </w:r>
          </w:p>
        </w:tc>
        <w:tc>
          <w:tcPr>
            <w:tcW w:w="9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sales</w:t>
            </w:r>
          </w:p>
        </w:tc>
        <w:tc>
          <w:tcPr>
            <w:tcW w:w="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27,988,654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5,888,544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1,131,835</w:t>
            </w:r>
          </w:p>
        </w:tc>
      </w:tr>
      <w:tr>
        <w:trPr>
          <w:trHeight w:val="336"/>
        </w:trPr>
        <w:tc>
          <w:tcPr>
            <w:tcW w:w="2800" w:type="dxa"/>
            <w:vAlign w:val="bottom"/>
          </w:tcPr>
          <w:p>
            <w:pPr>
              <w:spacing w:after="0"/>
              <w:rPr>
                <w:sz w:val="24"/>
                <w:szCs w:val="24"/>
                <w:color w:val="auto"/>
              </w:rPr>
            </w:pPr>
          </w:p>
        </w:tc>
        <w:tc>
          <w:tcPr>
            <w:tcW w:w="286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Common/collective trusts:</w:t>
            </w: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AET Equity Index Fund I</w:t>
            </w:r>
          </w:p>
        </w:tc>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79</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purchases,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c>
          <w:tcPr>
            <w:tcW w:w="9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sales</w:t>
            </w:r>
          </w:p>
        </w:tc>
        <w:tc>
          <w:tcPr>
            <w:tcW w:w="600" w:type="dxa"/>
            <w:vAlign w:val="bottom"/>
          </w:tcPr>
          <w:p>
            <w:pPr>
              <w:spacing w:after="0"/>
              <w:rPr>
                <w:sz w:val="14"/>
                <w:szCs w:val="14"/>
                <w:color w:val="auto"/>
              </w:rPr>
            </w:pP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2,284,540</w:t>
            </w:r>
          </w:p>
        </w:tc>
        <w:tc>
          <w:tcPr>
            <w:tcW w:w="40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2,788,913</w:t>
            </w:r>
          </w:p>
        </w:tc>
        <w:tc>
          <w:tcPr>
            <w:tcW w:w="2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409,868</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AET Income Fund II</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69</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purchases,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sales</w:t>
            </w:r>
          </w:p>
        </w:tc>
        <w:tc>
          <w:tcPr>
            <w:tcW w:w="600" w:type="dxa"/>
            <w:vAlign w:val="bottom"/>
          </w:tcPr>
          <w:p>
            <w:pPr>
              <w:spacing w:after="0"/>
              <w:rPr>
                <w:sz w:val="24"/>
                <w:szCs w:val="24"/>
                <w:color w:val="auto"/>
              </w:rPr>
            </w:pP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3,411,474</w:t>
            </w:r>
          </w:p>
        </w:tc>
        <w:tc>
          <w:tcPr>
            <w:tcW w:w="400" w:type="dxa"/>
            <w:vAlign w:val="bottom"/>
          </w:tcPr>
          <w:p>
            <w:pPr>
              <w:spacing w:after="0"/>
              <w:rPr>
                <w:sz w:val="24"/>
                <w:szCs w:val="24"/>
                <w:color w:val="auto"/>
              </w:rPr>
            </w:pP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2,608,640</w:t>
            </w:r>
          </w:p>
        </w:tc>
        <w:tc>
          <w:tcPr>
            <w:tcW w:w="260" w:type="dxa"/>
            <w:vAlign w:val="bottom"/>
          </w:tcPr>
          <w:p>
            <w:pPr>
              <w:spacing w:after="0"/>
              <w:rPr>
                <w:sz w:val="24"/>
                <w:szCs w:val="24"/>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136,504</w:t>
            </w:r>
          </w:p>
        </w:tc>
      </w:tr>
      <w:tr>
        <w:trPr>
          <w:trHeight w:val="336"/>
        </w:trPr>
        <w:tc>
          <w:tcPr>
            <w:tcW w:w="2800" w:type="dxa"/>
            <w:vAlign w:val="bottom"/>
          </w:tcPr>
          <w:p>
            <w:pPr>
              <w:spacing w:after="0"/>
              <w:rPr>
                <w:sz w:val="24"/>
                <w:szCs w:val="24"/>
                <w:color w:val="auto"/>
              </w:rPr>
            </w:pPr>
          </w:p>
        </w:tc>
        <w:tc>
          <w:tcPr>
            <w:tcW w:w="286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Registered investment</w:t>
            </w: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2800" w:type="dxa"/>
            <w:vAlign w:val="bottom"/>
          </w:tcPr>
          <w:p>
            <w:pPr>
              <w:spacing w:after="0"/>
              <w:rPr>
                <w:sz w:val="14"/>
                <w:szCs w:val="14"/>
                <w:color w:val="auto"/>
              </w:rPr>
            </w:pPr>
          </w:p>
        </w:tc>
        <w:tc>
          <w:tcPr>
            <w:tcW w:w="15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companies:</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AXP International Fund</w:t>
            </w:r>
          </w:p>
        </w:tc>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59</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purchases,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9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sales</w:t>
            </w:r>
          </w:p>
        </w:tc>
        <w:tc>
          <w:tcPr>
            <w:tcW w:w="600" w:type="dxa"/>
            <w:vAlign w:val="bottom"/>
          </w:tcPr>
          <w:p>
            <w:pPr>
              <w:spacing w:after="0"/>
              <w:rPr>
                <w:sz w:val="14"/>
                <w:szCs w:val="14"/>
                <w:color w:val="auto"/>
              </w:rPr>
            </w:pP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319,490</w:t>
            </w:r>
          </w:p>
        </w:tc>
        <w:tc>
          <w:tcPr>
            <w:tcW w:w="40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76,992</w:t>
            </w:r>
          </w:p>
        </w:tc>
        <w:tc>
          <w:tcPr>
            <w:tcW w:w="26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11,585</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AXP New Dimensions Fund</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83</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purchases,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sales</w:t>
            </w:r>
          </w:p>
        </w:tc>
        <w:tc>
          <w:tcPr>
            <w:tcW w:w="600" w:type="dxa"/>
            <w:vAlign w:val="bottom"/>
          </w:tcPr>
          <w:p>
            <w:pPr>
              <w:spacing w:after="0"/>
              <w:rPr>
                <w:sz w:val="24"/>
                <w:szCs w:val="24"/>
                <w:color w:val="auto"/>
              </w:rPr>
            </w:pP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1,907,553</w:t>
            </w:r>
          </w:p>
        </w:tc>
        <w:tc>
          <w:tcPr>
            <w:tcW w:w="400" w:type="dxa"/>
            <w:vAlign w:val="bottom"/>
          </w:tcPr>
          <w:p>
            <w:pPr>
              <w:spacing w:after="0"/>
              <w:rPr>
                <w:sz w:val="24"/>
                <w:szCs w:val="24"/>
                <w:color w:val="auto"/>
              </w:rPr>
            </w:pP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1,095,869</w:t>
            </w:r>
          </w:p>
        </w:tc>
        <w:tc>
          <w:tcPr>
            <w:tcW w:w="260" w:type="dxa"/>
            <w:vAlign w:val="bottom"/>
          </w:tcPr>
          <w:p>
            <w:pPr>
              <w:spacing w:after="0"/>
              <w:rPr>
                <w:sz w:val="24"/>
                <w:szCs w:val="24"/>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124,833</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AXP Mutual Fund</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66</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purchases,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sales</w:t>
            </w:r>
          </w:p>
        </w:tc>
        <w:tc>
          <w:tcPr>
            <w:tcW w:w="600" w:type="dxa"/>
            <w:vAlign w:val="bottom"/>
          </w:tcPr>
          <w:p>
            <w:pPr>
              <w:spacing w:after="0"/>
              <w:rPr>
                <w:sz w:val="24"/>
                <w:szCs w:val="24"/>
                <w:color w:val="auto"/>
              </w:rPr>
            </w:pP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1,015,357</w:t>
            </w:r>
          </w:p>
        </w:tc>
        <w:tc>
          <w:tcPr>
            <w:tcW w:w="400" w:type="dxa"/>
            <w:vAlign w:val="bottom"/>
          </w:tcPr>
          <w:p>
            <w:pPr>
              <w:spacing w:after="0"/>
              <w:rPr>
                <w:sz w:val="24"/>
                <w:szCs w:val="24"/>
                <w:color w:val="auto"/>
              </w:rPr>
            </w:pP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765,676</w:t>
            </w:r>
          </w:p>
        </w:tc>
        <w:tc>
          <w:tcPr>
            <w:tcW w:w="260" w:type="dxa"/>
            <w:vAlign w:val="bottom"/>
          </w:tcPr>
          <w:p>
            <w:pPr>
              <w:spacing w:after="0"/>
              <w:rPr>
                <w:sz w:val="24"/>
                <w:szCs w:val="24"/>
                <w:color w:val="auto"/>
              </w:rPr>
            </w:pP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(46,336)</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AXP Federal Income Fund</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90</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purchases,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sales</w:t>
            </w:r>
          </w:p>
        </w:tc>
        <w:tc>
          <w:tcPr>
            <w:tcW w:w="600" w:type="dxa"/>
            <w:vAlign w:val="bottom"/>
          </w:tcPr>
          <w:p>
            <w:pPr>
              <w:spacing w:after="0"/>
              <w:rPr>
                <w:sz w:val="24"/>
                <w:szCs w:val="24"/>
                <w:color w:val="auto"/>
              </w:rPr>
            </w:pP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430,569</w:t>
            </w:r>
          </w:p>
        </w:tc>
        <w:tc>
          <w:tcPr>
            <w:tcW w:w="400" w:type="dxa"/>
            <w:vAlign w:val="bottom"/>
          </w:tcPr>
          <w:p>
            <w:pPr>
              <w:spacing w:after="0"/>
              <w:rPr>
                <w:sz w:val="24"/>
                <w:szCs w:val="24"/>
                <w:color w:val="auto"/>
              </w:rPr>
            </w:pP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186,104</w:t>
            </w:r>
          </w:p>
        </w:tc>
        <w:tc>
          <w:tcPr>
            <w:tcW w:w="260" w:type="dxa"/>
            <w:vAlign w:val="bottom"/>
          </w:tcPr>
          <w:p>
            <w:pPr>
              <w:spacing w:after="0"/>
              <w:rPr>
                <w:sz w:val="24"/>
                <w:szCs w:val="24"/>
                <w:color w:val="auto"/>
              </w:rPr>
            </w:pP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(5,750)</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AIM Constellation Fund</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60</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purchases,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sales</w:t>
            </w:r>
          </w:p>
        </w:tc>
        <w:tc>
          <w:tcPr>
            <w:tcW w:w="600" w:type="dxa"/>
            <w:vAlign w:val="bottom"/>
          </w:tcPr>
          <w:p>
            <w:pPr>
              <w:spacing w:after="0"/>
              <w:rPr>
                <w:sz w:val="24"/>
                <w:szCs w:val="24"/>
                <w:color w:val="auto"/>
              </w:rPr>
            </w:pP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341,040</w:t>
            </w:r>
          </w:p>
        </w:tc>
        <w:tc>
          <w:tcPr>
            <w:tcW w:w="400" w:type="dxa"/>
            <w:vAlign w:val="bottom"/>
          </w:tcPr>
          <w:p>
            <w:pPr>
              <w:spacing w:after="0"/>
              <w:rPr>
                <w:sz w:val="24"/>
                <w:szCs w:val="24"/>
                <w:color w:val="auto"/>
              </w:rPr>
            </w:pP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194,892</w:t>
            </w:r>
          </w:p>
        </w:tc>
        <w:tc>
          <w:tcPr>
            <w:tcW w:w="260" w:type="dxa"/>
            <w:vAlign w:val="bottom"/>
          </w:tcPr>
          <w:p>
            <w:pPr>
              <w:spacing w:after="0"/>
              <w:rPr>
                <w:sz w:val="24"/>
                <w:szCs w:val="24"/>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32,611</w:t>
            </w:r>
          </w:p>
        </w:tc>
      </w:tr>
      <w:tr>
        <w:trPr>
          <w:trHeight w:val="168"/>
        </w:trPr>
        <w:tc>
          <w:tcPr>
            <w:tcW w:w="2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37,698,677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13,605,630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1,795,150</w:t>
            </w:r>
          </w:p>
        </w:tc>
      </w:tr>
      <w:tr>
        <w:trPr>
          <w:trHeight w:val="168"/>
        </w:trPr>
        <w:tc>
          <w:tcPr>
            <w:tcW w:w="2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12</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380"/>
          </w:cols>
          <w:pgMar w:left="220" w:top="617" w:right="299" w:bottom="1440" w:gutter="0" w:footer="0" w:header="0"/>
        </w:sectPr>
      </w:pPr>
    </w:p>
    <w:bookmarkStart w:id="14" w:name="page15"/>
    <w:bookmarkEnd w:id="14"/>
    <w:p>
      <w:pPr>
        <w:ind w:left="290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24"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ind w:left="180"/>
        <w:spacing w:after="0" w:line="237" w:lineRule="auto"/>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Description</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Larkin, Ervin &amp; Shirley, L.L.P.</w:t>
      </w:r>
    </w:p>
    <w:p>
      <w:pPr>
        <w:sectPr>
          <w:pgSz w:w="11900" w:h="16838" w:orient="portrait"/>
          <w:cols w:equalWidth="0" w:num="2">
            <w:col w:w="800" w:space="80"/>
            <w:col w:w="9359"/>
          </w:cols>
          <w:pgMar w:left="220" w:top="624" w:right="1440" w:bottom="1440" w:gutter="0" w:footer="0" w:header="0"/>
          <w:type w:val="continuous"/>
        </w:sectPr>
      </w:pPr>
    </w:p>
    <w:bookmarkStart w:id="15" w:name="page16"/>
    <w:bookmarkEnd w:id="15"/>
    <w:p>
      <w:pPr>
        <w:jc w:val="right"/>
        <w:ind w:right="3239"/>
        <w:spacing w:after="0"/>
        <w:rPr>
          <w:sz w:val="20"/>
          <w:szCs w:val="20"/>
          <w:color w:val="auto"/>
        </w:rPr>
      </w:pPr>
      <w:r>
        <w:rPr>
          <w:rFonts w:ascii="Courier New" w:cs="Courier New" w:eastAsia="Courier New" w:hAnsi="Courier New"/>
          <w:sz w:val="15"/>
          <w:szCs w:val="15"/>
          <w:color w:val="auto"/>
        </w:rPr>
        <w:t>EXHIBIT 23</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No. 333-81713 of Schlumberger Limited on Form S-8 of our report dated June 20, 2000, appearing in this Annual Report on Form 11-K of the Production Operators Thrift Plan for the year ended December 31, 1999.</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Larkin, Ervin &amp; Shirley,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June 27, 2000</w:t>
      </w:r>
    </w:p>
    <w:sectPr>
      <w:pgSz w:w="11900" w:h="16838" w:orient="portrait"/>
      <w:cols w:equalWidth="0" w:num="1">
        <w:col w:w="10239"/>
      </w:cols>
      <w:pgMar w:left="2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2019-12-13T06:51:02Z</dcterms:created>
  <dcterms:modified xsi:type="dcterms:W3CDTF">2019-12-13T06:51:02Z</dcterms:modified>
</cp:coreProperties>
</file>