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BELANI ASHOK</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40" w:type="dxa"/>
            <w:vAlign w:val="bottom"/>
            <w:tcBorders>
              <w:top w:val="single" w:sz="8" w:color="0000EE"/>
            </w:tcBorders>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20" w:type="dxa"/>
            <w:vAlign w:val="bottom"/>
            <w:tcBorders>
              <w:top w:val="single" w:sz="8" w:color="0000EE"/>
              <w:bottom w:val="single" w:sz="8" w:color="9A9A9A"/>
            </w:tcBorders>
          </w:tcPr>
          <w:p>
            <w:pPr>
              <w:spacing w:after="0"/>
              <w:rPr>
                <w:sz w:val="18"/>
                <w:szCs w:val="18"/>
                <w:color w:val="auto"/>
              </w:rPr>
            </w:pPr>
          </w:p>
        </w:tc>
        <w:tc>
          <w:tcPr>
            <w:tcW w:w="780" w:type="dxa"/>
            <w:vAlign w:val="bottom"/>
            <w:tcBorders>
              <w:top w:val="single" w:sz="8" w:color="0000EE"/>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700" w:type="dxa"/>
            <w:vAlign w:val="bottom"/>
            <w:tcBorders>
              <w:bottom w:val="single" w:sz="8" w:color="9A9A9A"/>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Borders>
              <w:top w:val="single" w:sz="8" w:color="EEEEEE"/>
            </w:tcBorders>
            <w:vMerge w:val="restart"/>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5"/>
                <w:szCs w:val="15"/>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3220" w:type="dxa"/>
            <w:vAlign w:val="bottom"/>
            <w:gridSpan w:val="4"/>
            <w:vMerge w:val="restart"/>
          </w:tcPr>
          <w:p>
            <w:pPr>
              <w:ind w:left="160"/>
              <w:spacing w:after="0" w:line="176" w:lineRule="exact"/>
              <w:rPr>
                <w:sz w:val="20"/>
                <w:szCs w:val="20"/>
                <w:color w:val="auto"/>
              </w:rPr>
            </w:pPr>
            <w:r>
              <w:rPr>
                <w:rFonts w:ascii="Arial" w:cs="Arial" w:eastAsia="Arial" w:hAnsi="Arial"/>
                <w:sz w:val="18"/>
                <w:szCs w:val="18"/>
                <w:color w:val="0000FF"/>
              </w:rPr>
              <w:t>03/12/2019</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3220" w:type="dxa"/>
            <w:vAlign w:val="bottom"/>
            <w:gridSpan w:val="4"/>
            <w:vMerge w:val="continue"/>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5599 SAN FELIPE, 17TH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EVP Technology</w:t>
      </w:r>
    </w:p>
    <w:p>
      <w:pPr>
        <w:spacing w:after="0" w:line="315"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p>
      <w:pPr>
        <w:spacing w:after="0" w:line="174"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480" w:type="dxa"/>
            <w:vAlign w:val="bottom"/>
          </w:tcPr>
          <w:p>
            <w:pPr>
              <w:spacing w:after="0"/>
              <w:rPr>
                <w:sz w:val="14"/>
                <w:szCs w:val="14"/>
                <w:color w:val="auto"/>
              </w:rPr>
            </w:pPr>
          </w:p>
        </w:tc>
        <w:tc>
          <w:tcPr>
            <w:tcW w:w="130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4"/>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300" w:type="dxa"/>
            <w:vAlign w:val="bottom"/>
            <w:tcBorders>
              <w:bottom w:val="single" w:sz="8" w:color="2C2C2C"/>
            </w:tcBorders>
            <w:gridSpan w:val="2"/>
          </w:tcPr>
          <w:p>
            <w:pPr>
              <w:jc w:val="right"/>
              <w:ind w:right="119"/>
              <w:spacing w:after="0"/>
              <w:rPr>
                <w:sz w:val="20"/>
                <w:szCs w:val="20"/>
                <w:color w:val="auto"/>
              </w:rPr>
            </w:pPr>
            <w:r>
              <w:rPr>
                <w:rFonts w:ascii="Arial" w:cs="Arial" w:eastAsia="Arial" w:hAnsi="Arial"/>
                <w:sz w:val="18"/>
                <w:szCs w:val="18"/>
                <w:color w:val="0000FF"/>
              </w:rPr>
              <w:t>03/12/2019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5,489</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4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4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201,299</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8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1300" w:type="dxa"/>
            <w:vAlign w:val="bottom"/>
            <w:gridSpan w:val="2"/>
          </w:tcPr>
          <w:p>
            <w:pPr>
              <w:jc w:val="right"/>
              <w:ind w:right="119"/>
              <w:spacing w:after="0"/>
              <w:rPr>
                <w:sz w:val="20"/>
                <w:szCs w:val="20"/>
                <w:color w:val="auto"/>
              </w:rPr>
            </w:pPr>
            <w:r>
              <w:rPr>
                <w:rFonts w:ascii="Arial" w:cs="Arial" w:eastAsia="Arial" w:hAnsi="Arial"/>
                <w:sz w:val="18"/>
                <w:szCs w:val="18"/>
                <w:color w:val="0000FF"/>
              </w:rPr>
              <w:t>03/12/2019</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Pr>
          <w:p>
            <w:pPr>
              <w:jc w:val="right"/>
              <w:ind w:right="12"/>
              <w:spacing w:after="0"/>
              <w:rPr>
                <w:sz w:val="20"/>
                <w:szCs w:val="20"/>
                <w:color w:val="auto"/>
              </w:rPr>
            </w:pPr>
            <w:r>
              <w:rPr>
                <w:rFonts w:ascii="Arial" w:cs="Arial" w:eastAsia="Arial" w:hAnsi="Arial"/>
                <w:sz w:val="18"/>
                <w:szCs w:val="18"/>
                <w:color w:val="0000FF"/>
              </w:rPr>
              <w:t>2,160</w:t>
            </w:r>
          </w:p>
        </w:tc>
        <w:tc>
          <w:tcPr>
            <w:tcW w:w="680" w:type="dxa"/>
            <w:vAlign w:val="bottom"/>
          </w:tcPr>
          <w:p>
            <w:pPr>
              <w:ind w:left="340"/>
              <w:spacing w:after="0"/>
              <w:rPr>
                <w:sz w:val="20"/>
                <w:szCs w:val="20"/>
                <w:color w:val="auto"/>
              </w:rPr>
            </w:pPr>
            <w:r>
              <w:rPr>
                <w:rFonts w:ascii="Arial" w:cs="Arial" w:eastAsia="Arial" w:hAnsi="Arial"/>
                <w:sz w:val="18"/>
                <w:szCs w:val="18"/>
                <w:color w:val="0000FF"/>
              </w:rPr>
              <w:t>D</w:t>
            </w:r>
          </w:p>
        </w:tc>
        <w:tc>
          <w:tcPr>
            <w:tcW w:w="660" w:type="dxa"/>
            <w:vAlign w:val="bottom"/>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42.52</w:t>
            </w: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6"/>
              </w:rPr>
              <w:t>199,139</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4"/>
            <w:vMerge w:val="restart"/>
          </w:tcPr>
          <w:p>
            <w:pPr>
              <w:ind w:left="60"/>
              <w:spacing w:after="0"/>
              <w:rPr>
                <w:sz w:val="20"/>
                <w:szCs w:val="20"/>
                <w:color w:val="auto"/>
              </w:rPr>
            </w:pPr>
            <w:r>
              <w:rPr>
                <w:rFonts w:ascii="Arial" w:cs="Arial" w:eastAsia="Arial" w:hAnsi="Arial"/>
                <w:sz w:val="18"/>
                <w:szCs w:val="18"/>
                <w:color w:val="0000FF"/>
                <w:w w:val="89"/>
              </w:rPr>
              <w:t>Common Stock, $0.01 Par Value Per Share</w:t>
            </w:r>
          </w:p>
        </w:tc>
        <w:tc>
          <w:tcPr>
            <w:tcW w:w="6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37"/>
              <w:spacing w:after="0"/>
              <w:rPr>
                <w:sz w:val="20"/>
                <w:szCs w:val="20"/>
                <w:color w:val="auto"/>
              </w:rPr>
            </w:pPr>
            <w:r>
              <w:rPr>
                <w:rFonts w:ascii="Arial" w:cs="Arial" w:eastAsia="Arial" w:hAnsi="Arial"/>
                <w:sz w:val="18"/>
                <w:szCs w:val="18"/>
                <w:color w:val="0000FF"/>
                <w:w w:val="88"/>
              </w:rPr>
              <w:t>3,396</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Sl Int'l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4"/>
            <w:vMerge w:val="continue"/>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P/s Plan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40" w:type="dxa"/>
            <w:vAlign w:val="bottom"/>
            <w:tcBorders>
              <w:bottom w:val="single" w:sz="8" w:color="2C2C2C"/>
            </w:tcBorders>
            <w:gridSpan w:val="7"/>
          </w:tcPr>
          <w:p>
            <w:pPr>
              <w:spacing w:after="0"/>
              <w:rPr>
                <w:sz w:val="8"/>
                <w:szCs w:val="8"/>
                <w:color w:val="auto"/>
              </w:rPr>
            </w:pPr>
          </w:p>
        </w:tc>
        <w:tc>
          <w:tcPr>
            <w:tcW w:w="254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jc w:val="center"/>
              <w:ind w:left="9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2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Company granted performance share units ("PSUs") to the reporting person on January 21, 2016. Vesting of the PSUs was based on three-year Company performance relative to select key competitors. Most of these competitors had not reported their 2018 audited financial results when the Company's compensation committee met in January 2019 to certify performance under the PSUs. As a result, the Company's compensation committee approved the issuance of 90% of the shares that the committee determined had been earned according to the information available to the committee at the time. As of March 12, 2019, all such competitors had reported their 2018 audited financial results. Shares of common stock reported hereunder represent shares finally determined to have been earned under the PSUs.</w:t>
      </w:r>
    </w:p>
    <w:p>
      <w:pPr>
        <w:sectPr>
          <w:pgSz w:w="11900" w:h="16838" w:orient="portrait"/>
          <w:cols w:equalWidth="0" w:num="1">
            <w:col w:w="11420"/>
          </w:cols>
          <w:pgMar w:left="240" w:top="226" w:right="239" w:bottom="1440" w:gutter="0" w:footer="0" w:header="0"/>
          <w:type w:val="continuous"/>
        </w:sectPr>
      </w:pPr>
    </w:p>
    <w:p>
      <w:pPr>
        <w:spacing w:after="0" w:line="38"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/s/ Saul R. Laureles,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3620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11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color w:val="0000FF"/>
        </w:rPr>
        <w:t>03/14/2019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20" w:space="1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70997"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2019-12-23T21:23:30Z</dcterms:created>
  <dcterms:modified xsi:type="dcterms:W3CDTF">2019-12-23T21:23:30Z</dcterms:modified>
</cp:coreProperties>
</file>