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Laureles Saul R.</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620" w:type="dxa"/>
            <w:vAlign w:val="bottom"/>
            <w:tcBorders>
              <w:top w:val="single" w:sz="8" w:color="0000EE"/>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Director, Corporate Legal</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0000FF"/>
                <w:w w:val="88"/>
              </w:rPr>
              <w:t>01/17/2020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89"/>
              <w:spacing w:after="0"/>
              <w:rPr>
                <w:sz w:val="20"/>
                <w:szCs w:val="20"/>
                <w:color w:val="auto"/>
              </w:rPr>
            </w:pPr>
            <w:r>
              <w:rPr>
                <w:rFonts w:ascii="Arial" w:cs="Arial" w:eastAsia="Arial" w:hAnsi="Arial"/>
                <w:sz w:val="18"/>
                <w:szCs w:val="18"/>
                <w:color w:val="0000FF"/>
                <w:w w:val="85"/>
              </w:rPr>
              <w:t>3,934</w:t>
            </w:r>
            <w:r>
              <w:rPr>
                <w:rFonts w:ascii="Arial" w:cs="Arial" w:eastAsia="Arial" w:hAnsi="Arial"/>
                <w:sz w:val="22"/>
                <w:szCs w:val="22"/>
                <w:color w:val="008000"/>
                <w:w w:val="85"/>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500" w:type="dxa"/>
            <w:vAlign w:val="bottom"/>
            <w:tcBorders>
              <w:bottom w:val="single" w:sz="8" w:color="2C2C2C"/>
            </w:tcBorders>
            <w:gridSpan w:val="3"/>
          </w:tcPr>
          <w:p>
            <w:pPr>
              <w:jc w:val="center"/>
              <w:ind w:left="154"/>
              <w:spacing w:after="0"/>
              <w:rPr>
                <w:sz w:val="20"/>
                <w:szCs w:val="20"/>
                <w:color w:val="auto"/>
              </w:rPr>
            </w:pPr>
            <w:r>
              <w:rPr>
                <w:rFonts w:ascii="Arial" w:cs="Arial" w:eastAsia="Arial" w:hAnsi="Arial"/>
                <w:sz w:val="18"/>
                <w:szCs w:val="18"/>
                <w:color w:val="0000FF"/>
                <w:w w:val="82"/>
              </w:rPr>
              <w:t>9,630</w:t>
            </w:r>
            <w:r>
              <w:rPr>
                <w:rFonts w:ascii="Arial" w:cs="Arial" w:eastAsia="Arial" w:hAnsi="Arial"/>
                <w:sz w:val="22"/>
                <w:szCs w:val="22"/>
                <w:color w:val="008000"/>
                <w:w w:val="82"/>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0000FF"/>
                <w:w w:val="88"/>
              </w:rPr>
              <w:t>01/17/2020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89"/>
              <w:spacing w:after="0"/>
              <w:rPr>
                <w:sz w:val="20"/>
                <w:szCs w:val="20"/>
                <w:color w:val="auto"/>
              </w:rPr>
            </w:pPr>
            <w:r>
              <w:rPr>
                <w:rFonts w:ascii="Arial" w:cs="Arial" w:eastAsia="Arial" w:hAnsi="Arial"/>
                <w:sz w:val="18"/>
                <w:szCs w:val="18"/>
                <w:color w:val="0000FF"/>
                <w:w w:val="85"/>
              </w:rPr>
              <w:t>8,500</w:t>
            </w:r>
            <w:r>
              <w:rPr>
                <w:rFonts w:ascii="Arial" w:cs="Arial" w:eastAsia="Arial" w:hAnsi="Arial"/>
                <w:sz w:val="22"/>
                <w:szCs w:val="22"/>
                <w:color w:val="008000"/>
                <w:w w:val="85"/>
                <w:vertAlign w:val="superscript"/>
              </w:rPr>
              <w:t>(3)</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18,130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gridSpan w:val="2"/>
          </w:tcPr>
          <w:p>
            <w:pPr>
              <w:jc w:val="center"/>
              <w:ind w:left="4"/>
              <w:spacing w:after="0"/>
              <w:rPr>
                <w:sz w:val="20"/>
                <w:szCs w:val="20"/>
                <w:color w:val="auto"/>
              </w:rPr>
            </w:pPr>
            <w:r>
              <w:rPr>
                <w:rFonts w:ascii="Arial" w:cs="Arial" w:eastAsia="Arial" w:hAnsi="Arial"/>
                <w:sz w:val="18"/>
                <w:szCs w:val="18"/>
                <w:color w:val="0000FF"/>
                <w:w w:val="88"/>
              </w:rPr>
              <w:t>01/17/2020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89"/>
              <w:spacing w:after="0"/>
              <w:rPr>
                <w:sz w:val="20"/>
                <w:szCs w:val="20"/>
                <w:color w:val="auto"/>
              </w:rPr>
            </w:pPr>
            <w:r>
              <w:rPr>
                <w:rFonts w:ascii="Arial" w:cs="Arial" w:eastAsia="Arial" w:hAnsi="Arial"/>
                <w:sz w:val="18"/>
                <w:szCs w:val="18"/>
                <w:color w:val="0000FF"/>
                <w:w w:val="84"/>
              </w:rPr>
              <w:t>3,165</w:t>
            </w:r>
          </w:p>
        </w:tc>
        <w:tc>
          <w:tcPr>
            <w:tcW w:w="460" w:type="dxa"/>
            <w:vAlign w:val="bottom"/>
          </w:tcPr>
          <w:p>
            <w:pPr>
              <w:ind w:left="32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39.075</w:t>
            </w:r>
          </w:p>
        </w:tc>
        <w:tc>
          <w:tcPr>
            <w:tcW w:w="340" w:type="dxa"/>
            <w:vAlign w:val="bottom"/>
          </w:tcPr>
          <w:p>
            <w:pPr>
              <w:spacing w:after="0"/>
              <w:rPr>
                <w:sz w:val="23"/>
                <w:szCs w:val="23"/>
                <w:color w:val="auto"/>
              </w:rPr>
            </w:pPr>
          </w:p>
        </w:tc>
        <w:tc>
          <w:tcPr>
            <w:tcW w:w="900" w:type="dxa"/>
            <w:vAlign w:val="bottom"/>
          </w:tcPr>
          <w:p>
            <w:pPr>
              <w:jc w:val="center"/>
              <w:ind w:right="314"/>
              <w:spacing w:after="0"/>
              <w:rPr>
                <w:sz w:val="20"/>
                <w:szCs w:val="20"/>
                <w:color w:val="auto"/>
              </w:rPr>
            </w:pPr>
            <w:r>
              <w:rPr>
                <w:rFonts w:ascii="Arial" w:cs="Arial" w:eastAsia="Arial" w:hAnsi="Arial"/>
                <w:sz w:val="18"/>
                <w:szCs w:val="18"/>
                <w:color w:val="0000FF"/>
                <w:w w:val="87"/>
              </w:rPr>
              <w:t>14,965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17, 2020 upon achievement of the performance criteria and vesting of performance share units granted on January 19, 2017.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237 shares for the period ended December 31, 2019, that were acquired under the Schlumberger discounted stock purchase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Saul R. Laureles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01/21/2020</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286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2020-01-21T19:16:55Z</dcterms:created>
  <dcterms:modified xsi:type="dcterms:W3CDTF">2020-01-21T19:16:55Z</dcterms:modified>
</cp:coreProperties>
</file>