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207010</wp:posOffset>
            </wp:positionH>
            <wp:positionV relativeFrom="page">
              <wp:posOffset>401955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469265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5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spacing w:after="0" w:line="2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37"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-153670</wp:posOffset>
            </wp:positionV>
            <wp:extent cx="1419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9860" cy="8255"/>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57150</wp:posOffset>
            </wp:positionV>
            <wp:extent cx="1419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7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1" w:lineRule="exact"/>
        <w:rPr>
          <w:sz w:val="24"/>
          <w:szCs w:val="24"/>
          <w:color w:val="auto"/>
        </w:rPr>
      </w:pPr>
    </w:p>
    <w:p>
      <w:pPr>
        <w:ind w:left="520" w:hanging="500"/>
        <w:spacing w:after="0"/>
        <w:tabs>
          <w:tab w:leader="none" w:pos="52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fiscal year ended December 31, 2024</w:t>
      </w:r>
    </w:p>
    <w:p>
      <w:pPr>
        <w:jc w:val="center"/>
        <w:ind w:right="40"/>
        <w:spacing w:after="0" w:line="229" w:lineRule="auto"/>
        <w:rPr>
          <w:sz w:val="20"/>
          <w:szCs w:val="20"/>
          <w:color w:val="auto"/>
        </w:rPr>
      </w:pPr>
      <w:r>
        <w:rPr>
          <w:rFonts w:ascii="Arial" w:cs="Arial" w:eastAsia="Arial" w:hAnsi="Arial"/>
          <w:sz w:val="15"/>
          <w:szCs w:val="15"/>
          <w:b w:val="1"/>
          <w:bCs w:val="1"/>
          <w:color w:val="auto"/>
        </w:rPr>
        <w:t>OR</w:t>
      </w:r>
    </w:p>
    <w:p>
      <w:pPr>
        <w:spacing w:after="0" w:line="1" w:lineRule="exact"/>
        <w:rPr>
          <w:sz w:val="24"/>
          <w:szCs w:val="24"/>
          <w:color w:val="auto"/>
        </w:rPr>
      </w:pPr>
    </w:p>
    <w:p>
      <w:pPr>
        <w:ind w:left="520" w:hanging="500"/>
        <w:spacing w:after="0"/>
        <w:tabs>
          <w:tab w:leader="none" w:pos="52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45" w:lineRule="exact"/>
        <w:rPr>
          <w:sz w:val="24"/>
          <w:szCs w:val="24"/>
          <w:color w:val="auto"/>
        </w:rPr>
      </w:pPr>
    </w:p>
    <w:p>
      <w:pPr>
        <w:ind w:left="3820"/>
        <w:spacing w:after="0"/>
        <w:rPr>
          <w:sz w:val="20"/>
          <w:szCs w:val="20"/>
          <w:color w:val="auto"/>
        </w:rPr>
      </w:pPr>
      <w:r>
        <w:rPr>
          <w:rFonts w:ascii="Arial" w:cs="Arial" w:eastAsia="Arial" w:hAnsi="Arial"/>
          <w:sz w:val="13"/>
          <w:szCs w:val="13"/>
          <w:b w:val="1"/>
          <w:bCs w:val="1"/>
          <w:color w:val="auto"/>
        </w:rPr>
        <w:t xml:space="preserve">For the transition period from </w:t>
      </w:r>
      <w:r>
        <w:rPr>
          <w:rFonts w:ascii="Arial" w:cs="Arial" w:eastAsia="Arial" w:hAnsi="Arial"/>
          <w:sz w:val="13"/>
          <w:szCs w:val="13"/>
          <w:b w:val="1"/>
          <w:bCs w:val="1"/>
          <w:u w:val="single" w:color="auto"/>
          <w:color w:val="auto"/>
        </w:rPr>
        <w:t>__________</w:t>
      </w:r>
      <w:r>
        <w:rPr>
          <w:rFonts w:ascii="Arial" w:cs="Arial" w:eastAsia="Arial" w:hAnsi="Arial"/>
          <w:sz w:val="13"/>
          <w:szCs w:val="13"/>
          <w:b w:val="1"/>
          <w:bCs w:val="1"/>
          <w:color w:val="auto"/>
        </w:rPr>
        <w:t xml:space="preserve"> to </w:t>
      </w:r>
      <w:r>
        <w:rPr>
          <w:rFonts w:ascii="Arial" w:cs="Arial" w:eastAsia="Arial" w:hAnsi="Arial"/>
          <w:sz w:val="13"/>
          <w:szCs w:val="13"/>
          <w:b w:val="1"/>
          <w:bCs w:val="1"/>
          <w:u w:val="single" w:color="auto"/>
          <w:color w:val="auto"/>
        </w:rPr>
        <w:t>__________</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Commission File Number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43815</wp:posOffset>
            </wp:positionV>
            <wp:extent cx="1419860" cy="878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9860" cy="8788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80"/>
        <w:spacing w:after="0"/>
        <w:rPr>
          <w:sz w:val="20"/>
          <w:szCs w:val="20"/>
          <w:color w:val="auto"/>
        </w:rPr>
      </w:pPr>
      <w:r>
        <w:rPr>
          <w:rFonts w:ascii="Arial" w:cs="Arial" w:eastAsia="Arial" w:hAnsi="Arial"/>
          <w:sz w:val="24"/>
          <w:szCs w:val="24"/>
          <w:b w:val="1"/>
          <w:bCs w:val="1"/>
          <w:color w:val="auto"/>
        </w:rPr>
        <w:t>Schlumberger N.V. (Schlumberger Limited)</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40640</wp:posOffset>
            </wp:positionV>
            <wp:extent cx="1419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78" w:lineRule="exact"/>
        <w:rPr>
          <w:sz w:val="24"/>
          <w:szCs w:val="24"/>
          <w:color w:val="auto"/>
        </w:rPr>
      </w:pPr>
    </w:p>
    <w:tbl>
      <w:tblPr>
        <w:tblLayout w:type="fixed"/>
        <w:tblInd w:w="1160" w:type="dxa"/>
        <w:tblCellMar>
          <w:top w:w="0" w:type="dxa"/>
          <w:left w:w="0" w:type="dxa"/>
          <w:bottom w:w="0" w:type="dxa"/>
          <w:right w:w="0" w:type="dxa"/>
        </w:tblCellMar>
      </w:tblPr>
      <w:tr>
        <w:trPr>
          <w:trHeight w:val="161"/>
        </w:trPr>
        <w:tc>
          <w:tcPr>
            <w:tcW w:w="4820" w:type="dxa"/>
            <w:vAlign w:val="bottom"/>
          </w:tcPr>
          <w:p>
            <w:pPr>
              <w:jc w:val="center"/>
              <w:ind w:right="1551"/>
              <w:spacing w:after="0"/>
              <w:rPr>
                <w:sz w:val="20"/>
                <w:szCs w:val="20"/>
                <w:color w:val="auto"/>
              </w:rPr>
            </w:pPr>
            <w:r>
              <w:rPr>
                <w:rFonts w:ascii="Arial" w:cs="Arial" w:eastAsia="Arial" w:hAnsi="Arial"/>
                <w:sz w:val="14"/>
                <w:szCs w:val="14"/>
                <w:b w:val="1"/>
                <w:bCs w:val="1"/>
                <w:color w:val="auto"/>
                <w:w w:val="99"/>
              </w:rPr>
              <w:t>Curaçao</w:t>
            </w:r>
          </w:p>
        </w:tc>
        <w:tc>
          <w:tcPr>
            <w:tcW w:w="3420" w:type="dxa"/>
            <w:vAlign w:val="bottom"/>
          </w:tcPr>
          <w:p>
            <w:pPr>
              <w:jc w:val="center"/>
              <w:ind w:left="1552"/>
              <w:spacing w:after="0"/>
              <w:rPr>
                <w:sz w:val="20"/>
                <w:szCs w:val="20"/>
                <w:color w:val="auto"/>
              </w:rPr>
            </w:pPr>
            <w:r>
              <w:rPr>
                <w:rFonts w:ascii="Arial" w:cs="Arial" w:eastAsia="Arial" w:hAnsi="Arial"/>
                <w:sz w:val="14"/>
                <w:szCs w:val="14"/>
                <w:b w:val="1"/>
                <w:bCs w:val="1"/>
                <w:color w:val="auto"/>
              </w:rPr>
              <w:t>52-0684746</w:t>
            </w:r>
          </w:p>
        </w:tc>
      </w:tr>
      <w:tr>
        <w:trPr>
          <w:trHeight w:val="164"/>
        </w:trPr>
        <w:tc>
          <w:tcPr>
            <w:tcW w:w="4820" w:type="dxa"/>
            <w:vAlign w:val="bottom"/>
          </w:tcPr>
          <w:p>
            <w:pPr>
              <w:jc w:val="center"/>
              <w:ind w:right="1551"/>
              <w:spacing w:after="0"/>
              <w:rPr>
                <w:sz w:val="20"/>
                <w:szCs w:val="20"/>
                <w:color w:val="auto"/>
              </w:rPr>
            </w:pPr>
            <w:r>
              <w:rPr>
                <w:rFonts w:ascii="Arial" w:cs="Arial" w:eastAsia="Arial" w:hAnsi="Arial"/>
                <w:sz w:val="12"/>
                <w:szCs w:val="12"/>
                <w:color w:val="auto"/>
              </w:rPr>
              <w:t>(State or other jurisdiction of incorporation or organization)</w:t>
            </w:r>
          </w:p>
        </w:tc>
        <w:tc>
          <w:tcPr>
            <w:tcW w:w="3420" w:type="dxa"/>
            <w:vAlign w:val="bottom"/>
          </w:tcPr>
          <w:p>
            <w:pPr>
              <w:jc w:val="center"/>
              <w:ind w:left="1532"/>
              <w:spacing w:after="0"/>
              <w:rPr>
                <w:sz w:val="20"/>
                <w:szCs w:val="20"/>
                <w:color w:val="auto"/>
              </w:rPr>
            </w:pPr>
            <w:r>
              <w:rPr>
                <w:rFonts w:ascii="Arial" w:cs="Arial" w:eastAsia="Arial" w:hAnsi="Arial"/>
                <w:sz w:val="12"/>
                <w:szCs w:val="12"/>
                <w:color w:val="auto"/>
              </w:rPr>
              <w:t>(IRS Employer Identification No.)</w:t>
            </w:r>
          </w:p>
        </w:tc>
      </w:tr>
      <w:tr>
        <w:trPr>
          <w:trHeight w:val="177"/>
        </w:trPr>
        <w:tc>
          <w:tcPr>
            <w:tcW w:w="4820" w:type="dxa"/>
            <w:vAlign w:val="bottom"/>
          </w:tcPr>
          <w:p>
            <w:pPr>
              <w:jc w:val="center"/>
              <w:ind w:right="1531"/>
              <w:spacing w:after="0"/>
              <w:rPr>
                <w:sz w:val="20"/>
                <w:szCs w:val="20"/>
                <w:color w:val="auto"/>
              </w:rPr>
            </w:pPr>
            <w:r>
              <w:rPr>
                <w:rFonts w:ascii="Arial" w:cs="Arial" w:eastAsia="Arial" w:hAnsi="Arial"/>
                <w:sz w:val="14"/>
                <w:szCs w:val="14"/>
                <w:b w:val="1"/>
                <w:bCs w:val="1"/>
                <w:color w:val="auto"/>
              </w:rPr>
              <w:t>42 rue Saint-Dominique</w:t>
            </w:r>
          </w:p>
        </w:tc>
        <w:tc>
          <w:tcPr>
            <w:tcW w:w="3420" w:type="dxa"/>
            <w:vAlign w:val="bottom"/>
          </w:tcPr>
          <w:p>
            <w:pPr>
              <w:spacing w:after="0"/>
              <w:rPr>
                <w:sz w:val="15"/>
                <w:szCs w:val="15"/>
                <w:color w:val="auto"/>
              </w:rPr>
            </w:pPr>
          </w:p>
        </w:tc>
      </w:tr>
      <w:tr>
        <w:trPr>
          <w:trHeight w:val="182"/>
        </w:trPr>
        <w:tc>
          <w:tcPr>
            <w:tcW w:w="4820" w:type="dxa"/>
            <w:vAlign w:val="bottom"/>
          </w:tcPr>
          <w:p>
            <w:pPr>
              <w:jc w:val="center"/>
              <w:ind w:right="1551"/>
              <w:spacing w:after="0"/>
              <w:rPr>
                <w:sz w:val="20"/>
                <w:szCs w:val="20"/>
                <w:color w:val="auto"/>
              </w:rPr>
            </w:pPr>
            <w:r>
              <w:rPr>
                <w:rFonts w:ascii="Arial" w:cs="Arial" w:eastAsia="Arial" w:hAnsi="Arial"/>
                <w:sz w:val="14"/>
                <w:szCs w:val="14"/>
                <w:b w:val="1"/>
                <w:bCs w:val="1"/>
                <w:color w:val="auto"/>
              </w:rPr>
              <w:t>Paris, France</w:t>
            </w:r>
          </w:p>
        </w:tc>
        <w:tc>
          <w:tcPr>
            <w:tcW w:w="3420" w:type="dxa"/>
            <w:vAlign w:val="bottom"/>
          </w:tcPr>
          <w:p>
            <w:pPr>
              <w:jc w:val="center"/>
              <w:ind w:left="1552"/>
              <w:spacing w:after="0"/>
              <w:rPr>
                <w:sz w:val="20"/>
                <w:szCs w:val="20"/>
                <w:color w:val="auto"/>
              </w:rPr>
            </w:pPr>
            <w:r>
              <w:rPr>
                <w:rFonts w:ascii="Arial" w:cs="Arial" w:eastAsia="Arial" w:hAnsi="Arial"/>
                <w:sz w:val="14"/>
                <w:szCs w:val="14"/>
                <w:b w:val="1"/>
                <w:bCs w:val="1"/>
                <w:color w:val="auto"/>
              </w:rPr>
              <w:t>75007</w:t>
            </w:r>
          </w:p>
        </w:tc>
      </w:tr>
      <w:tr>
        <w:trPr>
          <w:trHeight w:val="178"/>
        </w:trPr>
        <w:tc>
          <w:tcPr>
            <w:tcW w:w="4820" w:type="dxa"/>
            <w:vAlign w:val="bottom"/>
          </w:tcPr>
          <w:p>
            <w:pPr>
              <w:jc w:val="center"/>
              <w:ind w:right="1531"/>
              <w:spacing w:after="0" w:line="178" w:lineRule="exact"/>
              <w:rPr>
                <w:sz w:val="20"/>
                <w:szCs w:val="20"/>
                <w:color w:val="auto"/>
              </w:rPr>
            </w:pPr>
            <w:r>
              <w:rPr>
                <w:rFonts w:ascii="Arial" w:cs="Arial" w:eastAsia="Arial" w:hAnsi="Arial"/>
                <w:sz w:val="14"/>
                <w:szCs w:val="14"/>
                <w:b w:val="1"/>
                <w:bCs w:val="1"/>
                <w:color w:val="auto"/>
                <w:w w:val="99"/>
              </w:rPr>
              <w:t>5599 San Felipe, 17</w:t>
            </w:r>
            <w:r>
              <w:rPr>
                <w:rFonts w:ascii="Arial" w:cs="Arial" w:eastAsia="Arial" w:hAnsi="Arial"/>
                <w:sz w:val="19"/>
                <w:szCs w:val="19"/>
                <w:b w:val="1"/>
                <w:bCs w:val="1"/>
                <w:color w:val="auto"/>
                <w:w w:val="99"/>
                <w:vertAlign w:val="superscript"/>
              </w:rPr>
              <w:t>th</w:t>
            </w:r>
            <w:r>
              <w:rPr>
                <w:rFonts w:ascii="Arial" w:cs="Arial" w:eastAsia="Arial" w:hAnsi="Arial"/>
                <w:sz w:val="14"/>
                <w:szCs w:val="14"/>
                <w:b w:val="1"/>
                <w:bCs w:val="1"/>
                <w:color w:val="auto"/>
                <w:w w:val="99"/>
              </w:rPr>
              <w:t xml:space="preserve"> Floor</w:t>
            </w:r>
          </w:p>
        </w:tc>
        <w:tc>
          <w:tcPr>
            <w:tcW w:w="3420" w:type="dxa"/>
            <w:vAlign w:val="bottom"/>
          </w:tcPr>
          <w:p>
            <w:pPr>
              <w:spacing w:after="0"/>
              <w:rPr>
                <w:sz w:val="15"/>
                <w:szCs w:val="15"/>
                <w:color w:val="auto"/>
              </w:rPr>
            </w:pPr>
          </w:p>
        </w:tc>
      </w:tr>
      <w:tr>
        <w:trPr>
          <w:trHeight w:val="194"/>
        </w:trPr>
        <w:tc>
          <w:tcPr>
            <w:tcW w:w="4820" w:type="dxa"/>
            <w:vAlign w:val="bottom"/>
          </w:tcPr>
          <w:p>
            <w:pPr>
              <w:jc w:val="center"/>
              <w:ind w:right="1551"/>
              <w:spacing w:after="0"/>
              <w:rPr>
                <w:sz w:val="20"/>
                <w:szCs w:val="20"/>
                <w:color w:val="auto"/>
              </w:rPr>
            </w:pPr>
            <w:r>
              <w:rPr>
                <w:rFonts w:ascii="Arial" w:cs="Arial" w:eastAsia="Arial" w:hAnsi="Arial"/>
                <w:sz w:val="14"/>
                <w:szCs w:val="14"/>
                <w:b w:val="1"/>
                <w:bCs w:val="1"/>
                <w:color w:val="auto"/>
              </w:rPr>
              <w:t>Houston, Texas, United States of America</w:t>
            </w:r>
          </w:p>
        </w:tc>
        <w:tc>
          <w:tcPr>
            <w:tcW w:w="3420" w:type="dxa"/>
            <w:vAlign w:val="bottom"/>
          </w:tcPr>
          <w:p>
            <w:pPr>
              <w:jc w:val="center"/>
              <w:ind w:left="1552"/>
              <w:spacing w:after="0"/>
              <w:rPr>
                <w:sz w:val="20"/>
                <w:szCs w:val="20"/>
                <w:color w:val="auto"/>
              </w:rPr>
            </w:pPr>
            <w:r>
              <w:rPr>
                <w:rFonts w:ascii="Arial" w:cs="Arial" w:eastAsia="Arial" w:hAnsi="Arial"/>
                <w:sz w:val="14"/>
                <w:szCs w:val="14"/>
                <w:b w:val="1"/>
                <w:bCs w:val="1"/>
                <w:color w:val="auto"/>
              </w:rPr>
              <w:t>77056</w:t>
            </w:r>
          </w:p>
        </w:tc>
      </w:tr>
      <w:tr>
        <w:trPr>
          <w:trHeight w:val="165"/>
        </w:trPr>
        <w:tc>
          <w:tcPr>
            <w:tcW w:w="4820" w:type="dxa"/>
            <w:vAlign w:val="bottom"/>
          </w:tcPr>
          <w:p>
            <w:pPr>
              <w:jc w:val="center"/>
              <w:ind w:right="1551"/>
              <w:spacing w:after="0"/>
              <w:rPr>
                <w:sz w:val="20"/>
                <w:szCs w:val="20"/>
                <w:color w:val="auto"/>
              </w:rPr>
            </w:pPr>
            <w:r>
              <w:rPr>
                <w:rFonts w:ascii="Arial" w:cs="Arial" w:eastAsia="Arial" w:hAnsi="Arial"/>
                <w:sz w:val="14"/>
                <w:szCs w:val="14"/>
                <w:b w:val="1"/>
                <w:bCs w:val="1"/>
                <w:color w:val="auto"/>
              </w:rPr>
              <w:t>62 Buckingham Gate</w:t>
            </w:r>
          </w:p>
        </w:tc>
        <w:tc>
          <w:tcPr>
            <w:tcW w:w="3420" w:type="dxa"/>
            <w:vAlign w:val="bottom"/>
          </w:tcPr>
          <w:p>
            <w:pPr>
              <w:spacing w:after="0"/>
              <w:rPr>
                <w:sz w:val="14"/>
                <w:szCs w:val="14"/>
                <w:color w:val="auto"/>
              </w:rPr>
            </w:pPr>
          </w:p>
        </w:tc>
      </w:tr>
      <w:tr>
        <w:trPr>
          <w:trHeight w:val="194"/>
        </w:trPr>
        <w:tc>
          <w:tcPr>
            <w:tcW w:w="4820" w:type="dxa"/>
            <w:vAlign w:val="bottom"/>
          </w:tcPr>
          <w:p>
            <w:pPr>
              <w:jc w:val="center"/>
              <w:ind w:right="1551"/>
              <w:spacing w:after="0"/>
              <w:rPr>
                <w:sz w:val="20"/>
                <w:szCs w:val="20"/>
                <w:color w:val="auto"/>
              </w:rPr>
            </w:pPr>
            <w:r>
              <w:rPr>
                <w:rFonts w:ascii="Arial" w:cs="Arial" w:eastAsia="Arial" w:hAnsi="Arial"/>
                <w:sz w:val="14"/>
                <w:szCs w:val="14"/>
                <w:b w:val="1"/>
                <w:bCs w:val="1"/>
                <w:color w:val="auto"/>
              </w:rPr>
              <w:t>London, United Kingdom</w:t>
            </w:r>
          </w:p>
        </w:tc>
        <w:tc>
          <w:tcPr>
            <w:tcW w:w="3420" w:type="dxa"/>
            <w:vAlign w:val="bottom"/>
          </w:tcPr>
          <w:p>
            <w:pPr>
              <w:jc w:val="center"/>
              <w:ind w:left="1532"/>
              <w:spacing w:after="0"/>
              <w:rPr>
                <w:sz w:val="20"/>
                <w:szCs w:val="20"/>
                <w:color w:val="auto"/>
              </w:rPr>
            </w:pPr>
            <w:r>
              <w:rPr>
                <w:rFonts w:ascii="Arial" w:cs="Arial" w:eastAsia="Arial" w:hAnsi="Arial"/>
                <w:sz w:val="14"/>
                <w:szCs w:val="14"/>
                <w:b w:val="1"/>
                <w:bCs w:val="1"/>
                <w:color w:val="auto"/>
              </w:rPr>
              <w:t>SW1E 6AJ</w:t>
            </w:r>
          </w:p>
        </w:tc>
      </w:tr>
      <w:tr>
        <w:trPr>
          <w:trHeight w:val="165"/>
        </w:trPr>
        <w:tc>
          <w:tcPr>
            <w:tcW w:w="4820" w:type="dxa"/>
            <w:vAlign w:val="bottom"/>
          </w:tcPr>
          <w:p>
            <w:pPr>
              <w:jc w:val="center"/>
              <w:ind w:right="1551"/>
              <w:spacing w:after="0"/>
              <w:rPr>
                <w:sz w:val="20"/>
                <w:szCs w:val="20"/>
                <w:color w:val="auto"/>
              </w:rPr>
            </w:pPr>
            <w:r>
              <w:rPr>
                <w:rFonts w:ascii="Arial" w:cs="Arial" w:eastAsia="Arial" w:hAnsi="Arial"/>
                <w:sz w:val="14"/>
                <w:szCs w:val="14"/>
                <w:b w:val="1"/>
                <w:bCs w:val="1"/>
                <w:color w:val="auto"/>
              </w:rPr>
              <w:t>Parkstraat 83</w:t>
            </w:r>
          </w:p>
        </w:tc>
        <w:tc>
          <w:tcPr>
            <w:tcW w:w="3420" w:type="dxa"/>
            <w:vAlign w:val="bottom"/>
          </w:tcPr>
          <w:p>
            <w:pPr>
              <w:spacing w:after="0"/>
              <w:rPr>
                <w:sz w:val="14"/>
                <w:szCs w:val="14"/>
                <w:color w:val="auto"/>
              </w:rPr>
            </w:pPr>
          </w:p>
        </w:tc>
      </w:tr>
      <w:tr>
        <w:trPr>
          <w:trHeight w:val="151"/>
        </w:trPr>
        <w:tc>
          <w:tcPr>
            <w:tcW w:w="4820" w:type="dxa"/>
            <w:vAlign w:val="bottom"/>
          </w:tcPr>
          <w:p>
            <w:pPr>
              <w:jc w:val="center"/>
              <w:ind w:right="1551"/>
              <w:spacing w:after="0" w:line="151" w:lineRule="exact"/>
              <w:rPr>
                <w:sz w:val="20"/>
                <w:szCs w:val="20"/>
                <w:color w:val="auto"/>
              </w:rPr>
            </w:pPr>
            <w:r>
              <w:rPr>
                <w:rFonts w:ascii="Arial" w:cs="Arial" w:eastAsia="Arial" w:hAnsi="Arial"/>
                <w:sz w:val="14"/>
                <w:szCs w:val="14"/>
                <w:b w:val="1"/>
                <w:bCs w:val="1"/>
                <w:color w:val="auto"/>
              </w:rPr>
              <w:t>The Hague, The Netherlands</w:t>
            </w:r>
          </w:p>
        </w:tc>
        <w:tc>
          <w:tcPr>
            <w:tcW w:w="3420" w:type="dxa"/>
            <w:vAlign w:val="bottom"/>
          </w:tcPr>
          <w:p>
            <w:pPr>
              <w:jc w:val="center"/>
              <w:ind w:left="1532"/>
              <w:spacing w:after="0" w:line="151" w:lineRule="exact"/>
              <w:rPr>
                <w:sz w:val="20"/>
                <w:szCs w:val="20"/>
                <w:color w:val="auto"/>
              </w:rPr>
            </w:pPr>
            <w:r>
              <w:rPr>
                <w:rFonts w:ascii="Arial" w:cs="Arial" w:eastAsia="Arial" w:hAnsi="Arial"/>
                <w:sz w:val="14"/>
                <w:szCs w:val="14"/>
                <w:b w:val="1"/>
                <w:bCs w:val="1"/>
                <w:color w:val="auto"/>
              </w:rPr>
              <w:t>2514 JG</w:t>
            </w:r>
          </w:p>
        </w:tc>
      </w:tr>
      <w:tr>
        <w:trPr>
          <w:trHeight w:val="164"/>
        </w:trPr>
        <w:tc>
          <w:tcPr>
            <w:tcW w:w="4820" w:type="dxa"/>
            <w:vAlign w:val="bottom"/>
          </w:tcPr>
          <w:p>
            <w:pPr>
              <w:jc w:val="center"/>
              <w:ind w:right="1531"/>
              <w:spacing w:after="0"/>
              <w:rPr>
                <w:sz w:val="20"/>
                <w:szCs w:val="20"/>
                <w:color w:val="auto"/>
              </w:rPr>
            </w:pPr>
            <w:r>
              <w:rPr>
                <w:rFonts w:ascii="Arial" w:cs="Arial" w:eastAsia="Arial" w:hAnsi="Arial"/>
                <w:sz w:val="12"/>
                <w:szCs w:val="12"/>
                <w:color w:val="auto"/>
              </w:rPr>
              <w:t>(Addresses of principal executive offices)</w:t>
            </w:r>
          </w:p>
        </w:tc>
        <w:tc>
          <w:tcPr>
            <w:tcW w:w="3420" w:type="dxa"/>
            <w:vAlign w:val="bottom"/>
          </w:tcPr>
          <w:p>
            <w:pPr>
              <w:jc w:val="center"/>
              <w:ind w:left="1532"/>
              <w:spacing w:after="0"/>
              <w:rPr>
                <w:sz w:val="20"/>
                <w:szCs w:val="20"/>
                <w:color w:val="auto"/>
              </w:rPr>
            </w:pPr>
            <w:r>
              <w:rPr>
                <w:rFonts w:ascii="Arial" w:cs="Arial" w:eastAsia="Arial" w:hAnsi="Arial"/>
                <w:sz w:val="12"/>
                <w:szCs w:val="12"/>
                <w:color w:val="auto"/>
              </w:rPr>
              <w:t>(Zip Codes)</w:t>
            </w:r>
          </w:p>
        </w:tc>
      </w:tr>
    </w:tbl>
    <w:p>
      <w:pPr>
        <w:spacing w:after="0" w:line="4" w:lineRule="exact"/>
        <w:rPr>
          <w:sz w:val="24"/>
          <w:szCs w:val="24"/>
          <w:color w:val="auto"/>
        </w:rPr>
      </w:pPr>
    </w:p>
    <w:p>
      <w:pPr>
        <w:ind w:left="3340"/>
        <w:spacing w:after="0"/>
        <w:rPr>
          <w:sz w:val="20"/>
          <w:szCs w:val="20"/>
          <w:color w:val="auto"/>
        </w:rPr>
      </w:pPr>
      <w:r>
        <w:rPr>
          <w:rFonts w:ascii="Arial" w:cs="Arial" w:eastAsia="Arial" w:hAnsi="Arial"/>
          <w:sz w:val="14"/>
          <w:szCs w:val="14"/>
          <w:b w:val="1"/>
          <w:bCs w:val="1"/>
          <w:color w:val="auto"/>
        </w:rPr>
        <w:t>Registrant’s telephone number including area code: (713) 513-2000</w:t>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889" w:right="339" w:bottom="1440" w:gutter="0" w:footer="0" w:header="0"/>
        </w:sectPr>
      </w:pPr>
    </w:p>
    <w:p>
      <w:pPr>
        <w:spacing w:after="0" w:line="39" w:lineRule="exact"/>
        <w:rPr>
          <w:sz w:val="24"/>
          <w:szCs w:val="24"/>
          <w:color w:val="auto"/>
        </w:rPr>
      </w:pPr>
    </w:p>
    <w:p>
      <w:pPr>
        <w:jc w:val="center"/>
        <w:ind w:right="300"/>
        <w:spacing w:after="0"/>
        <w:rPr>
          <w:sz w:val="20"/>
          <w:szCs w:val="20"/>
          <w:color w:val="auto"/>
        </w:rPr>
      </w:pPr>
      <w:r>
        <w:rPr>
          <w:rFonts w:ascii="Arial" w:cs="Arial" w:eastAsia="Arial" w:hAnsi="Arial"/>
          <w:sz w:val="14"/>
          <w:szCs w:val="14"/>
          <w:b w:val="1"/>
          <w:bCs w:val="1"/>
          <w:color w:val="auto"/>
        </w:rPr>
        <w:t>Title of each class</w:t>
      </w:r>
    </w:p>
    <w:p>
      <w:pPr>
        <w:spacing w:after="0" w:line="13" w:lineRule="exact"/>
        <w:rPr>
          <w:sz w:val="24"/>
          <w:szCs w:val="24"/>
          <w:color w:val="auto"/>
        </w:rPr>
      </w:pPr>
    </w:p>
    <w:p>
      <w:pPr>
        <w:jc w:val="center"/>
        <w:ind w:right="300"/>
        <w:spacing w:after="0"/>
        <w:rPr>
          <w:sz w:val="20"/>
          <w:szCs w:val="20"/>
          <w:color w:val="auto"/>
        </w:rPr>
      </w:pPr>
      <w:r>
        <w:rPr>
          <w:rFonts w:ascii="Arial" w:cs="Arial" w:eastAsia="Arial" w:hAnsi="Arial"/>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780"/>
        <w:spacing w:after="0"/>
        <w:rPr>
          <w:sz w:val="20"/>
          <w:szCs w:val="20"/>
          <w:color w:val="auto"/>
        </w:rPr>
      </w:pPr>
      <w:r>
        <w:rPr>
          <w:rFonts w:ascii="Arial" w:cs="Arial" w:eastAsia="Arial" w:hAnsi="Arial"/>
          <w:sz w:val="14"/>
          <w:szCs w:val="14"/>
          <w:b w:val="1"/>
          <w:bCs w:val="1"/>
          <w:color w:val="auto"/>
        </w:rPr>
        <w:t>Trading Symbol(s)</w:t>
      </w:r>
    </w:p>
    <w:p>
      <w:pPr>
        <w:spacing w:after="0" w:line="13" w:lineRule="exact"/>
        <w:rPr>
          <w:sz w:val="24"/>
          <w:szCs w:val="24"/>
          <w:color w:val="auto"/>
        </w:rPr>
      </w:pPr>
    </w:p>
    <w:p>
      <w:pPr>
        <w:jc w:val="center"/>
        <w:ind w:right="780"/>
        <w:spacing w:after="0"/>
        <w:rPr>
          <w:sz w:val="20"/>
          <w:szCs w:val="20"/>
          <w:color w:val="auto"/>
        </w:rPr>
      </w:pPr>
      <w:r>
        <w:rPr>
          <w:rFonts w:ascii="Arial" w:cs="Arial" w:eastAsia="Arial" w:hAnsi="Arial"/>
          <w:sz w:val="14"/>
          <w:szCs w:val="14"/>
          <w:color w:val="auto"/>
        </w:rPr>
        <w:t>SLB</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48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3" w:lineRule="exact"/>
        <w:rPr>
          <w:sz w:val="24"/>
          <w:szCs w:val="24"/>
          <w:color w:val="auto"/>
        </w:rPr>
      </w:pPr>
    </w:p>
    <w:p>
      <w:pPr>
        <w:jc w:val="center"/>
        <w:ind w:right="480"/>
        <w:spacing w:after="0"/>
        <w:rPr>
          <w:sz w:val="20"/>
          <w:szCs w:val="20"/>
          <w:color w:val="auto"/>
        </w:rPr>
      </w:pPr>
      <w:r>
        <w:rPr>
          <w:rFonts w:ascii="Arial" w:cs="Arial" w:eastAsia="Arial" w:hAnsi="Arial"/>
          <w:sz w:val="14"/>
          <w:szCs w:val="14"/>
          <w:color w:val="auto"/>
        </w:rPr>
        <w:t>New York Stock Exchange</w:t>
      </w:r>
    </w:p>
    <w:p>
      <w:pPr>
        <w:spacing w:after="0" w:line="25" w:lineRule="exact"/>
        <w:rPr>
          <w:sz w:val="24"/>
          <w:szCs w:val="24"/>
          <w:color w:val="auto"/>
        </w:rPr>
      </w:pPr>
    </w:p>
    <w:p>
      <w:pPr>
        <w:sectPr>
          <w:pgSz w:w="11900" w:h="16838" w:orient="portrait"/>
          <w:cols w:equalWidth="0" w:num="3">
            <w:col w:w="4280" w:space="720"/>
            <w:col w:w="2040" w:space="720"/>
            <w:col w:w="3480"/>
          </w:cols>
          <w:pgMar w:left="320" w:top="889" w:right="339" w:bottom="1440" w:gutter="0" w:footer="0" w:header="0"/>
          <w:type w:val="continuous"/>
        </w:sectPr>
      </w:pPr>
    </w:p>
    <w:p>
      <w:pPr>
        <w:jc w:val="center"/>
        <w:ind w:right="4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38735</wp:posOffset>
            </wp:positionV>
            <wp:extent cx="1419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p>
      <w:pPr>
        <w:spacing w:after="0" w:line="71" w:lineRule="exact"/>
        <w:rPr>
          <w:sz w:val="24"/>
          <w:szCs w:val="24"/>
          <w:color w:val="auto"/>
        </w:rPr>
      </w:pPr>
    </w:p>
    <w:p>
      <w:pPr>
        <w:ind w:right="3520"/>
        <w:spacing w:after="0" w:line="202" w:lineRule="exact"/>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w:t>
      </w:r>
      <w:r>
        <w:rPr>
          <w:rFonts w:ascii="Arial" w:cs="Arial" w:eastAsia="Arial" w:hAnsi="Arial"/>
          <w:sz w:val="9"/>
          <w:szCs w:val="9"/>
          <w:color w:val="auto"/>
        </w:rPr>
        <w:t>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N</w:t>
      </w:r>
      <w:r>
        <w:rPr>
          <w:rFonts w:ascii="Arial" w:cs="Arial" w:eastAsia="Arial" w:hAnsi="Arial"/>
          <w:sz w:val="9"/>
          <w:szCs w:val="9"/>
          <w:color w:val="auto"/>
        </w:rPr>
        <w:t>o</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w:t>
      </w:r>
      <w:r>
        <w:rPr>
          <w:rFonts w:ascii="Arial" w:cs="Arial" w:eastAsia="Arial" w:hAnsi="Arial"/>
          <w:sz w:val="9"/>
          <w:szCs w:val="9"/>
          <w:color w:val="auto"/>
        </w:rPr>
        <w:t>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N</w:t>
      </w:r>
      <w:r>
        <w:rPr>
          <w:rFonts w:ascii="Arial" w:cs="Arial" w:eastAsia="Arial" w:hAnsi="Arial"/>
          <w:sz w:val="9"/>
          <w:szCs w:val="9"/>
          <w:color w:val="auto"/>
        </w:rPr>
        <w:t>o</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ind w:right="80"/>
        <w:spacing w:after="0" w:line="147" w:lineRule="exact"/>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w:t>
      </w:r>
      <w:r>
        <w:rPr>
          <w:rFonts w:ascii="Arial" w:cs="Arial" w:eastAsia="Arial" w:hAnsi="Arial"/>
          <w:sz w:val="9"/>
          <w:szCs w:val="9"/>
          <w:color w:val="auto"/>
        </w:rPr>
        <w:t>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N</w:t>
      </w:r>
      <w:r>
        <w:rPr>
          <w:rFonts w:ascii="Arial" w:cs="Arial" w:eastAsia="Arial" w:hAnsi="Arial"/>
          <w:sz w:val="9"/>
          <w:szCs w:val="9"/>
          <w:color w:val="auto"/>
        </w:rPr>
        <w:t>o</w:t>
      </w:r>
      <w:r>
        <w:rPr>
          <w:rFonts w:ascii="MS PGothic" w:cs="MS PGothic" w:eastAsia="MS PGothic" w:hAnsi="MS PGothic"/>
          <w:sz w:val="13"/>
          <w:szCs w:val="13"/>
          <w:color w:val="auto"/>
        </w:rPr>
        <w:t>☐</w:t>
      </w:r>
    </w:p>
    <w:p>
      <w:pPr>
        <w:ind w:right="40"/>
        <w:spacing w:after="0" w:line="164" w:lineRule="exact"/>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w:t>
      </w:r>
      <w:r>
        <w:rPr>
          <w:rFonts w:ascii="Arial" w:cs="Arial" w:eastAsia="Arial" w:hAnsi="Arial"/>
          <w:sz w:val="9"/>
          <w:szCs w:val="9"/>
          <w:color w:val="auto"/>
        </w:rPr>
        <w:t>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N</w:t>
      </w:r>
      <w:r>
        <w:rPr>
          <w:rFonts w:ascii="Arial" w:cs="Arial" w:eastAsia="Arial" w:hAnsi="Arial"/>
          <w:sz w:val="9"/>
          <w:szCs w:val="9"/>
          <w:color w:val="auto"/>
        </w:rPr>
        <w:t>o</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25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45"/>
        </w:trPr>
        <w:tc>
          <w:tcPr>
            <w:tcW w:w="1900" w:type="dxa"/>
            <w:vAlign w:val="bottom"/>
          </w:tcPr>
          <w:p>
            <w:pPr>
              <w:spacing w:after="0" w:line="146" w:lineRule="exact"/>
              <w:rPr>
                <w:sz w:val="20"/>
                <w:szCs w:val="20"/>
                <w:color w:val="auto"/>
              </w:rPr>
            </w:pPr>
            <w:r>
              <w:rPr>
                <w:rFonts w:ascii="Arial" w:cs="Arial" w:eastAsia="Arial" w:hAnsi="Arial"/>
                <w:sz w:val="13"/>
                <w:szCs w:val="13"/>
                <w:color w:val="auto"/>
              </w:rPr>
              <w:t>Large accelerated filer</w:t>
            </w:r>
          </w:p>
        </w:tc>
        <w:tc>
          <w:tcPr>
            <w:tcW w:w="35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140"/>
              <w:spacing w:after="0" w:line="146" w:lineRule="exact"/>
              <w:rPr>
                <w:sz w:val="20"/>
                <w:szCs w:val="20"/>
                <w:color w:val="auto"/>
              </w:rPr>
            </w:pPr>
            <w:r>
              <w:rPr>
                <w:rFonts w:ascii="Arial" w:cs="Arial" w:eastAsia="Arial" w:hAnsi="Arial"/>
                <w:sz w:val="13"/>
                <w:szCs w:val="13"/>
                <w:color w:val="auto"/>
              </w:rPr>
              <w:t>Accelerated filer</w:t>
            </w:r>
          </w:p>
        </w:tc>
        <w:tc>
          <w:tcPr>
            <w:tcW w:w="5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6"/>
        </w:trPr>
        <w:tc>
          <w:tcPr>
            <w:tcW w:w="1900" w:type="dxa"/>
            <w:vAlign w:val="bottom"/>
          </w:tcPr>
          <w:p>
            <w:pPr>
              <w:spacing w:after="0" w:line="147" w:lineRule="exact"/>
              <w:rPr>
                <w:sz w:val="20"/>
                <w:szCs w:val="20"/>
                <w:color w:val="auto"/>
              </w:rPr>
            </w:pPr>
            <w:r>
              <w:rPr>
                <w:rFonts w:ascii="Arial" w:cs="Arial" w:eastAsia="Arial" w:hAnsi="Arial"/>
                <w:sz w:val="13"/>
                <w:szCs w:val="13"/>
                <w:color w:val="auto"/>
              </w:rPr>
              <w:t>Non-accelerated filer</w:t>
            </w:r>
          </w:p>
        </w:tc>
        <w:tc>
          <w:tcPr>
            <w:tcW w:w="35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140"/>
              <w:spacing w:after="0" w:line="147" w:lineRule="exact"/>
              <w:rPr>
                <w:sz w:val="20"/>
                <w:szCs w:val="20"/>
                <w:color w:val="auto"/>
              </w:rPr>
            </w:pPr>
            <w:r>
              <w:rPr>
                <w:rFonts w:ascii="Arial" w:cs="Arial" w:eastAsia="Arial" w:hAnsi="Arial"/>
                <w:sz w:val="13"/>
                <w:szCs w:val="13"/>
                <w:color w:val="auto"/>
              </w:rPr>
              <w:t>Smaller reporting company</w:t>
            </w:r>
          </w:p>
        </w:tc>
        <w:tc>
          <w:tcPr>
            <w:tcW w:w="5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2"/>
        </w:trPr>
        <w:tc>
          <w:tcPr>
            <w:tcW w:w="190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5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spacing w:after="0"/>
              <w:rPr>
                <w:sz w:val="18"/>
                <w:szCs w:val="18"/>
                <w:color w:val="auto"/>
              </w:rPr>
            </w:pPr>
          </w:p>
        </w:tc>
        <w:tc>
          <w:tcPr>
            <w:tcW w:w="520" w:type="dxa"/>
            <w:vAlign w:val="bottom"/>
          </w:tcPr>
          <w:p>
            <w:pPr>
              <w:spacing w:after="0"/>
              <w:rPr>
                <w:sz w:val="18"/>
                <w:szCs w:val="18"/>
                <w:color w:val="auto"/>
              </w:rPr>
            </w:pPr>
          </w:p>
        </w:tc>
      </w:tr>
    </w:tbl>
    <w:p>
      <w:pPr>
        <w:ind w:right="440"/>
        <w:spacing w:after="0" w:line="14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jc w:val="both"/>
        <w:spacing w:after="0" w:line="14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ind w:right="140"/>
        <w:spacing w:after="0" w:line="147"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ind w:right="580"/>
        <w:spacing w:after="0" w:line="145"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35" w:lineRule="auto"/>
        <w:rPr>
          <w:sz w:val="20"/>
          <w:szCs w:val="20"/>
          <w:color w:val="auto"/>
        </w:rPr>
      </w:pPr>
      <w:r>
        <w:rPr>
          <w:rFonts w:ascii="Arial" w:cs="Arial" w:eastAsia="Arial" w:hAnsi="Arial"/>
          <w:sz w:val="13"/>
          <w:szCs w:val="13"/>
          <w:color w:val="auto"/>
        </w:rPr>
        <w:t>As of June 30, 2024, the aggregate market value of the common stock of the registrant held by non-affiliates of the registrant was approximately $66.86 billion.</w:t>
      </w:r>
    </w:p>
    <w:p>
      <w:pPr>
        <w:spacing w:after="0"/>
        <w:rPr>
          <w:sz w:val="20"/>
          <w:szCs w:val="20"/>
          <w:color w:val="auto"/>
        </w:rPr>
      </w:pPr>
      <w:r>
        <w:rPr>
          <w:rFonts w:ascii="Arial" w:cs="Arial" w:eastAsia="Arial" w:hAnsi="Arial"/>
          <w:sz w:val="13"/>
          <w:szCs w:val="13"/>
          <w:color w:val="auto"/>
        </w:rPr>
        <w:t>As of December 31, 2024, the number of shares of common stock outstanding was 1,400,850,420.</w:t>
      </w: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13"/>
          <w:szCs w:val="13"/>
          <w:b w:val="1"/>
          <w:bCs w:val="1"/>
          <w:color w:val="auto"/>
        </w:rPr>
        <w:t>DOCUMENTS INCORPORATED BY REFERENCE</w:t>
      </w:r>
    </w:p>
    <w:p>
      <w:pPr>
        <w:spacing w:after="0" w:line="31" w:lineRule="exact"/>
        <w:rPr>
          <w:sz w:val="24"/>
          <w:szCs w:val="24"/>
          <w:color w:val="auto"/>
        </w:rPr>
      </w:pPr>
    </w:p>
    <w:p>
      <w:pPr>
        <w:jc w:val="both"/>
        <w:spacing w:after="0" w:line="249" w:lineRule="auto"/>
        <w:rPr>
          <w:sz w:val="20"/>
          <w:szCs w:val="20"/>
          <w:color w:val="auto"/>
        </w:rPr>
      </w:pPr>
      <w:r>
        <w:rPr>
          <w:rFonts w:ascii="Arial" w:cs="Arial" w:eastAsia="Arial" w:hAnsi="Arial"/>
          <w:sz w:val="13"/>
          <w:szCs w:val="13"/>
          <w:color w:val="auto"/>
        </w:rPr>
        <w:t>Certain information required to be furnished pursuant to Part III of this Form 10-K is set forth in, and is incorporated by reference from, the registrant’s definitive proxy statement for its 2025 Annual General Meeting of Shareholders, to be filed by the registrant with the Securities and Exchange Commission (“SEC”) pursuant to Regulation 14A within 120 days after December 31, 2024 (the “2025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718185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40" w:type="dxa"/>
            <w:vAlign w:val="bottom"/>
            <w:gridSpan w:val="9"/>
          </w:tcPr>
          <w:p>
            <w:pPr>
              <w:jc w:val="center"/>
              <w:ind w:right="3680"/>
              <w:spacing w:after="0"/>
              <w:rPr>
                <w:sz w:val="20"/>
                <w:szCs w:val="20"/>
                <w:color w:val="auto"/>
              </w:rPr>
            </w:pPr>
            <w:r>
              <w:rPr>
                <w:rFonts w:ascii="Arial" w:cs="Arial" w:eastAsia="Arial" w:hAnsi="Arial"/>
                <w:sz w:val="16"/>
                <w:szCs w:val="16"/>
                <w:b w:val="1"/>
                <w:bCs w:val="1"/>
                <w:color w:val="auto"/>
                <w:w w:val="99"/>
              </w:rPr>
              <w:t>SCHLUMBERGER LIMITED</w:t>
            </w:r>
          </w:p>
        </w:tc>
        <w:tc>
          <w:tcPr>
            <w:tcW w:w="660" w:type="dxa"/>
            <w:vAlign w:val="bottom"/>
          </w:tcPr>
          <w:p>
            <w:pPr>
              <w:spacing w:after="0"/>
              <w:rPr>
                <w:sz w:val="16"/>
                <w:szCs w:val="16"/>
                <w:color w:val="auto"/>
              </w:rPr>
            </w:pPr>
          </w:p>
        </w:tc>
      </w:tr>
      <w:tr>
        <w:trPr>
          <w:trHeight w:val="186"/>
        </w:trPr>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40" w:type="dxa"/>
            <w:vAlign w:val="bottom"/>
            <w:gridSpan w:val="9"/>
          </w:tcPr>
          <w:p>
            <w:pPr>
              <w:ind w:left="640"/>
              <w:spacing w:after="0"/>
              <w:rPr>
                <w:sz w:val="20"/>
                <w:szCs w:val="20"/>
                <w:color w:val="auto"/>
              </w:rPr>
            </w:pPr>
            <w:r>
              <w:rPr>
                <w:rFonts w:ascii="Arial" w:cs="Arial" w:eastAsia="Arial" w:hAnsi="Arial"/>
                <w:sz w:val="16"/>
                <w:szCs w:val="16"/>
                <w:color w:val="auto"/>
              </w:rPr>
              <w:t>Table of Contents</w:t>
            </w:r>
          </w:p>
        </w:tc>
        <w:tc>
          <w:tcPr>
            <w:tcW w:w="660" w:type="dxa"/>
            <w:vAlign w:val="bottom"/>
          </w:tcPr>
          <w:p>
            <w:pPr>
              <w:spacing w:after="0"/>
              <w:rPr>
                <w:sz w:val="16"/>
                <w:szCs w:val="16"/>
                <w:color w:val="auto"/>
              </w:rPr>
            </w:pPr>
          </w:p>
        </w:tc>
      </w:tr>
      <w:tr>
        <w:trPr>
          <w:trHeight w:val="211"/>
        </w:trPr>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00" w:type="dxa"/>
            <w:vAlign w:val="bottom"/>
            <w:gridSpan w:val="8"/>
          </w:tcPr>
          <w:p>
            <w:pPr>
              <w:jc w:val="center"/>
              <w:ind w:right="4460"/>
              <w:spacing w:after="0"/>
              <w:rPr>
                <w:sz w:val="20"/>
                <w:szCs w:val="20"/>
                <w:color w:val="auto"/>
              </w:rPr>
            </w:pPr>
            <w:r>
              <w:rPr>
                <w:rFonts w:ascii="Arial" w:cs="Arial" w:eastAsia="Arial" w:hAnsi="Arial"/>
                <w:sz w:val="16"/>
                <w:szCs w:val="16"/>
                <w:color w:val="auto"/>
              </w:rPr>
              <w:t>Form 10-K</w:t>
            </w:r>
          </w:p>
        </w:tc>
        <w:tc>
          <w:tcPr>
            <w:tcW w:w="660" w:type="dxa"/>
            <w:vAlign w:val="bottom"/>
          </w:tcPr>
          <w:p>
            <w:pPr>
              <w:spacing w:after="0"/>
              <w:rPr>
                <w:sz w:val="18"/>
                <w:szCs w:val="18"/>
                <w:color w:val="auto"/>
              </w:rPr>
            </w:pPr>
          </w:p>
        </w:tc>
      </w:tr>
      <w:tr>
        <w:trPr>
          <w:trHeight w:val="309"/>
        </w:trPr>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Page</w:t>
            </w:r>
          </w:p>
        </w:tc>
      </w:tr>
      <w:tr>
        <w:trPr>
          <w:trHeight w:val="331"/>
        </w:trPr>
        <w:tc>
          <w:tcPr>
            <w:tcW w:w="104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61"/>
        </w:trPr>
        <w:tc>
          <w:tcPr>
            <w:tcW w:w="1040" w:type="dxa"/>
            <w:vAlign w:val="bottom"/>
          </w:tcPr>
          <w:p>
            <w:pPr>
              <w:ind w:left="20"/>
              <w:spacing w:after="0"/>
              <w:rPr>
                <w:sz w:val="20"/>
                <w:szCs w:val="20"/>
                <w:color w:val="auto"/>
              </w:rPr>
            </w:pPr>
            <w:r>
              <w:rPr>
                <w:rFonts w:ascii="Arial" w:cs="Arial" w:eastAsia="Arial" w:hAnsi="Arial"/>
                <w:sz w:val="16"/>
                <w:szCs w:val="16"/>
                <w:color w:val="auto"/>
              </w:rPr>
              <w:t>Item 1.</w:t>
            </w:r>
          </w:p>
        </w:tc>
        <w:tc>
          <w:tcPr>
            <w:tcW w:w="6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8"/>
              </w:rPr>
              <w:t>Business</w:t>
            </w:r>
          </w:p>
        </w:tc>
        <w:tc>
          <w:tcPr>
            <w:tcW w:w="8880" w:type="dxa"/>
            <w:vAlign w:val="bottom"/>
            <w:gridSpan w:val="23"/>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53"/>
        </w:trPr>
        <w:tc>
          <w:tcPr>
            <w:tcW w:w="1040" w:type="dxa"/>
            <w:vAlign w:val="bottom"/>
          </w:tcPr>
          <w:p>
            <w:pPr>
              <w:ind w:left="20"/>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8"/>
              </w:rPr>
              <w:t>Risk Factors</w:t>
            </w:r>
          </w:p>
        </w:tc>
        <w:tc>
          <w:tcPr>
            <w:tcW w:w="20" w:type="dxa"/>
            <w:vAlign w:val="bottom"/>
            <w:tcBorders>
              <w:bottom w:val="single" w:sz="8" w:color="0000EE"/>
            </w:tcBorders>
          </w:tcPr>
          <w:p>
            <w:pPr>
              <w:spacing w:after="0"/>
              <w:rPr>
                <w:sz w:val="24"/>
                <w:szCs w:val="24"/>
                <w:color w:val="auto"/>
              </w:rPr>
            </w:pPr>
          </w:p>
        </w:tc>
        <w:tc>
          <w:tcPr>
            <w:tcW w:w="8620" w:type="dxa"/>
            <w:vAlign w:val="bottom"/>
            <w:gridSpan w:val="18"/>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86"/>
        </w:trPr>
        <w:tc>
          <w:tcPr>
            <w:tcW w:w="1040" w:type="dxa"/>
            <w:vAlign w:val="bottom"/>
          </w:tcPr>
          <w:p>
            <w:pPr>
              <w:ind w:left="20"/>
              <w:spacing w:after="0"/>
              <w:rPr>
                <w:sz w:val="20"/>
                <w:szCs w:val="20"/>
                <w:color w:val="auto"/>
              </w:rPr>
            </w:pPr>
            <w:r>
              <w:rPr>
                <w:rFonts w:ascii="Arial" w:cs="Arial" w:eastAsia="Arial" w:hAnsi="Arial"/>
                <w:sz w:val="16"/>
                <w:szCs w:val="16"/>
                <w:color w:val="auto"/>
              </w:rPr>
              <w:t>Item 1B.</w:t>
            </w:r>
          </w:p>
        </w:tc>
        <w:tc>
          <w:tcPr>
            <w:tcW w:w="9540" w:type="dxa"/>
            <w:vAlign w:val="bottom"/>
            <w:gridSpan w:val="24"/>
          </w:tcPr>
          <w:p>
            <w:pPr>
              <w:spacing w:after="0"/>
              <w:rPr>
                <w:sz w:val="20"/>
                <w:szCs w:val="20"/>
                <w:color w:val="auto"/>
              </w:rPr>
            </w:pPr>
            <w:r>
              <w:rPr>
                <w:rFonts w:ascii="Arial" w:cs="Arial" w:eastAsia="Arial" w:hAnsi="Arial"/>
                <w:sz w:val="16"/>
                <w:szCs w:val="16"/>
                <w:color w:val="0000FF"/>
              </w:rPr>
              <w:t>Unresolved Staff Comments</w:t>
            </w: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86"/>
        </w:trPr>
        <w:tc>
          <w:tcPr>
            <w:tcW w:w="1040" w:type="dxa"/>
            <w:vAlign w:val="bottom"/>
          </w:tcPr>
          <w:p>
            <w:pPr>
              <w:ind w:left="20"/>
              <w:spacing w:after="0"/>
              <w:rPr>
                <w:sz w:val="20"/>
                <w:szCs w:val="20"/>
                <w:color w:val="auto"/>
              </w:rPr>
            </w:pPr>
            <w:r>
              <w:rPr>
                <w:rFonts w:ascii="Arial" w:cs="Arial" w:eastAsia="Arial" w:hAnsi="Arial"/>
                <w:sz w:val="16"/>
                <w:szCs w:val="16"/>
                <w:color w:val="auto"/>
              </w:rPr>
              <w:t>Item 1C.</w:t>
            </w:r>
          </w:p>
        </w:tc>
        <w:tc>
          <w:tcPr>
            <w:tcW w:w="2000" w:type="dxa"/>
            <w:vAlign w:val="bottom"/>
            <w:tcBorders>
              <w:top w:val="single" w:sz="8" w:color="0000FF"/>
            </w:tcBorders>
            <w:gridSpan w:val="12"/>
          </w:tcPr>
          <w:p>
            <w:pPr>
              <w:spacing w:after="0"/>
              <w:rPr>
                <w:sz w:val="20"/>
                <w:szCs w:val="20"/>
                <w:color w:val="auto"/>
              </w:rPr>
            </w:pPr>
            <w:r>
              <w:rPr>
                <w:rFonts w:ascii="Arial" w:cs="Arial" w:eastAsia="Arial" w:hAnsi="Arial"/>
                <w:sz w:val="16"/>
                <w:szCs w:val="16"/>
                <w:color w:val="0000FF"/>
              </w:rPr>
              <w:t>Cybersecurity</w:t>
            </w:r>
          </w:p>
        </w:tc>
        <w:tc>
          <w:tcPr>
            <w:tcW w:w="7540" w:type="dxa"/>
            <w:vAlign w:val="bottom"/>
            <w:gridSpan w:val="1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86"/>
        </w:trPr>
        <w:tc>
          <w:tcPr>
            <w:tcW w:w="1040" w:type="dxa"/>
            <w:vAlign w:val="bottom"/>
          </w:tcPr>
          <w:p>
            <w:pPr>
              <w:ind w:left="20"/>
              <w:spacing w:after="0"/>
              <w:rPr>
                <w:sz w:val="20"/>
                <w:szCs w:val="20"/>
                <w:color w:val="auto"/>
              </w:rPr>
            </w:pPr>
            <w:r>
              <w:rPr>
                <w:rFonts w:ascii="Arial" w:cs="Arial" w:eastAsia="Arial" w:hAnsi="Arial"/>
                <w:sz w:val="16"/>
                <w:szCs w:val="16"/>
                <w:color w:val="auto"/>
              </w:rPr>
              <w:t>Item 2.</w:t>
            </w:r>
          </w:p>
        </w:tc>
        <w:tc>
          <w:tcPr>
            <w:tcW w:w="7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color w:val="0000FF"/>
                <w:w w:val="98"/>
              </w:rPr>
              <w:t>Properties</w:t>
            </w:r>
          </w:p>
        </w:tc>
        <w:tc>
          <w:tcPr>
            <w:tcW w:w="40" w:type="dxa"/>
            <w:vAlign w:val="bottom"/>
            <w:tcBorders>
              <w:top w:val="single" w:sz="8" w:color="0000FF"/>
              <w:bottom w:val="single" w:sz="8" w:color="0000EE"/>
            </w:tcBorders>
          </w:tcPr>
          <w:p>
            <w:pPr>
              <w:spacing w:after="0"/>
              <w:rPr>
                <w:sz w:val="24"/>
                <w:szCs w:val="24"/>
                <w:color w:val="auto"/>
              </w:rPr>
            </w:pPr>
          </w:p>
        </w:tc>
        <w:tc>
          <w:tcPr>
            <w:tcW w:w="200" w:type="dxa"/>
            <w:vAlign w:val="bottom"/>
            <w:tcBorders>
              <w:top w:val="single" w:sz="8" w:color="0000FF"/>
            </w:tcBorders>
            <w:gridSpan w:val="4"/>
          </w:tcPr>
          <w:p>
            <w:pPr>
              <w:spacing w:after="0"/>
              <w:rPr>
                <w:sz w:val="24"/>
                <w:szCs w:val="24"/>
                <w:color w:val="auto"/>
              </w:rPr>
            </w:pPr>
          </w:p>
        </w:tc>
        <w:tc>
          <w:tcPr>
            <w:tcW w:w="8560" w:type="dxa"/>
            <w:vAlign w:val="bottom"/>
            <w:gridSpan w:val="1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86"/>
        </w:trPr>
        <w:tc>
          <w:tcPr>
            <w:tcW w:w="1040" w:type="dxa"/>
            <w:vAlign w:val="bottom"/>
          </w:tcPr>
          <w:p>
            <w:pPr>
              <w:ind w:left="20"/>
              <w:spacing w:after="0"/>
              <w:rPr>
                <w:sz w:val="20"/>
                <w:szCs w:val="20"/>
                <w:color w:val="auto"/>
              </w:rPr>
            </w:pPr>
            <w:r>
              <w:rPr>
                <w:rFonts w:ascii="Arial" w:cs="Arial" w:eastAsia="Arial" w:hAnsi="Arial"/>
                <w:sz w:val="16"/>
                <w:szCs w:val="16"/>
                <w:color w:val="auto"/>
              </w:rPr>
              <w:t>Item 3.</w:t>
            </w:r>
          </w:p>
        </w:tc>
        <w:tc>
          <w:tcPr>
            <w:tcW w:w="9540" w:type="dxa"/>
            <w:vAlign w:val="bottom"/>
            <w:gridSpan w:val="24"/>
          </w:tcPr>
          <w:p>
            <w:pPr>
              <w:spacing w:after="0"/>
              <w:rPr>
                <w:sz w:val="20"/>
                <w:szCs w:val="20"/>
                <w:color w:val="auto"/>
              </w:rPr>
            </w:pPr>
            <w:r>
              <w:rPr>
                <w:rFonts w:ascii="Arial" w:cs="Arial" w:eastAsia="Arial" w:hAnsi="Arial"/>
                <w:sz w:val="16"/>
                <w:szCs w:val="16"/>
                <w:color w:val="0000FF"/>
              </w:rPr>
              <w:t>Legal Proceedings</w:t>
            </w: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10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86"/>
        </w:trPr>
        <w:tc>
          <w:tcPr>
            <w:tcW w:w="1040" w:type="dxa"/>
            <w:vAlign w:val="bottom"/>
          </w:tcPr>
          <w:p>
            <w:pPr>
              <w:ind w:left="20"/>
              <w:spacing w:after="0"/>
              <w:rPr>
                <w:sz w:val="20"/>
                <w:szCs w:val="20"/>
                <w:color w:val="auto"/>
              </w:rPr>
            </w:pPr>
            <w:r>
              <w:rPr>
                <w:rFonts w:ascii="Arial" w:cs="Arial" w:eastAsia="Arial" w:hAnsi="Arial"/>
                <w:sz w:val="16"/>
                <w:szCs w:val="16"/>
                <w:color w:val="auto"/>
              </w:rPr>
              <w:t>Item 4.</w:t>
            </w:r>
          </w:p>
        </w:tc>
        <w:tc>
          <w:tcPr>
            <w:tcW w:w="9540" w:type="dxa"/>
            <w:vAlign w:val="bottom"/>
            <w:gridSpan w:val="24"/>
          </w:tcPr>
          <w:p>
            <w:pPr>
              <w:spacing w:after="0"/>
              <w:rPr>
                <w:sz w:val="20"/>
                <w:szCs w:val="20"/>
                <w:color w:val="auto"/>
              </w:rPr>
            </w:pPr>
            <w:r>
              <w:rPr>
                <w:rFonts w:ascii="Arial" w:cs="Arial" w:eastAsia="Arial" w:hAnsi="Arial"/>
                <w:sz w:val="16"/>
                <w:szCs w:val="16"/>
                <w:color w:val="0000FF"/>
              </w:rPr>
              <w:t>Mine Safety Disclosures</w:t>
            </w: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1"/>
        </w:trPr>
        <w:tc>
          <w:tcPr>
            <w:tcW w:w="104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61"/>
        </w:trPr>
        <w:tc>
          <w:tcPr>
            <w:tcW w:w="1040" w:type="dxa"/>
            <w:vAlign w:val="bottom"/>
          </w:tcPr>
          <w:p>
            <w:pPr>
              <w:ind w:left="20"/>
              <w:spacing w:after="0"/>
              <w:rPr>
                <w:sz w:val="20"/>
                <w:szCs w:val="20"/>
                <w:color w:val="auto"/>
              </w:rPr>
            </w:pPr>
            <w:r>
              <w:rPr>
                <w:rFonts w:ascii="Arial" w:cs="Arial" w:eastAsia="Arial" w:hAnsi="Arial"/>
                <w:sz w:val="16"/>
                <w:szCs w:val="16"/>
                <w:color w:val="auto"/>
              </w:rPr>
              <w:t>Item 5.</w:t>
            </w:r>
          </w:p>
        </w:tc>
        <w:tc>
          <w:tcPr>
            <w:tcW w:w="7900" w:type="dxa"/>
            <w:vAlign w:val="bottom"/>
            <w:tcBorders>
              <w:bottom w:val="single" w:sz="8" w:color="0000FF"/>
            </w:tcBorders>
            <w:gridSpan w:val="23"/>
          </w:tcPr>
          <w:p>
            <w:pPr>
              <w:spacing w:after="0"/>
              <w:rPr>
                <w:sz w:val="20"/>
                <w:szCs w:val="20"/>
                <w:color w:val="auto"/>
              </w:rPr>
            </w:pPr>
            <w:r>
              <w:rPr>
                <w:rFonts w:ascii="Arial" w:cs="Arial" w:eastAsia="Arial" w:hAnsi="Arial"/>
                <w:sz w:val="16"/>
                <w:szCs w:val="16"/>
                <w:color w:val="0000FF"/>
                <w:w w:val="99"/>
              </w:rPr>
              <w:t>Market for Registrant’s Common Equity, Related Stockholder Matters and Issuer Purchases of Equity Securities</w:t>
            </w:r>
          </w:p>
        </w:tc>
        <w:tc>
          <w:tcPr>
            <w:tcW w:w="16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86"/>
        </w:trPr>
        <w:tc>
          <w:tcPr>
            <w:tcW w:w="1040" w:type="dxa"/>
            <w:vAlign w:val="bottom"/>
          </w:tcPr>
          <w:p>
            <w:pPr>
              <w:ind w:left="20"/>
              <w:spacing w:after="0"/>
              <w:rPr>
                <w:sz w:val="20"/>
                <w:szCs w:val="20"/>
                <w:color w:val="auto"/>
              </w:rPr>
            </w:pPr>
            <w:r>
              <w:rPr>
                <w:rFonts w:ascii="Arial" w:cs="Arial" w:eastAsia="Arial" w:hAnsi="Arial"/>
                <w:sz w:val="16"/>
                <w:szCs w:val="16"/>
                <w:color w:val="auto"/>
              </w:rPr>
              <w:t>Item 6.</w:t>
            </w:r>
          </w:p>
        </w:tc>
        <w:tc>
          <w:tcPr>
            <w:tcW w:w="78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5"/>
              </w:rPr>
              <w:t>[Reserved]</w:t>
            </w:r>
          </w:p>
        </w:tc>
        <w:tc>
          <w:tcPr>
            <w:tcW w:w="20" w:type="dxa"/>
            <w:vAlign w:val="bottom"/>
            <w:tcBorders>
              <w:bottom w:val="single" w:sz="8" w:color="0000EE"/>
            </w:tcBorders>
          </w:tcPr>
          <w:p>
            <w:pPr>
              <w:spacing w:after="0"/>
              <w:rPr>
                <w:sz w:val="24"/>
                <w:szCs w:val="24"/>
                <w:color w:val="auto"/>
              </w:rPr>
            </w:pPr>
          </w:p>
        </w:tc>
        <w:tc>
          <w:tcPr>
            <w:tcW w:w="8740" w:type="dxa"/>
            <w:vAlign w:val="bottom"/>
            <w:gridSpan w:val="20"/>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86"/>
        </w:trPr>
        <w:tc>
          <w:tcPr>
            <w:tcW w:w="1040" w:type="dxa"/>
            <w:vAlign w:val="bottom"/>
          </w:tcPr>
          <w:p>
            <w:pPr>
              <w:ind w:left="20"/>
              <w:spacing w:after="0"/>
              <w:rPr>
                <w:sz w:val="20"/>
                <w:szCs w:val="20"/>
                <w:color w:val="auto"/>
              </w:rPr>
            </w:pPr>
            <w:r>
              <w:rPr>
                <w:rFonts w:ascii="Arial" w:cs="Arial" w:eastAsia="Arial" w:hAnsi="Arial"/>
                <w:sz w:val="16"/>
                <w:szCs w:val="16"/>
                <w:color w:val="auto"/>
              </w:rPr>
              <w:t>Item 7.</w:t>
            </w:r>
          </w:p>
        </w:tc>
        <w:tc>
          <w:tcPr>
            <w:tcW w:w="6300" w:type="dxa"/>
            <w:vAlign w:val="bottom"/>
            <w:tcBorders>
              <w:bottom w:val="single" w:sz="8" w:color="0000FF"/>
            </w:tcBorders>
            <w:gridSpan w:val="20"/>
          </w:tcPr>
          <w:p>
            <w:pPr>
              <w:spacing w:after="0"/>
              <w:rPr>
                <w:sz w:val="20"/>
                <w:szCs w:val="20"/>
                <w:color w:val="auto"/>
              </w:rPr>
            </w:pPr>
            <w:r>
              <w:rPr>
                <w:rFonts w:ascii="Arial" w:cs="Arial" w:eastAsia="Arial" w:hAnsi="Arial"/>
                <w:sz w:val="16"/>
                <w:szCs w:val="16"/>
                <w:color w:val="0000FF"/>
                <w:w w:val="99"/>
              </w:rPr>
              <w:t>Management’s Discussion and Analysis of Financial Condition and Results of Operations</w:t>
            </w:r>
          </w:p>
        </w:tc>
        <w:tc>
          <w:tcPr>
            <w:tcW w:w="324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86"/>
        </w:trPr>
        <w:tc>
          <w:tcPr>
            <w:tcW w:w="1040" w:type="dxa"/>
            <w:vAlign w:val="bottom"/>
          </w:tcPr>
          <w:p>
            <w:pPr>
              <w:ind w:left="20"/>
              <w:spacing w:after="0"/>
              <w:rPr>
                <w:sz w:val="20"/>
                <w:szCs w:val="20"/>
                <w:color w:val="auto"/>
              </w:rPr>
            </w:pPr>
            <w:r>
              <w:rPr>
                <w:rFonts w:ascii="Arial" w:cs="Arial" w:eastAsia="Arial" w:hAnsi="Arial"/>
                <w:sz w:val="16"/>
                <w:szCs w:val="16"/>
                <w:color w:val="auto"/>
              </w:rPr>
              <w:t>Item 7A.</w:t>
            </w:r>
          </w:p>
        </w:tc>
        <w:tc>
          <w:tcPr>
            <w:tcW w:w="9540" w:type="dxa"/>
            <w:vAlign w:val="bottom"/>
            <w:gridSpan w:val="24"/>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6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86"/>
        </w:trPr>
        <w:tc>
          <w:tcPr>
            <w:tcW w:w="1040" w:type="dxa"/>
            <w:vAlign w:val="bottom"/>
          </w:tcPr>
          <w:p>
            <w:pPr>
              <w:ind w:left="20"/>
              <w:spacing w:after="0"/>
              <w:rPr>
                <w:sz w:val="20"/>
                <w:szCs w:val="20"/>
                <w:color w:val="auto"/>
              </w:rPr>
            </w:pPr>
            <w:r>
              <w:rPr>
                <w:rFonts w:ascii="Arial" w:cs="Arial" w:eastAsia="Arial" w:hAnsi="Arial"/>
                <w:sz w:val="16"/>
                <w:szCs w:val="16"/>
                <w:color w:val="auto"/>
              </w:rPr>
              <w:t>Item 8.</w:t>
            </w:r>
          </w:p>
        </w:tc>
        <w:tc>
          <w:tcPr>
            <w:tcW w:w="4180" w:type="dxa"/>
            <w:vAlign w:val="bottom"/>
            <w:tcBorders>
              <w:top w:val="single" w:sz="8" w:color="0000FF"/>
            </w:tcBorders>
            <w:gridSpan w:val="17"/>
          </w:tcPr>
          <w:p>
            <w:pPr>
              <w:spacing w:after="0"/>
              <w:rPr>
                <w:sz w:val="20"/>
                <w:szCs w:val="20"/>
                <w:color w:val="auto"/>
              </w:rPr>
            </w:pPr>
            <w:r>
              <w:rPr>
                <w:rFonts w:ascii="Arial" w:cs="Arial" w:eastAsia="Arial" w:hAnsi="Arial"/>
                <w:sz w:val="16"/>
                <w:szCs w:val="16"/>
                <w:color w:val="0000FF"/>
              </w:rPr>
              <w:t>Financial Statements and Supplementary Data</w:t>
            </w:r>
          </w:p>
        </w:tc>
        <w:tc>
          <w:tcPr>
            <w:tcW w:w="536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10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86"/>
        </w:trPr>
        <w:tc>
          <w:tcPr>
            <w:tcW w:w="1040" w:type="dxa"/>
            <w:vAlign w:val="bottom"/>
          </w:tcPr>
          <w:p>
            <w:pPr>
              <w:ind w:left="20"/>
              <w:spacing w:after="0"/>
              <w:rPr>
                <w:sz w:val="20"/>
                <w:szCs w:val="20"/>
                <w:color w:val="auto"/>
              </w:rPr>
            </w:pPr>
            <w:r>
              <w:rPr>
                <w:rFonts w:ascii="Arial" w:cs="Arial" w:eastAsia="Arial" w:hAnsi="Arial"/>
                <w:sz w:val="16"/>
                <w:szCs w:val="16"/>
                <w:color w:val="auto"/>
              </w:rPr>
              <w:t>Item 9.</w:t>
            </w:r>
          </w:p>
        </w:tc>
        <w:tc>
          <w:tcPr>
            <w:tcW w:w="634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color w:val="0000FF"/>
                <w:w w:val="99"/>
              </w:rPr>
              <w:t>Changes in and Disagreements with Accountants on Accounting and Financial Disclosure</w:t>
            </w:r>
          </w:p>
        </w:tc>
        <w:tc>
          <w:tcPr>
            <w:tcW w:w="320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86"/>
        </w:trPr>
        <w:tc>
          <w:tcPr>
            <w:tcW w:w="1040" w:type="dxa"/>
            <w:vAlign w:val="bottom"/>
          </w:tcPr>
          <w:p>
            <w:pPr>
              <w:ind w:left="20"/>
              <w:spacing w:after="0"/>
              <w:rPr>
                <w:sz w:val="20"/>
                <w:szCs w:val="20"/>
                <w:color w:val="auto"/>
              </w:rPr>
            </w:pPr>
            <w:r>
              <w:rPr>
                <w:rFonts w:ascii="Arial" w:cs="Arial" w:eastAsia="Arial" w:hAnsi="Arial"/>
                <w:sz w:val="16"/>
                <w:szCs w:val="16"/>
                <w:color w:val="auto"/>
              </w:rPr>
              <w:t>Item 9A.</w:t>
            </w:r>
          </w:p>
        </w:tc>
        <w:tc>
          <w:tcPr>
            <w:tcW w:w="178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9"/>
              </w:rPr>
              <w:t>Controls and Procedures</w:t>
            </w:r>
          </w:p>
        </w:tc>
        <w:tc>
          <w:tcPr>
            <w:tcW w:w="776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86"/>
        </w:trPr>
        <w:tc>
          <w:tcPr>
            <w:tcW w:w="1040" w:type="dxa"/>
            <w:vAlign w:val="bottom"/>
          </w:tcPr>
          <w:p>
            <w:pPr>
              <w:ind w:left="20"/>
              <w:spacing w:after="0"/>
              <w:rPr>
                <w:sz w:val="20"/>
                <w:szCs w:val="20"/>
                <w:color w:val="auto"/>
              </w:rPr>
            </w:pPr>
            <w:r>
              <w:rPr>
                <w:rFonts w:ascii="Arial" w:cs="Arial" w:eastAsia="Arial" w:hAnsi="Arial"/>
                <w:sz w:val="16"/>
                <w:szCs w:val="16"/>
                <w:color w:val="auto"/>
              </w:rPr>
              <w:t>Item 9B.</w:t>
            </w:r>
          </w:p>
        </w:tc>
        <w:tc>
          <w:tcPr>
            <w:tcW w:w="9540" w:type="dxa"/>
            <w:vAlign w:val="bottom"/>
            <w:gridSpan w:val="24"/>
          </w:tcPr>
          <w:p>
            <w:pPr>
              <w:spacing w:after="0"/>
              <w:rPr>
                <w:sz w:val="20"/>
                <w:szCs w:val="20"/>
                <w:color w:val="auto"/>
              </w:rPr>
            </w:pPr>
            <w:r>
              <w:rPr>
                <w:rFonts w:ascii="Arial" w:cs="Arial" w:eastAsia="Arial" w:hAnsi="Arial"/>
                <w:sz w:val="16"/>
                <w:szCs w:val="16"/>
                <w:color w:val="0000FF"/>
              </w:rPr>
              <w:t>Other Information</w:t>
            </w:r>
          </w:p>
        </w:tc>
        <w:tc>
          <w:tcPr>
            <w:tcW w:w="6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0"/>
        </w:trPr>
        <w:tc>
          <w:tcPr>
            <w:tcW w:w="10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86"/>
        </w:trPr>
        <w:tc>
          <w:tcPr>
            <w:tcW w:w="1040" w:type="dxa"/>
            <w:vAlign w:val="bottom"/>
          </w:tcPr>
          <w:p>
            <w:pPr>
              <w:ind w:left="20"/>
              <w:spacing w:after="0"/>
              <w:rPr>
                <w:sz w:val="20"/>
                <w:szCs w:val="20"/>
                <w:color w:val="auto"/>
              </w:rPr>
            </w:pPr>
            <w:r>
              <w:rPr>
                <w:rFonts w:ascii="Arial" w:cs="Arial" w:eastAsia="Arial" w:hAnsi="Arial"/>
                <w:sz w:val="16"/>
                <w:szCs w:val="16"/>
                <w:color w:val="auto"/>
              </w:rPr>
              <w:t>Item 9C.</w:t>
            </w:r>
          </w:p>
        </w:tc>
        <w:tc>
          <w:tcPr>
            <w:tcW w:w="9540" w:type="dxa"/>
            <w:vAlign w:val="bottom"/>
            <w:gridSpan w:val="24"/>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6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304"/>
        </w:trPr>
        <w:tc>
          <w:tcPr>
            <w:tcW w:w="1040" w:type="dxa"/>
            <w:vAlign w:val="bottom"/>
          </w:tcPr>
          <w:p>
            <w:pPr>
              <w:ind w:left="20"/>
              <w:spacing w:after="0"/>
              <w:rPr>
                <w:sz w:val="20"/>
                <w:szCs w:val="20"/>
                <w:color w:val="auto"/>
              </w:rPr>
            </w:pPr>
            <w:r>
              <w:rPr>
                <w:rFonts w:ascii="Arial" w:cs="Arial" w:eastAsia="Arial" w:hAnsi="Arial"/>
                <w:sz w:val="16"/>
                <w:szCs w:val="16"/>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61"/>
        </w:trPr>
        <w:tc>
          <w:tcPr>
            <w:tcW w:w="1040" w:type="dxa"/>
            <w:vAlign w:val="bottom"/>
          </w:tcPr>
          <w:p>
            <w:pPr>
              <w:ind w:left="20"/>
              <w:spacing w:after="0"/>
              <w:rPr>
                <w:sz w:val="20"/>
                <w:szCs w:val="20"/>
                <w:color w:val="auto"/>
              </w:rPr>
            </w:pPr>
            <w:r>
              <w:rPr>
                <w:rFonts w:ascii="Arial" w:cs="Arial" w:eastAsia="Arial" w:hAnsi="Arial"/>
                <w:sz w:val="16"/>
                <w:szCs w:val="16"/>
                <w:color w:val="auto"/>
              </w:rPr>
              <w:t>Item 10.</w:t>
            </w:r>
          </w:p>
        </w:tc>
        <w:tc>
          <w:tcPr>
            <w:tcW w:w="404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color w:val="0000FF"/>
              </w:rPr>
              <w:t>Directors, Executive Officers and Corporate Governance</w:t>
            </w:r>
          </w:p>
        </w:tc>
        <w:tc>
          <w:tcPr>
            <w:tcW w:w="5500" w:type="dxa"/>
            <w:vAlign w:val="bottom"/>
            <w:gridSpan w:val="8"/>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86"/>
        </w:trPr>
        <w:tc>
          <w:tcPr>
            <w:tcW w:w="1040" w:type="dxa"/>
            <w:vAlign w:val="bottom"/>
          </w:tcPr>
          <w:p>
            <w:pPr>
              <w:ind w:left="20"/>
              <w:spacing w:after="0"/>
              <w:rPr>
                <w:sz w:val="20"/>
                <w:szCs w:val="20"/>
                <w:color w:val="auto"/>
              </w:rPr>
            </w:pPr>
            <w:r>
              <w:rPr>
                <w:rFonts w:ascii="Arial" w:cs="Arial" w:eastAsia="Arial" w:hAnsi="Arial"/>
                <w:sz w:val="16"/>
                <w:szCs w:val="16"/>
                <w:color w:val="auto"/>
              </w:rPr>
              <w:t>Item 11.</w:t>
            </w:r>
          </w:p>
        </w:tc>
        <w:tc>
          <w:tcPr>
            <w:tcW w:w="178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9"/>
              </w:rPr>
              <w:t>Executive Compensation</w:t>
            </w:r>
          </w:p>
        </w:tc>
        <w:tc>
          <w:tcPr>
            <w:tcW w:w="776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86"/>
        </w:trPr>
        <w:tc>
          <w:tcPr>
            <w:tcW w:w="1040" w:type="dxa"/>
            <w:vAlign w:val="bottom"/>
          </w:tcPr>
          <w:p>
            <w:pPr>
              <w:ind w:left="20"/>
              <w:spacing w:after="0"/>
              <w:rPr>
                <w:sz w:val="20"/>
                <w:szCs w:val="20"/>
                <w:color w:val="auto"/>
              </w:rPr>
            </w:pPr>
            <w:r>
              <w:rPr>
                <w:rFonts w:ascii="Arial" w:cs="Arial" w:eastAsia="Arial" w:hAnsi="Arial"/>
                <w:sz w:val="16"/>
                <w:szCs w:val="16"/>
                <w:color w:val="auto"/>
              </w:rPr>
              <w:t>Item 12.</w:t>
            </w:r>
          </w:p>
        </w:tc>
        <w:tc>
          <w:tcPr>
            <w:tcW w:w="7120" w:type="dxa"/>
            <w:vAlign w:val="bottom"/>
            <w:tcBorders>
              <w:bottom w:val="single" w:sz="8" w:color="0000FF"/>
            </w:tcBorders>
            <w:gridSpan w:val="22"/>
          </w:tcPr>
          <w:p>
            <w:pPr>
              <w:spacing w:after="0"/>
              <w:rPr>
                <w:sz w:val="20"/>
                <w:szCs w:val="20"/>
                <w:color w:val="auto"/>
              </w:rPr>
            </w:pPr>
            <w:r>
              <w:rPr>
                <w:rFonts w:ascii="Arial" w:cs="Arial" w:eastAsia="Arial" w:hAnsi="Arial"/>
                <w:sz w:val="16"/>
                <w:szCs w:val="16"/>
                <w:color w:val="0000FF"/>
                <w:w w:val="99"/>
              </w:rPr>
              <w:t>Security Ownership of Certain Beneficial Owners and Management and Related Stockholder Matters</w:t>
            </w:r>
          </w:p>
        </w:tc>
        <w:tc>
          <w:tcPr>
            <w:tcW w:w="242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86"/>
        </w:trPr>
        <w:tc>
          <w:tcPr>
            <w:tcW w:w="1040" w:type="dxa"/>
            <w:vAlign w:val="bottom"/>
          </w:tcPr>
          <w:p>
            <w:pPr>
              <w:ind w:left="20"/>
              <w:spacing w:after="0"/>
              <w:rPr>
                <w:sz w:val="20"/>
                <w:szCs w:val="20"/>
                <w:color w:val="auto"/>
              </w:rPr>
            </w:pPr>
            <w:r>
              <w:rPr>
                <w:rFonts w:ascii="Arial" w:cs="Arial" w:eastAsia="Arial" w:hAnsi="Arial"/>
                <w:sz w:val="16"/>
                <w:szCs w:val="16"/>
                <w:color w:val="auto"/>
              </w:rPr>
              <w:t>Item 13.</w:t>
            </w:r>
          </w:p>
        </w:tc>
        <w:tc>
          <w:tcPr>
            <w:tcW w:w="9540" w:type="dxa"/>
            <w:vAlign w:val="bottom"/>
            <w:gridSpan w:val="24"/>
          </w:tcPr>
          <w:p>
            <w:pPr>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66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86"/>
        </w:trPr>
        <w:tc>
          <w:tcPr>
            <w:tcW w:w="1040" w:type="dxa"/>
            <w:vAlign w:val="bottom"/>
          </w:tcPr>
          <w:p>
            <w:pPr>
              <w:ind w:left="20"/>
              <w:spacing w:after="0"/>
              <w:rPr>
                <w:sz w:val="20"/>
                <w:szCs w:val="20"/>
                <w:color w:val="auto"/>
              </w:rPr>
            </w:pPr>
            <w:r>
              <w:rPr>
                <w:rFonts w:ascii="Arial" w:cs="Arial" w:eastAsia="Arial" w:hAnsi="Arial"/>
                <w:sz w:val="16"/>
                <w:szCs w:val="16"/>
                <w:color w:val="auto"/>
              </w:rPr>
              <w:t>Item 14.</w:t>
            </w:r>
          </w:p>
        </w:tc>
        <w:tc>
          <w:tcPr>
            <w:tcW w:w="5400" w:type="dxa"/>
            <w:vAlign w:val="bottom"/>
            <w:tcBorders>
              <w:top w:val="single" w:sz="8" w:color="0000FF"/>
            </w:tcBorders>
            <w:gridSpan w:val="19"/>
          </w:tcPr>
          <w:p>
            <w:pPr>
              <w:spacing w:after="0"/>
              <w:rPr>
                <w:sz w:val="20"/>
                <w:szCs w:val="20"/>
                <w:color w:val="auto"/>
              </w:rPr>
            </w:pPr>
            <w:r>
              <w:rPr>
                <w:rFonts w:ascii="Arial" w:cs="Arial" w:eastAsia="Arial" w:hAnsi="Arial"/>
                <w:sz w:val="16"/>
                <w:szCs w:val="16"/>
                <w:color w:val="0000FF"/>
              </w:rPr>
              <w:t>Principal Accounting Fees and Services</w:t>
            </w:r>
          </w:p>
        </w:tc>
        <w:tc>
          <w:tcPr>
            <w:tcW w:w="414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331"/>
        </w:trPr>
        <w:tc>
          <w:tcPr>
            <w:tcW w:w="1040" w:type="dxa"/>
            <w:vAlign w:val="bottom"/>
          </w:tcPr>
          <w:p>
            <w:pPr>
              <w:ind w:left="20"/>
              <w:spacing w:after="0"/>
              <w:rPr>
                <w:sz w:val="20"/>
                <w:szCs w:val="20"/>
                <w:color w:val="auto"/>
              </w:rPr>
            </w:pPr>
            <w:r>
              <w:rPr>
                <w:rFonts w:ascii="Arial" w:cs="Arial" w:eastAsia="Arial" w:hAnsi="Arial"/>
                <w:sz w:val="16"/>
                <w:szCs w:val="16"/>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61"/>
        </w:trPr>
        <w:tc>
          <w:tcPr>
            <w:tcW w:w="1040" w:type="dxa"/>
            <w:vAlign w:val="bottom"/>
          </w:tcPr>
          <w:p>
            <w:pPr>
              <w:ind w:left="20"/>
              <w:spacing w:after="0"/>
              <w:rPr>
                <w:sz w:val="20"/>
                <w:szCs w:val="20"/>
                <w:color w:val="auto"/>
              </w:rPr>
            </w:pPr>
            <w:r>
              <w:rPr>
                <w:rFonts w:ascii="Arial" w:cs="Arial" w:eastAsia="Arial" w:hAnsi="Arial"/>
                <w:sz w:val="16"/>
                <w:szCs w:val="16"/>
                <w:color w:val="auto"/>
              </w:rPr>
              <w:t>Item 15.</w:t>
            </w:r>
          </w:p>
        </w:tc>
        <w:tc>
          <w:tcPr>
            <w:tcW w:w="9540" w:type="dxa"/>
            <w:vAlign w:val="bottom"/>
            <w:gridSpan w:val="24"/>
          </w:tcPr>
          <w:p>
            <w:pPr>
              <w:spacing w:after="0"/>
              <w:rPr>
                <w:sz w:val="20"/>
                <w:szCs w:val="20"/>
                <w:color w:val="auto"/>
              </w:rPr>
            </w:pPr>
            <w:r>
              <w:rPr>
                <w:rFonts w:ascii="Arial" w:cs="Arial" w:eastAsia="Arial" w:hAnsi="Arial"/>
                <w:sz w:val="16"/>
                <w:szCs w:val="16"/>
                <w:color w:val="0000FF"/>
              </w:rPr>
              <w:t>Exhibits and Financial Statement Schedules</w:t>
            </w:r>
          </w:p>
        </w:tc>
        <w:tc>
          <w:tcPr>
            <w:tcW w:w="66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86"/>
        </w:trPr>
        <w:tc>
          <w:tcPr>
            <w:tcW w:w="1040" w:type="dxa"/>
            <w:vAlign w:val="bottom"/>
          </w:tcPr>
          <w:p>
            <w:pPr>
              <w:ind w:left="20"/>
              <w:spacing w:after="0"/>
              <w:rPr>
                <w:sz w:val="20"/>
                <w:szCs w:val="20"/>
                <w:color w:val="auto"/>
              </w:rPr>
            </w:pPr>
            <w:r>
              <w:rPr>
                <w:rFonts w:ascii="Arial" w:cs="Arial" w:eastAsia="Arial" w:hAnsi="Arial"/>
                <w:sz w:val="16"/>
                <w:szCs w:val="16"/>
                <w:color w:val="auto"/>
              </w:rPr>
              <w:t>Item 16.</w:t>
            </w:r>
          </w:p>
        </w:tc>
        <w:tc>
          <w:tcPr>
            <w:tcW w:w="3120" w:type="dxa"/>
            <w:vAlign w:val="bottom"/>
            <w:tcBorders>
              <w:top w:val="single" w:sz="8" w:color="0000FF"/>
            </w:tcBorders>
            <w:gridSpan w:val="14"/>
          </w:tcPr>
          <w:p>
            <w:pPr>
              <w:spacing w:after="0"/>
              <w:rPr>
                <w:sz w:val="20"/>
                <w:szCs w:val="20"/>
                <w:color w:val="auto"/>
              </w:rPr>
            </w:pPr>
            <w:r>
              <w:rPr>
                <w:rFonts w:ascii="Arial" w:cs="Arial" w:eastAsia="Arial" w:hAnsi="Arial"/>
                <w:sz w:val="16"/>
                <w:szCs w:val="16"/>
                <w:color w:val="0000FF"/>
              </w:rPr>
              <w:t>Form 10-K Summary</w:t>
            </w:r>
          </w:p>
        </w:tc>
        <w:tc>
          <w:tcPr>
            <w:tcW w:w="6420" w:type="dxa"/>
            <w:vAlign w:val="bottom"/>
            <w:gridSpan w:val="10"/>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86"/>
        </w:trPr>
        <w:tc>
          <w:tcPr>
            <w:tcW w:w="1040" w:type="dxa"/>
            <w:vAlign w:val="bottom"/>
          </w:tcPr>
          <w:p>
            <w:pPr>
              <w:spacing w:after="0"/>
              <w:rPr>
                <w:sz w:val="24"/>
                <w:szCs w:val="24"/>
                <w:color w:val="auto"/>
              </w:rPr>
            </w:pPr>
          </w:p>
        </w:tc>
        <w:tc>
          <w:tcPr>
            <w:tcW w:w="1480" w:type="dxa"/>
            <w:vAlign w:val="bottom"/>
            <w:tcBorders>
              <w:top w:val="single" w:sz="8" w:color="0000FF"/>
            </w:tcBorders>
            <w:gridSpan w:val="9"/>
          </w:tcPr>
          <w:p>
            <w:pPr>
              <w:spacing w:after="0"/>
              <w:rPr>
                <w:sz w:val="20"/>
                <w:szCs w:val="20"/>
                <w:color w:val="auto"/>
              </w:rPr>
            </w:pPr>
            <w:r>
              <w:rPr>
                <w:rFonts w:ascii="Arial" w:cs="Arial" w:eastAsia="Arial" w:hAnsi="Arial"/>
                <w:sz w:val="16"/>
                <w:szCs w:val="16"/>
                <w:color w:val="0000FF"/>
              </w:rPr>
              <w:t>Signatures</w:t>
            </w:r>
          </w:p>
        </w:tc>
        <w:tc>
          <w:tcPr>
            <w:tcW w:w="8060" w:type="dxa"/>
            <w:vAlign w:val="bottom"/>
            <w:gridSpan w:val="1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0"/>
        </w:trPr>
        <w:tc>
          <w:tcPr>
            <w:tcW w:w="104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FF"/>
          </w:tcPr>
          <w:p>
            <w:pPr>
              <w:spacing w:after="0" w:line="20" w:lineRule="exact"/>
              <w:rPr>
                <w:sz w:val="1"/>
                <w:szCs w:val="1"/>
                <w:color w:val="auto"/>
              </w:rPr>
            </w:pPr>
          </w:p>
        </w:tc>
        <w:tc>
          <w:tcPr>
            <w:tcW w:w="8760" w:type="dxa"/>
            <w:vAlign w:val="bottom"/>
            <w:gridSpan w:val="2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23"/>
        </w:trPr>
        <w:tc>
          <w:tcPr>
            <w:tcW w:w="1040" w:type="dxa"/>
            <w:vAlign w:val="bottom"/>
          </w:tcPr>
          <w:p>
            <w:pPr>
              <w:spacing w:after="0"/>
              <w:rPr>
                <w:sz w:val="24"/>
                <w:szCs w:val="24"/>
                <w:color w:val="auto"/>
              </w:rPr>
            </w:pPr>
          </w:p>
        </w:tc>
        <w:tc>
          <w:tcPr>
            <w:tcW w:w="9540" w:type="dxa"/>
            <w:vAlign w:val="bottom"/>
            <w:gridSpan w:val="24"/>
          </w:tcPr>
          <w:p>
            <w:pPr>
              <w:spacing w:after="0"/>
              <w:rPr>
                <w:sz w:val="20"/>
                <w:szCs w:val="20"/>
                <w:color w:val="auto"/>
              </w:rPr>
            </w:pPr>
            <w:r>
              <w:rPr>
                <w:rFonts w:ascii="Arial" w:cs="Arial" w:eastAsia="Arial" w:hAnsi="Arial"/>
                <w:sz w:val="16"/>
                <w:szCs w:val="16"/>
                <w:color w:val="auto"/>
              </w:rPr>
              <w:t>Certifications</w:t>
            </w:r>
          </w:p>
        </w:tc>
        <w:tc>
          <w:tcPr>
            <w:tcW w:w="660" w:type="dxa"/>
            <w:vAlign w:val="bottom"/>
          </w:tcPr>
          <w:p>
            <w:pPr>
              <w:spacing w:after="0"/>
              <w:rPr>
                <w:sz w:val="24"/>
                <w:szCs w:val="24"/>
                <w:color w:val="auto"/>
              </w:rPr>
            </w:pPr>
          </w:p>
        </w:tc>
      </w:tr>
      <w:tr>
        <w:trPr>
          <w:trHeight w:val="612"/>
        </w:trPr>
        <w:tc>
          <w:tcPr>
            <w:tcW w:w="1040" w:type="dxa"/>
            <w:vAlign w:val="bottom"/>
          </w:tcPr>
          <w:p>
            <w:pPr>
              <w:spacing w:after="0"/>
              <w:rPr>
                <w:sz w:val="24"/>
                <w:szCs w:val="24"/>
                <w:color w:val="auto"/>
              </w:rPr>
            </w:pPr>
          </w:p>
        </w:tc>
        <w:tc>
          <w:tcPr>
            <w:tcW w:w="4800" w:type="dxa"/>
            <w:vAlign w:val="bottom"/>
            <w:gridSpan w:val="18"/>
          </w:tcPr>
          <w:p>
            <w:pPr>
              <w:jc w:val="center"/>
              <w:ind w:left="4280"/>
              <w:spacing w:after="0"/>
              <w:rPr>
                <w:sz w:val="20"/>
                <w:szCs w:val="20"/>
                <w:color w:val="auto"/>
              </w:rPr>
            </w:pPr>
            <w:r>
              <w:rPr>
                <w:rFonts w:ascii="Arial" w:cs="Arial" w:eastAsia="Arial" w:hAnsi="Arial"/>
                <w:sz w:val="16"/>
                <w:szCs w:val="16"/>
                <w:color w:val="auto"/>
                <w:w w:val="89"/>
              </w:rPr>
              <w:t>2</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42"/>
        </w:trPr>
        <w:tc>
          <w:tcPr>
            <w:tcW w:w="10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auto"/>
        </w:rPr>
        <w:t>PART I</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 Business.</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All references in this report to “Registrant,” “Company,” “SLB,” “we” or “our” are to Schlumberger Limited (Schlumberger N.V.) and its consolidated subsidiaries.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are SLB, a global technology company driving energy innovation for a balanced planet. With a global presence in more than 100 countries and employees representing almost twice as many nationalities, we work each day on innovating energy technology, delivering digital at scale, decarbonizing industries, and developing and scaling new energy systems that accelerate the energy transition.</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Today, the world faces the challenge of providing secure and affordable energy to meet growing demand, while rapidly decarbonizing for a sustainable future. With nearly a century of market and technology leadership, SLB is well positioned and committed to being a leader in providing solutions to address this trilemma.</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October 2022, we changed our brand name to SLB and unveiled a new logo that underscores our vision for a decarbonized energy future. This bold change highlighted our leadership as a global technology company focused on driving energy innovation within traditional energy sources and beyond. The SLB brand builds on nearly a century of technology innovation and industrialization. Our identity symbolizes SLB's commitment to moving farther and faster in facilitating the world's energy needs today and forging the road ahead for a sustainable future.</w:t>
      </w:r>
    </w:p>
    <w:p>
      <w:pPr>
        <w:spacing w:after="0" w:line="153"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SLB is organized under four Divisions that combine and integrate SLB’s technologies, enhancing our ability to support the emerging long-term growth opportunities in each of these market segments. The four Divisions are:</w:t>
      </w:r>
    </w:p>
    <w:p>
      <w:pPr>
        <w:spacing w:after="0" w:line="55" w:lineRule="exact"/>
        <w:rPr>
          <w:sz w:val="20"/>
          <w:szCs w:val="20"/>
          <w:color w:val="auto"/>
        </w:rPr>
      </w:pPr>
    </w:p>
    <w:p>
      <w:pPr>
        <w:ind w:left="1020" w:hanging="505"/>
        <w:spacing w:after="0"/>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Digital &amp; Integration</w:t>
      </w:r>
    </w:p>
    <w:p>
      <w:pPr>
        <w:spacing w:after="0" w:line="25" w:lineRule="exact"/>
        <w:rPr>
          <w:rFonts w:ascii="Times New Roman" w:cs="Times New Roman" w:eastAsia="Times New Roman" w:hAnsi="Times New Roman"/>
          <w:sz w:val="16"/>
          <w:szCs w:val="16"/>
          <w:color w:val="auto"/>
        </w:rPr>
      </w:pPr>
    </w:p>
    <w:p>
      <w:pPr>
        <w:ind w:left="1020" w:hanging="505"/>
        <w:spacing w:after="0"/>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Reservoir Performance</w:t>
      </w:r>
    </w:p>
    <w:p>
      <w:pPr>
        <w:spacing w:after="0" w:line="14" w:lineRule="exact"/>
        <w:rPr>
          <w:rFonts w:ascii="Times New Roman" w:cs="Times New Roman" w:eastAsia="Times New Roman" w:hAnsi="Times New Roman"/>
          <w:sz w:val="16"/>
          <w:szCs w:val="16"/>
          <w:color w:val="auto"/>
        </w:rPr>
      </w:pPr>
    </w:p>
    <w:p>
      <w:pPr>
        <w:ind w:left="1020" w:hanging="505"/>
        <w:spacing w:after="0"/>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Well Construction</w:t>
      </w:r>
    </w:p>
    <w:p>
      <w:pPr>
        <w:spacing w:after="0" w:line="14" w:lineRule="exact"/>
        <w:rPr>
          <w:rFonts w:ascii="Times New Roman" w:cs="Times New Roman" w:eastAsia="Times New Roman" w:hAnsi="Times New Roman"/>
          <w:sz w:val="16"/>
          <w:szCs w:val="16"/>
          <w:color w:val="auto"/>
        </w:rPr>
      </w:pPr>
    </w:p>
    <w:p>
      <w:pPr>
        <w:ind w:left="1020" w:hanging="505"/>
        <w:spacing w:after="0"/>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Production Systems</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auto"/>
        </w:rPr>
        <w:t xml:space="preserve">Digital &amp; Integration </w:t>
      </w:r>
      <w:r>
        <w:rPr>
          <w:rFonts w:ascii="Arial" w:cs="Arial" w:eastAsia="Arial" w:hAnsi="Arial"/>
          <w:sz w:val="16"/>
          <w:szCs w:val="16"/>
          <w:color w:val="auto"/>
        </w:rPr>
        <w:t>– Co</w:t>
      </w:r>
      <w:r>
        <w:rPr>
          <w:rFonts w:ascii="Arial" w:cs="Arial" w:eastAsia="Arial" w:hAnsi="Arial"/>
          <w:sz w:val="16"/>
          <w:szCs w:val="16"/>
          <w:color w:val="231F20"/>
        </w:rPr>
        <w:t>mbines SLB’s industry-leading digital solutions and data products with its integrated offering of Asset Performance Solutions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231F20"/>
        </w:rPr>
        <w:t>(“APS”). This Division enables greater performance for our customers by reducing cycle times and risk, accelerating returns, increasing productivity, and lowering costs and carbon emissions.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primary offerings comprising this Division are:</w:t>
      </w:r>
    </w:p>
    <w:p>
      <w:pPr>
        <w:spacing w:after="0" w:line="18" w:lineRule="exact"/>
        <w:rPr>
          <w:sz w:val="20"/>
          <w:szCs w:val="20"/>
          <w:color w:val="auto"/>
        </w:rPr>
      </w:pPr>
    </w:p>
    <w:p>
      <w:pPr>
        <w:jc w:val="both"/>
        <w:ind w:left="1020" w:hanging="505"/>
        <w:spacing w:after="0" w:line="242" w:lineRule="auto"/>
        <w:tabs>
          <w:tab w:leader="none" w:pos="1020" w:val="left"/>
        </w:tabs>
        <w:numPr>
          <w:ilvl w:val="0"/>
          <w:numId w:val="4"/>
        </w:numPr>
        <w:rPr>
          <w:rFonts w:ascii="Times New Roman" w:cs="Times New Roman" w:eastAsia="Times New Roman" w:hAnsi="Times New Roman"/>
          <w:sz w:val="16"/>
          <w:szCs w:val="16"/>
          <w:color w:val="231F20"/>
        </w:rPr>
      </w:pPr>
      <w:r>
        <w:rPr>
          <w:rFonts w:ascii="Arial" w:cs="Arial" w:eastAsia="Arial" w:hAnsi="Arial"/>
          <w:sz w:val="16"/>
          <w:szCs w:val="16"/>
          <w:i w:val="1"/>
          <w:iCs w:val="1"/>
          <w:color w:val="231F20"/>
        </w:rPr>
        <w:t xml:space="preserve">Digital Solutions: </w:t>
      </w:r>
      <w:r>
        <w:rPr>
          <w:rFonts w:ascii="Arial" w:cs="Arial" w:eastAsia="Arial" w:hAnsi="Arial"/>
          <w:sz w:val="16"/>
          <w:szCs w:val="16"/>
          <w:color w:val="231F20"/>
        </w:rPr>
        <w:t>Includes products, services, and solutions that span the energy value chain from subsurface characterization through field</w:t>
      </w:r>
      <w:r>
        <w:rPr>
          <w:rFonts w:ascii="Arial" w:cs="Arial" w:eastAsia="Arial" w:hAnsi="Arial"/>
          <w:sz w:val="16"/>
          <w:szCs w:val="16"/>
          <w:i w:val="1"/>
          <w:iCs w:val="1"/>
          <w:color w:val="231F20"/>
        </w:rPr>
        <w:t xml:space="preserve"> </w:t>
      </w:r>
      <w:r>
        <w:rPr>
          <w:rFonts w:ascii="Arial" w:cs="Arial" w:eastAsia="Arial" w:hAnsi="Arial"/>
          <w:sz w:val="16"/>
          <w:szCs w:val="16"/>
          <w:color w:val="231F20"/>
        </w:rPr>
        <w:t>development and hydrocarbon production to carbon management and the integration of adjacent energy systems. Offerings are founded upon proprietary and open-source data platform technologies, industry-leading simulators, and workflow tools, and include domain-specific application of innovative digital capabilities, such as artificial intelligence ("AI") and machine learning. Solutions are deployable on traditional on-premise IT infrastructures, the cloud, and the edge, allowing for full market coverage irrespective of customer constraints. Digital Solutions also provides comprehensive reservoir interpretation and data processing services, enabled by a scientifically advanced platform and innovative subsurface imaging techniques for exploration data, and includes one of the industry’s most extensive exploration data libraries.</w:t>
      </w:r>
    </w:p>
    <w:p>
      <w:pPr>
        <w:spacing w:after="0" w:line="5" w:lineRule="exact"/>
        <w:rPr>
          <w:rFonts w:ascii="Times New Roman" w:cs="Times New Roman" w:eastAsia="Times New Roman" w:hAnsi="Times New Roman"/>
          <w:sz w:val="16"/>
          <w:szCs w:val="16"/>
          <w:color w:val="231F20"/>
        </w:rPr>
      </w:pPr>
    </w:p>
    <w:p>
      <w:pPr>
        <w:jc w:val="both"/>
        <w:ind w:left="1020" w:hanging="505"/>
        <w:spacing w:after="0" w:line="247" w:lineRule="auto"/>
        <w:tabs>
          <w:tab w:leader="none" w:pos="1020" w:val="left"/>
        </w:tabs>
        <w:numPr>
          <w:ilvl w:val="0"/>
          <w:numId w:val="4"/>
        </w:numPr>
        <w:rPr>
          <w:rFonts w:ascii="Times New Roman" w:cs="Times New Roman" w:eastAsia="Times New Roman" w:hAnsi="Times New Roman"/>
          <w:sz w:val="16"/>
          <w:szCs w:val="16"/>
          <w:color w:val="231F20"/>
        </w:rPr>
      </w:pPr>
      <w:r>
        <w:rPr>
          <w:rFonts w:ascii="Arial" w:cs="Arial" w:eastAsia="Arial" w:hAnsi="Arial"/>
          <w:sz w:val="16"/>
          <w:szCs w:val="16"/>
          <w:i w:val="1"/>
          <w:iCs w:val="1"/>
          <w:color w:val="231F20"/>
        </w:rPr>
        <w:t xml:space="preserve">Asset Performance Solutions: </w:t>
      </w:r>
      <w:r>
        <w:rPr>
          <w:rFonts w:ascii="Arial" w:cs="Arial" w:eastAsia="Arial" w:hAnsi="Arial"/>
          <w:sz w:val="16"/>
          <w:szCs w:val="16"/>
          <w:color w:val="231F20"/>
        </w:rPr>
        <w:t>Offers an integrated business model for field production projects. Combines SLB’s services and products with</w:t>
      </w:r>
      <w:r>
        <w:rPr>
          <w:rFonts w:ascii="Arial" w:cs="Arial" w:eastAsia="Arial" w:hAnsi="Arial"/>
          <w:sz w:val="16"/>
          <w:szCs w:val="16"/>
          <w:i w:val="1"/>
          <w:iCs w:val="1"/>
          <w:color w:val="231F20"/>
        </w:rPr>
        <w:t xml:space="preserve"> </w:t>
      </w:r>
      <w:r>
        <w:rPr>
          <w:rFonts w:ascii="Arial" w:cs="Arial" w:eastAsia="Arial" w:hAnsi="Arial"/>
          <w:sz w:val="16"/>
          <w:szCs w:val="16"/>
          <w:color w:val="231F20"/>
        </w:rPr>
        <w:t>drilling rig management and specialized engineering and project management expertise, to provide a complete solution from well construction to production improvement. As of December 31, 2024, SLB’s APS portfolio primarily consisted of three field production projects in Ecuador and one in Canada.</w:t>
      </w:r>
    </w:p>
    <w:p>
      <w:pPr>
        <w:spacing w:after="0" w:line="15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auto"/>
        </w:rPr>
        <w:t xml:space="preserve">Reservoir Performance </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231F20"/>
        </w:rPr>
        <w:t>Consists of reservoir-centric technologies and services that are critical to optimizing reservoir productivity and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231F20"/>
        </w:rPr>
        <w:t>Reservoir Performance develops and deploys innovative technologies and services to evaluate, intervene, and stimulate reservoirs providing customers with greater insights into their assets and maximizing their return on investment.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primary offerings comprising this Division are:</w:t>
      </w:r>
    </w:p>
    <w:p>
      <w:pPr>
        <w:spacing w:after="0" w:line="18" w:lineRule="exact"/>
        <w:rPr>
          <w:sz w:val="20"/>
          <w:szCs w:val="20"/>
          <w:color w:val="auto"/>
        </w:rPr>
      </w:pPr>
    </w:p>
    <w:p>
      <w:pPr>
        <w:ind w:left="1020" w:hanging="505"/>
        <w:spacing w:after="0" w:line="242" w:lineRule="auto"/>
        <w:tabs>
          <w:tab w:leader="none" w:pos="1020" w:val="left"/>
        </w:tabs>
        <w:numPr>
          <w:ilvl w:val="0"/>
          <w:numId w:val="5"/>
        </w:numPr>
        <w:rPr>
          <w:rFonts w:ascii="Times New Roman" w:cs="Times New Roman" w:eastAsia="Times New Roman" w:hAnsi="Times New Roman"/>
          <w:sz w:val="16"/>
          <w:szCs w:val="16"/>
          <w:color w:val="231F20"/>
        </w:rPr>
      </w:pPr>
      <w:r>
        <w:rPr>
          <w:rFonts w:ascii="Arial" w:cs="Arial" w:eastAsia="Arial" w:hAnsi="Arial"/>
          <w:sz w:val="16"/>
          <w:szCs w:val="16"/>
          <w:i w:val="1"/>
          <w:iCs w:val="1"/>
          <w:color w:val="231F20"/>
        </w:rPr>
        <w:t xml:space="preserve">Evaluation: </w:t>
      </w:r>
      <w:r>
        <w:rPr>
          <w:rFonts w:ascii="Arial" w:cs="Arial" w:eastAsia="Arial" w:hAnsi="Arial"/>
          <w:sz w:val="16"/>
          <w:szCs w:val="16"/>
          <w:color w:val="231F20"/>
        </w:rPr>
        <w:t>Provides the measurement, interpretation, and insights necessary to understand the subsurface geology and fluids through wireline</w:t>
      </w:r>
      <w:r>
        <w:rPr>
          <w:rFonts w:ascii="Arial" w:cs="Arial" w:eastAsia="Arial" w:hAnsi="Arial"/>
          <w:sz w:val="16"/>
          <w:szCs w:val="16"/>
          <w:i w:val="1"/>
          <w:iCs w:val="1"/>
          <w:color w:val="231F20"/>
        </w:rPr>
        <w:t xml:space="preserve"> </w:t>
      </w:r>
      <w:r>
        <w:rPr>
          <w:rFonts w:ascii="Arial" w:cs="Arial" w:eastAsia="Arial" w:hAnsi="Arial"/>
          <w:sz w:val="16"/>
          <w:szCs w:val="16"/>
          <w:color w:val="231F20"/>
        </w:rPr>
        <w:t>logging, downhole testing and rock and fluid analysis services.</w:t>
      </w:r>
    </w:p>
    <w:p>
      <w:pPr>
        <w:ind w:left="1020" w:hanging="505"/>
        <w:spacing w:after="0"/>
        <w:tabs>
          <w:tab w:leader="none" w:pos="1020" w:val="left"/>
        </w:tabs>
        <w:numPr>
          <w:ilvl w:val="0"/>
          <w:numId w:val="5"/>
        </w:numPr>
        <w:rPr>
          <w:rFonts w:ascii="Times New Roman" w:cs="Times New Roman" w:eastAsia="Times New Roman" w:hAnsi="Times New Roman"/>
          <w:sz w:val="16"/>
          <w:szCs w:val="16"/>
          <w:color w:val="231F20"/>
        </w:rPr>
      </w:pPr>
      <w:r>
        <w:rPr>
          <w:rFonts w:ascii="Arial" w:cs="Arial" w:eastAsia="Arial" w:hAnsi="Arial"/>
          <w:sz w:val="16"/>
          <w:szCs w:val="16"/>
          <w:i w:val="1"/>
          <w:iCs w:val="1"/>
          <w:color w:val="231F20"/>
        </w:rPr>
        <w:t>Stimulation</w:t>
      </w:r>
      <w:r>
        <w:rPr>
          <w:rFonts w:ascii="Arial" w:cs="Arial" w:eastAsia="Arial" w:hAnsi="Arial"/>
          <w:sz w:val="16"/>
          <w:szCs w:val="16"/>
          <w:color w:val="231F20"/>
        </w:rPr>
        <w:t>: Provides services to restore or enhance well productivity through hydraulic fracturing, matrix stimulation, and water treatment.</w:t>
      </w:r>
    </w:p>
    <w:p>
      <w:pPr>
        <w:spacing w:after="0" w:line="9" w:lineRule="exact"/>
        <w:rPr>
          <w:rFonts w:ascii="Times New Roman" w:cs="Times New Roman" w:eastAsia="Times New Roman" w:hAnsi="Times New Roman"/>
          <w:sz w:val="16"/>
          <w:szCs w:val="16"/>
          <w:color w:val="231F20"/>
        </w:rPr>
      </w:pPr>
    </w:p>
    <w:p>
      <w:pPr>
        <w:ind w:left="1020" w:right="220" w:hanging="505"/>
        <w:spacing w:after="0" w:line="262" w:lineRule="auto"/>
        <w:tabs>
          <w:tab w:leader="none" w:pos="1020" w:val="left"/>
        </w:tabs>
        <w:numPr>
          <w:ilvl w:val="0"/>
          <w:numId w:val="5"/>
        </w:numPr>
        <w:rPr>
          <w:rFonts w:ascii="Times New Roman" w:cs="Times New Roman" w:eastAsia="Times New Roman" w:hAnsi="Times New Roman"/>
          <w:sz w:val="16"/>
          <w:szCs w:val="16"/>
          <w:color w:val="231F20"/>
        </w:rPr>
      </w:pPr>
      <w:r>
        <w:rPr>
          <w:rFonts w:ascii="Arial" w:cs="Arial" w:eastAsia="Arial" w:hAnsi="Arial"/>
          <w:sz w:val="16"/>
          <w:szCs w:val="16"/>
          <w:i w:val="1"/>
          <w:iCs w:val="1"/>
          <w:color w:val="231F20"/>
        </w:rPr>
        <w:t>Intervention</w:t>
      </w:r>
      <w:r>
        <w:rPr>
          <w:rFonts w:ascii="Arial" w:cs="Arial" w:eastAsia="Arial" w:hAnsi="Arial"/>
          <w:sz w:val="16"/>
          <w:szCs w:val="16"/>
          <w:color w:val="231F20"/>
        </w:rPr>
        <w:t>: Provides a comprehensive approach to oil and gas operators to increase their intervention success rates and maximize recovery</w:t>
      </w:r>
      <w:r>
        <w:rPr>
          <w:rFonts w:ascii="Arial" w:cs="Arial" w:eastAsia="Arial" w:hAnsi="Arial"/>
          <w:sz w:val="16"/>
          <w:szCs w:val="16"/>
          <w:i w:val="1"/>
          <w:iCs w:val="1"/>
          <w:color w:val="231F20"/>
        </w:rPr>
        <w:t xml:space="preserve"> </w:t>
      </w:r>
      <w:r>
        <w:rPr>
          <w:rFonts w:ascii="Arial" w:cs="Arial" w:eastAsia="Arial" w:hAnsi="Arial"/>
          <w:sz w:val="16"/>
          <w:szCs w:val="16"/>
          <w:color w:val="231F20"/>
        </w:rPr>
        <w:t>from brownfields through cased hole wireline and perforations, coiled-tubing interventions, slickline, and reservoir monitoring.</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auto"/>
        </w:rPr>
        <w:t xml:space="preserve">Well Construction </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231F20"/>
        </w:rPr>
        <w:t>Combines the full portfolio of products and services to optimize well placement and performance, maximize drilling efficiency,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231F20"/>
        </w:rPr>
        <w:t>improve wellbore assurance. Well Construction provides operators and drilling rig manufacturers with services and products related to the design and construction of a well.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The primary offerings comprising this Division are:</w:t>
      </w:r>
    </w:p>
    <w:p>
      <w:pPr>
        <w:spacing w:after="0" w:line="18" w:lineRule="exact"/>
        <w:rPr>
          <w:sz w:val="20"/>
          <w:szCs w:val="20"/>
          <w:color w:val="auto"/>
        </w:rPr>
      </w:pPr>
    </w:p>
    <w:p>
      <w:pPr>
        <w:ind w:left="1020" w:hanging="505"/>
        <w:spacing w:after="0" w:line="242" w:lineRule="auto"/>
        <w:tabs>
          <w:tab w:leader="none" w:pos="1020" w:val="left"/>
        </w:tabs>
        <w:numPr>
          <w:ilvl w:val="0"/>
          <w:numId w:val="6"/>
        </w:numPr>
        <w:rPr>
          <w:rFonts w:ascii="Times New Roman" w:cs="Times New Roman" w:eastAsia="Times New Roman" w:hAnsi="Times New Roman"/>
          <w:sz w:val="16"/>
          <w:szCs w:val="16"/>
          <w:color w:val="231F20"/>
        </w:rPr>
      </w:pPr>
      <w:r>
        <w:rPr>
          <w:rFonts w:ascii="Arial" w:cs="Arial" w:eastAsia="Arial" w:hAnsi="Arial"/>
          <w:sz w:val="16"/>
          <w:szCs w:val="16"/>
          <w:i w:val="1"/>
          <w:iCs w:val="1"/>
          <w:color w:val="231F20"/>
        </w:rPr>
        <w:t xml:space="preserve">Measurements: </w:t>
      </w:r>
      <w:r>
        <w:rPr>
          <w:rFonts w:ascii="Arial" w:cs="Arial" w:eastAsia="Arial" w:hAnsi="Arial"/>
          <w:sz w:val="16"/>
          <w:szCs w:val="16"/>
          <w:color w:val="231F20"/>
        </w:rPr>
        <w:t>Provides services and associated engineering support for mud logging for geological and drilling surveillance, directional drilling,</w:t>
      </w:r>
      <w:r>
        <w:rPr>
          <w:rFonts w:ascii="Arial" w:cs="Arial" w:eastAsia="Arial" w:hAnsi="Arial"/>
          <w:sz w:val="16"/>
          <w:szCs w:val="16"/>
          <w:i w:val="1"/>
          <w:iCs w:val="1"/>
          <w:color w:val="231F20"/>
        </w:rPr>
        <w:t xml:space="preserve"> </w:t>
      </w:r>
      <w:r>
        <w:rPr>
          <w:rFonts w:ascii="Arial" w:cs="Arial" w:eastAsia="Arial" w:hAnsi="Arial"/>
          <w:sz w:val="16"/>
          <w:szCs w:val="16"/>
          <w:color w:val="231F20"/>
        </w:rPr>
        <w:t>measurement-while-drilling, and logging-while-drilling services for all well profiles.</w:t>
      </w:r>
    </w:p>
    <w:p>
      <w:pPr>
        <w:jc w:val="both"/>
        <w:ind w:left="1020" w:hanging="505"/>
        <w:spacing w:after="0" w:line="242" w:lineRule="auto"/>
        <w:tabs>
          <w:tab w:leader="none" w:pos="1020" w:val="left"/>
        </w:tabs>
        <w:numPr>
          <w:ilvl w:val="0"/>
          <w:numId w:val="6"/>
        </w:numPr>
        <w:rPr>
          <w:rFonts w:ascii="Times New Roman" w:cs="Times New Roman" w:eastAsia="Times New Roman" w:hAnsi="Times New Roman"/>
          <w:sz w:val="16"/>
          <w:szCs w:val="16"/>
          <w:color w:val="231F20"/>
        </w:rPr>
      </w:pPr>
      <w:r>
        <w:rPr>
          <w:rFonts w:ascii="Arial" w:cs="Arial" w:eastAsia="Arial" w:hAnsi="Arial"/>
          <w:sz w:val="16"/>
          <w:szCs w:val="16"/>
          <w:i w:val="1"/>
          <w:iCs w:val="1"/>
          <w:color w:val="231F20"/>
        </w:rPr>
        <w:t xml:space="preserve">Drilling Fluids: </w:t>
      </w:r>
      <w:r>
        <w:rPr>
          <w:rFonts w:ascii="Arial" w:cs="Arial" w:eastAsia="Arial" w:hAnsi="Arial"/>
          <w:sz w:val="16"/>
          <w:szCs w:val="16"/>
          <w:color w:val="231F20"/>
        </w:rPr>
        <w:t>Supplies individually engineered drilling fluid systems that improve drilling performance and maintain well control and wellbore</w:t>
      </w:r>
      <w:r>
        <w:rPr>
          <w:rFonts w:ascii="Arial" w:cs="Arial" w:eastAsia="Arial" w:hAnsi="Arial"/>
          <w:sz w:val="16"/>
          <w:szCs w:val="16"/>
          <w:i w:val="1"/>
          <w:iCs w:val="1"/>
          <w:color w:val="231F20"/>
        </w:rPr>
        <w:t xml:space="preserve"> </w:t>
      </w:r>
      <w:r>
        <w:rPr>
          <w:rFonts w:ascii="Arial" w:cs="Arial" w:eastAsia="Arial" w:hAnsi="Arial"/>
          <w:sz w:val="16"/>
          <w:szCs w:val="16"/>
          <w:color w:val="231F20"/>
        </w:rPr>
        <w:t>stability throughout drilling operations as well as products and services that secure and protect well casings while isolating fluid zones and maximizing wellbore activity.</w:t>
      </w:r>
    </w:p>
    <w:p>
      <w:pPr>
        <w:spacing w:after="0" w:line="1" w:lineRule="exact"/>
        <w:rPr>
          <w:rFonts w:ascii="Times New Roman" w:cs="Times New Roman" w:eastAsia="Times New Roman" w:hAnsi="Times New Roman"/>
          <w:sz w:val="16"/>
          <w:szCs w:val="16"/>
          <w:color w:val="231F20"/>
        </w:rPr>
      </w:pPr>
    </w:p>
    <w:p>
      <w:pPr>
        <w:ind w:left="1020" w:hanging="505"/>
        <w:spacing w:after="0" w:line="242" w:lineRule="auto"/>
        <w:tabs>
          <w:tab w:leader="none" w:pos="1020" w:val="left"/>
        </w:tabs>
        <w:numPr>
          <w:ilvl w:val="0"/>
          <w:numId w:val="6"/>
        </w:numPr>
        <w:rPr>
          <w:rFonts w:ascii="Times New Roman" w:cs="Times New Roman" w:eastAsia="Times New Roman" w:hAnsi="Times New Roman"/>
          <w:sz w:val="16"/>
          <w:szCs w:val="16"/>
          <w:color w:val="231F20"/>
        </w:rPr>
      </w:pPr>
      <w:r>
        <w:rPr>
          <w:rFonts w:ascii="Arial" w:cs="Arial" w:eastAsia="Arial" w:hAnsi="Arial"/>
          <w:sz w:val="16"/>
          <w:szCs w:val="16"/>
          <w:i w:val="1"/>
          <w:iCs w:val="1"/>
          <w:color w:val="231F20"/>
        </w:rPr>
        <w:t>Equipment</w:t>
      </w:r>
      <w:r>
        <w:rPr>
          <w:rFonts w:ascii="Arial" w:cs="Arial" w:eastAsia="Arial" w:hAnsi="Arial"/>
          <w:sz w:val="16"/>
          <w:szCs w:val="16"/>
          <w:color w:val="231F20"/>
        </w:rPr>
        <w:t>: Provides drilling equipment, including pressure control equipment and rotary drilling equipment, and services for drilling contractors,</w:t>
      </w:r>
      <w:r>
        <w:rPr>
          <w:rFonts w:ascii="Arial" w:cs="Arial" w:eastAsia="Arial" w:hAnsi="Arial"/>
          <w:sz w:val="16"/>
          <w:szCs w:val="16"/>
          <w:i w:val="1"/>
          <w:iCs w:val="1"/>
          <w:color w:val="231F20"/>
        </w:rPr>
        <w:t xml:space="preserve"> </w:t>
      </w:r>
      <w:r>
        <w:rPr>
          <w:rFonts w:ascii="Arial" w:cs="Arial" w:eastAsia="Arial" w:hAnsi="Arial"/>
          <w:sz w:val="16"/>
          <w:szCs w:val="16"/>
          <w:color w:val="231F20"/>
        </w:rPr>
        <w:t>operators, and rental tool companies, and shipyards as well as land drilling rigs and related services.</w:t>
      </w:r>
    </w:p>
    <w:p>
      <w:pPr>
        <w:ind w:left="1020" w:hanging="505"/>
        <w:spacing w:after="0" w:line="242" w:lineRule="auto"/>
        <w:tabs>
          <w:tab w:leader="none" w:pos="1020" w:val="left"/>
        </w:tabs>
        <w:numPr>
          <w:ilvl w:val="0"/>
          <w:numId w:val="6"/>
        </w:numPr>
        <w:rPr>
          <w:rFonts w:ascii="Times New Roman" w:cs="Times New Roman" w:eastAsia="Times New Roman" w:hAnsi="Times New Roman"/>
          <w:sz w:val="16"/>
          <w:szCs w:val="16"/>
          <w:color w:val="231F20"/>
        </w:rPr>
      </w:pPr>
      <w:r>
        <w:rPr>
          <w:rFonts w:ascii="Arial" w:cs="Arial" w:eastAsia="Arial" w:hAnsi="Arial"/>
          <w:sz w:val="16"/>
          <w:szCs w:val="16"/>
          <w:i w:val="1"/>
          <w:iCs w:val="1"/>
          <w:color w:val="231F20"/>
        </w:rPr>
        <w:t xml:space="preserve">Drilling: </w:t>
      </w:r>
      <w:r>
        <w:rPr>
          <w:rFonts w:ascii="Arial" w:cs="Arial" w:eastAsia="Arial" w:hAnsi="Arial"/>
          <w:sz w:val="16"/>
          <w:szCs w:val="16"/>
          <w:color w:val="231F20"/>
        </w:rPr>
        <w:t>Designs, manufactures, and markets roller cone and fixed cutter drill bits for all drilling environments, as well as a wide variety of</w:t>
      </w:r>
      <w:r>
        <w:rPr>
          <w:rFonts w:ascii="Arial" w:cs="Arial" w:eastAsia="Arial" w:hAnsi="Arial"/>
          <w:sz w:val="16"/>
          <w:szCs w:val="16"/>
          <w:i w:val="1"/>
          <w:iCs w:val="1"/>
          <w:color w:val="231F20"/>
        </w:rPr>
        <w:t xml:space="preserve"> </w:t>
      </w:r>
      <w:r>
        <w:rPr>
          <w:rFonts w:ascii="Arial" w:cs="Arial" w:eastAsia="Arial" w:hAnsi="Arial"/>
          <w:sz w:val="16"/>
          <w:szCs w:val="16"/>
          <w:color w:val="231F20"/>
        </w:rPr>
        <w:t>bottomhole assembly and borehole enlargement technologies for drilling operations.</w:t>
      </w:r>
    </w:p>
    <w:p>
      <w:pPr>
        <w:ind w:left="1020" w:hanging="505"/>
        <w:spacing w:after="0" w:line="255" w:lineRule="auto"/>
        <w:tabs>
          <w:tab w:leader="none" w:pos="1020" w:val="left"/>
        </w:tabs>
        <w:numPr>
          <w:ilvl w:val="0"/>
          <w:numId w:val="6"/>
        </w:numPr>
        <w:rPr>
          <w:rFonts w:ascii="Times New Roman" w:cs="Times New Roman" w:eastAsia="Times New Roman" w:hAnsi="Times New Roman"/>
          <w:sz w:val="16"/>
          <w:szCs w:val="16"/>
          <w:color w:val="231F20"/>
        </w:rPr>
      </w:pPr>
      <w:r>
        <w:rPr>
          <w:rFonts w:ascii="Arial" w:cs="Arial" w:eastAsia="Arial" w:hAnsi="Arial"/>
          <w:sz w:val="16"/>
          <w:szCs w:val="16"/>
          <w:i w:val="1"/>
          <w:iCs w:val="1"/>
          <w:color w:val="231F20"/>
        </w:rPr>
        <w:t xml:space="preserve">Integrated Well Construction: </w:t>
      </w:r>
      <w:r>
        <w:rPr>
          <w:rFonts w:ascii="Arial" w:cs="Arial" w:eastAsia="Arial" w:hAnsi="Arial"/>
          <w:sz w:val="16"/>
          <w:szCs w:val="16"/>
          <w:color w:val="231F20"/>
        </w:rPr>
        <w:t>Provides integrated solutions to construct or change the architecture of wells, including well planning, well drilling</w:t>
      </w:r>
      <w:r>
        <w:rPr>
          <w:rFonts w:ascii="Arial" w:cs="Arial" w:eastAsia="Arial" w:hAnsi="Arial"/>
          <w:sz w:val="16"/>
          <w:szCs w:val="16"/>
          <w:i w:val="1"/>
          <w:iCs w:val="1"/>
          <w:color w:val="231F20"/>
        </w:rPr>
        <w:t xml:space="preserve"> </w:t>
      </w:r>
      <w:r>
        <w:rPr>
          <w:rFonts w:ascii="Arial" w:cs="Arial" w:eastAsia="Arial" w:hAnsi="Arial"/>
          <w:sz w:val="16"/>
          <w:szCs w:val="16"/>
          <w:color w:val="231F20"/>
        </w:rPr>
        <w:t>(including autonomous drilling), engineering, supervision, logistics, procurement and contracting of third parties, and drilling rig management.</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auto"/>
        </w:rPr>
        <w:t xml:space="preserve">Production Systems </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231F20"/>
        </w:rPr>
        <w:t>Develops technologies and provides expertise that enhances production and recovery from subsurface reservoirs to the surface,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231F20"/>
        </w:rPr>
        <w:t>pipelines, and to refineries. Production Systems provides a comprehensive portfolio of equipment and services including subsurface production systems, subsea and surface equipment and services, and midstream production systems.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primary offerings comprising this Division are:</w:t>
      </w:r>
    </w:p>
    <w:p>
      <w:pPr>
        <w:spacing w:after="0" w:line="18" w:lineRule="exact"/>
        <w:rPr>
          <w:sz w:val="20"/>
          <w:szCs w:val="20"/>
          <w:color w:val="auto"/>
        </w:rPr>
      </w:pPr>
    </w:p>
    <w:p>
      <w:pPr>
        <w:jc w:val="both"/>
        <w:ind w:left="1020" w:hanging="505"/>
        <w:spacing w:after="0" w:line="242" w:lineRule="auto"/>
        <w:tabs>
          <w:tab w:leader="none" w:pos="1020" w:val="left"/>
        </w:tabs>
        <w:numPr>
          <w:ilvl w:val="0"/>
          <w:numId w:val="7"/>
        </w:numPr>
        <w:rPr>
          <w:rFonts w:ascii="Times New Roman" w:cs="Times New Roman" w:eastAsia="Times New Roman" w:hAnsi="Times New Roman"/>
          <w:sz w:val="16"/>
          <w:szCs w:val="16"/>
          <w:color w:val="231F20"/>
        </w:rPr>
      </w:pPr>
      <w:r>
        <w:rPr>
          <w:rFonts w:ascii="Arial" w:cs="Arial" w:eastAsia="Arial" w:hAnsi="Arial"/>
          <w:sz w:val="16"/>
          <w:szCs w:val="16"/>
          <w:i w:val="1"/>
          <w:iCs w:val="1"/>
          <w:color w:val="231F20"/>
        </w:rPr>
        <w:t xml:space="preserve">Subsea Production Systems: </w:t>
      </w:r>
      <w:r>
        <w:rPr>
          <w:rFonts w:ascii="Arial" w:cs="Arial" w:eastAsia="Arial" w:hAnsi="Arial"/>
          <w:sz w:val="16"/>
          <w:szCs w:val="16"/>
          <w:color w:val="231F20"/>
        </w:rPr>
        <w:t>Through its</w:t>
      </w:r>
      <w:r>
        <w:rPr>
          <w:rFonts w:ascii="Arial" w:cs="Arial" w:eastAsia="Arial" w:hAnsi="Arial"/>
          <w:sz w:val="16"/>
          <w:szCs w:val="16"/>
          <w:i w:val="1"/>
          <w:iCs w:val="1"/>
          <w:color w:val="231F20"/>
        </w:rPr>
        <w:t xml:space="preserve"> OneSubsea</w:t>
      </w:r>
      <w:r>
        <w:rPr>
          <w:rFonts w:ascii="Arial" w:cs="Arial" w:eastAsia="Arial" w:hAnsi="Arial"/>
          <w:sz w:val="16"/>
          <w:szCs w:val="16"/>
          <w:color w:val="231F20"/>
        </w:rPr>
        <w:t>™ joint venture, provides integrated solutions, products, systems, and services for the</w:t>
      </w:r>
      <w:r>
        <w:rPr>
          <w:rFonts w:ascii="Arial" w:cs="Arial" w:eastAsia="Arial" w:hAnsi="Arial"/>
          <w:sz w:val="16"/>
          <w:szCs w:val="16"/>
          <w:i w:val="1"/>
          <w:iCs w:val="1"/>
          <w:color w:val="231F20"/>
        </w:rPr>
        <w:t xml:space="preserve"> </w:t>
      </w:r>
      <w:r>
        <w:rPr>
          <w:rFonts w:ascii="Arial" w:cs="Arial" w:eastAsia="Arial" w:hAnsi="Arial"/>
          <w:sz w:val="16"/>
          <w:szCs w:val="16"/>
          <w:color w:val="231F20"/>
        </w:rPr>
        <w:t>subsea market, including wellheads, subsea trees, manifolds and flowline connectors, control systems, connectors and services designed to maximize reservoir recovery and extend the life of each field.</w:t>
      </w:r>
    </w:p>
    <w:p>
      <w:pPr>
        <w:spacing w:after="0" w:line="1" w:lineRule="exact"/>
        <w:rPr>
          <w:rFonts w:ascii="Times New Roman" w:cs="Times New Roman" w:eastAsia="Times New Roman" w:hAnsi="Times New Roman"/>
          <w:sz w:val="16"/>
          <w:szCs w:val="16"/>
          <w:color w:val="231F20"/>
        </w:rPr>
      </w:pPr>
    </w:p>
    <w:p>
      <w:pPr>
        <w:ind w:left="1020" w:hanging="505"/>
        <w:spacing w:after="0" w:line="242" w:lineRule="auto"/>
        <w:tabs>
          <w:tab w:leader="none" w:pos="1020" w:val="left"/>
        </w:tabs>
        <w:numPr>
          <w:ilvl w:val="0"/>
          <w:numId w:val="7"/>
        </w:numPr>
        <w:rPr>
          <w:rFonts w:ascii="Times New Roman" w:cs="Times New Roman" w:eastAsia="Times New Roman" w:hAnsi="Times New Roman"/>
          <w:sz w:val="16"/>
          <w:szCs w:val="16"/>
          <w:color w:val="231F20"/>
        </w:rPr>
      </w:pPr>
      <w:r>
        <w:rPr>
          <w:rFonts w:ascii="Arial" w:cs="Arial" w:eastAsia="Arial" w:hAnsi="Arial"/>
          <w:sz w:val="16"/>
          <w:szCs w:val="16"/>
          <w:i w:val="1"/>
          <w:iCs w:val="1"/>
          <w:color w:val="231F20"/>
        </w:rPr>
        <w:t xml:space="preserve">Artificial Lift: </w:t>
      </w:r>
      <w:r>
        <w:rPr>
          <w:rFonts w:ascii="Arial" w:cs="Arial" w:eastAsia="Arial" w:hAnsi="Arial"/>
          <w:sz w:val="16"/>
          <w:szCs w:val="16"/>
          <w:color w:val="231F20"/>
        </w:rPr>
        <w:t>Provides lifting solutions using electrical submersible pumps, gas lift equipment, progressing cavity pumps, and surface horizontal</w:t>
      </w:r>
      <w:r>
        <w:rPr>
          <w:rFonts w:ascii="Arial" w:cs="Arial" w:eastAsia="Arial" w:hAnsi="Arial"/>
          <w:sz w:val="16"/>
          <w:szCs w:val="16"/>
          <w:i w:val="1"/>
          <w:iCs w:val="1"/>
          <w:color w:val="231F20"/>
        </w:rPr>
        <w:t xml:space="preserve"> </w:t>
      </w:r>
      <w:r>
        <w:rPr>
          <w:rFonts w:ascii="Arial" w:cs="Arial" w:eastAsia="Arial" w:hAnsi="Arial"/>
          <w:sz w:val="16"/>
          <w:szCs w:val="16"/>
          <w:color w:val="231F20"/>
        </w:rPr>
        <w:t>pumping systems.</w:t>
      </w:r>
    </w:p>
    <w:p>
      <w:pPr>
        <w:ind w:left="1020" w:hanging="505"/>
        <w:spacing w:after="0" w:line="242" w:lineRule="auto"/>
        <w:tabs>
          <w:tab w:leader="none" w:pos="1020" w:val="left"/>
        </w:tabs>
        <w:numPr>
          <w:ilvl w:val="0"/>
          <w:numId w:val="7"/>
        </w:numPr>
        <w:rPr>
          <w:rFonts w:ascii="Times New Roman" w:cs="Times New Roman" w:eastAsia="Times New Roman" w:hAnsi="Times New Roman"/>
          <w:sz w:val="16"/>
          <w:szCs w:val="16"/>
          <w:color w:val="231F20"/>
        </w:rPr>
      </w:pPr>
      <w:r>
        <w:rPr>
          <w:rFonts w:ascii="Arial" w:cs="Arial" w:eastAsia="Arial" w:hAnsi="Arial"/>
          <w:sz w:val="16"/>
          <w:szCs w:val="16"/>
          <w:i w:val="1"/>
          <w:iCs w:val="1"/>
          <w:color w:val="231F20"/>
        </w:rPr>
        <w:t xml:space="preserve">Completions: </w:t>
      </w:r>
      <w:r>
        <w:rPr>
          <w:rFonts w:ascii="Arial" w:cs="Arial" w:eastAsia="Arial" w:hAnsi="Arial"/>
          <w:sz w:val="16"/>
          <w:szCs w:val="16"/>
          <w:color w:val="231F20"/>
        </w:rPr>
        <w:t>Supplies well completion services and equipment that includes packers, safety valves, and sand control technology, as well as a</w:t>
      </w:r>
      <w:r>
        <w:rPr>
          <w:rFonts w:ascii="Arial" w:cs="Arial" w:eastAsia="Arial" w:hAnsi="Arial"/>
          <w:sz w:val="16"/>
          <w:szCs w:val="16"/>
          <w:i w:val="1"/>
          <w:iCs w:val="1"/>
          <w:color w:val="231F20"/>
        </w:rPr>
        <w:t xml:space="preserve"> </w:t>
      </w:r>
      <w:r>
        <w:rPr>
          <w:rFonts w:ascii="Arial" w:cs="Arial" w:eastAsia="Arial" w:hAnsi="Arial"/>
          <w:sz w:val="16"/>
          <w:szCs w:val="16"/>
          <w:color w:val="231F20"/>
        </w:rPr>
        <w:t>range of intelligent systems that enable real-time visibility and performance monitoring.</w:t>
      </w:r>
    </w:p>
    <w:p>
      <w:pPr>
        <w:ind w:left="1020" w:hanging="505"/>
        <w:spacing w:after="0" w:line="242" w:lineRule="auto"/>
        <w:tabs>
          <w:tab w:leader="none" w:pos="1020" w:val="left"/>
        </w:tabs>
        <w:numPr>
          <w:ilvl w:val="0"/>
          <w:numId w:val="7"/>
        </w:numPr>
        <w:rPr>
          <w:rFonts w:ascii="Times New Roman" w:cs="Times New Roman" w:eastAsia="Times New Roman" w:hAnsi="Times New Roman"/>
          <w:sz w:val="16"/>
          <w:szCs w:val="16"/>
          <w:color w:val="231F20"/>
        </w:rPr>
      </w:pPr>
      <w:r>
        <w:rPr>
          <w:rFonts w:ascii="Arial" w:cs="Arial" w:eastAsia="Arial" w:hAnsi="Arial"/>
          <w:sz w:val="16"/>
          <w:szCs w:val="16"/>
          <w:i w:val="1"/>
          <w:iCs w:val="1"/>
          <w:color w:val="231F20"/>
        </w:rPr>
        <w:t xml:space="preserve">Surface Production Systems: </w:t>
      </w:r>
      <w:r>
        <w:rPr>
          <w:rFonts w:ascii="Arial" w:cs="Arial" w:eastAsia="Arial" w:hAnsi="Arial"/>
          <w:sz w:val="16"/>
          <w:szCs w:val="16"/>
          <w:color w:val="231F20"/>
        </w:rPr>
        <w:t>Designs and manufactures onshore and offshore systems including wellheads, valves, chokes, actuators, and</w:t>
      </w:r>
      <w:r>
        <w:rPr>
          <w:rFonts w:ascii="Arial" w:cs="Arial" w:eastAsia="Arial" w:hAnsi="Arial"/>
          <w:sz w:val="16"/>
          <w:szCs w:val="16"/>
          <w:i w:val="1"/>
          <w:iCs w:val="1"/>
          <w:color w:val="231F20"/>
        </w:rPr>
        <w:t xml:space="preserve"> </w:t>
      </w:r>
      <w:r>
        <w:rPr>
          <w:rFonts w:ascii="Arial" w:cs="Arial" w:eastAsia="Arial" w:hAnsi="Arial"/>
          <w:sz w:val="16"/>
          <w:szCs w:val="16"/>
          <w:color w:val="231F20"/>
        </w:rPr>
        <w:t>surface trees, and provides fracturing and flow back services to operators.</w:t>
      </w:r>
    </w:p>
    <w:p>
      <w:pPr>
        <w:jc w:val="both"/>
        <w:ind w:left="1020" w:hanging="505"/>
        <w:spacing w:after="0" w:line="242" w:lineRule="auto"/>
        <w:tabs>
          <w:tab w:leader="none" w:pos="1020" w:val="left"/>
        </w:tabs>
        <w:numPr>
          <w:ilvl w:val="0"/>
          <w:numId w:val="7"/>
        </w:numPr>
        <w:rPr>
          <w:rFonts w:ascii="Times New Roman" w:cs="Times New Roman" w:eastAsia="Times New Roman" w:hAnsi="Times New Roman"/>
          <w:sz w:val="16"/>
          <w:szCs w:val="16"/>
          <w:color w:val="231F20"/>
        </w:rPr>
      </w:pPr>
      <w:r>
        <w:rPr>
          <w:rFonts w:ascii="Arial" w:cs="Arial" w:eastAsia="Arial" w:hAnsi="Arial"/>
          <w:sz w:val="16"/>
          <w:szCs w:val="16"/>
          <w:i w:val="1"/>
          <w:iCs w:val="1"/>
          <w:color w:val="231F20"/>
        </w:rPr>
        <w:t xml:space="preserve">Midstream Production Systems: </w:t>
      </w:r>
      <w:r>
        <w:rPr>
          <w:rFonts w:ascii="Arial" w:cs="Arial" w:eastAsia="Arial" w:hAnsi="Arial"/>
          <w:sz w:val="16"/>
          <w:szCs w:val="16"/>
          <w:color w:val="231F20"/>
        </w:rPr>
        <w:t>Enables efficient monetization of subsurface assets using standard and custom-designed onshore, offshore,</w:t>
      </w:r>
      <w:r>
        <w:rPr>
          <w:rFonts w:ascii="Arial" w:cs="Arial" w:eastAsia="Arial" w:hAnsi="Arial"/>
          <w:sz w:val="16"/>
          <w:szCs w:val="16"/>
          <w:i w:val="1"/>
          <w:iCs w:val="1"/>
          <w:color w:val="231F20"/>
        </w:rPr>
        <w:t xml:space="preserve"> </w:t>
      </w:r>
      <w:r>
        <w:rPr>
          <w:rFonts w:ascii="Arial" w:cs="Arial" w:eastAsia="Arial" w:hAnsi="Arial"/>
          <w:sz w:val="16"/>
          <w:szCs w:val="16"/>
          <w:color w:val="231F20"/>
        </w:rPr>
        <w:t>and downstream processing and chemical treatment systems, as well as unique, reservoir-driven, fit-for-purpose integrated production systems for accelerating first production and maximizing project economics.</w:t>
      </w:r>
    </w:p>
    <w:p>
      <w:pPr>
        <w:spacing w:after="0" w:line="1" w:lineRule="exact"/>
        <w:rPr>
          <w:rFonts w:ascii="Times New Roman" w:cs="Times New Roman" w:eastAsia="Times New Roman" w:hAnsi="Times New Roman"/>
          <w:sz w:val="16"/>
          <w:szCs w:val="16"/>
          <w:color w:val="231F20"/>
        </w:rPr>
      </w:pPr>
    </w:p>
    <w:p>
      <w:pPr>
        <w:jc w:val="both"/>
        <w:ind w:left="1020" w:hanging="505"/>
        <w:spacing w:after="0" w:line="249" w:lineRule="auto"/>
        <w:tabs>
          <w:tab w:leader="none" w:pos="1020" w:val="left"/>
        </w:tabs>
        <w:numPr>
          <w:ilvl w:val="0"/>
          <w:numId w:val="7"/>
        </w:numPr>
        <w:rPr>
          <w:rFonts w:ascii="Times New Roman" w:cs="Times New Roman" w:eastAsia="Times New Roman" w:hAnsi="Times New Roman"/>
          <w:sz w:val="16"/>
          <w:szCs w:val="16"/>
          <w:color w:val="231F20"/>
        </w:rPr>
      </w:pPr>
      <w:r>
        <w:rPr>
          <w:rFonts w:ascii="Arial" w:cs="Arial" w:eastAsia="Arial" w:hAnsi="Arial"/>
          <w:sz w:val="16"/>
          <w:szCs w:val="16"/>
          <w:i w:val="1"/>
          <w:iCs w:val="1"/>
          <w:color w:val="231F20"/>
        </w:rPr>
        <w:t xml:space="preserve">Valves: </w:t>
      </w:r>
      <w:r>
        <w:rPr>
          <w:rFonts w:ascii="Arial" w:cs="Arial" w:eastAsia="Arial" w:hAnsi="Arial"/>
          <w:sz w:val="16"/>
          <w:szCs w:val="16"/>
          <w:color w:val="231F20"/>
        </w:rPr>
        <w:t>Serves the upstream, midstream, and downstream markets with a broad portfolio of valves that are primarily used to control and direct</w:t>
      </w:r>
      <w:r>
        <w:rPr>
          <w:rFonts w:ascii="Arial" w:cs="Arial" w:eastAsia="Arial" w:hAnsi="Arial"/>
          <w:sz w:val="16"/>
          <w:szCs w:val="16"/>
          <w:i w:val="1"/>
          <w:iCs w:val="1"/>
          <w:color w:val="231F20"/>
        </w:rPr>
        <w:t xml:space="preserve"> </w:t>
      </w:r>
      <w:r>
        <w:rPr>
          <w:rFonts w:ascii="Arial" w:cs="Arial" w:eastAsia="Arial" w:hAnsi="Arial"/>
          <w:sz w:val="16"/>
          <w:szCs w:val="16"/>
          <w:color w:val="231F20"/>
        </w:rPr>
        <w:t>the flow of hydrocarbons as they are moved from wellheads through flow lines, gathering lines, and transmission systems to refineries, petrochemical plants, and industrial centers for processing.</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SLB's four Divisions operate through a geographical structure of four Basins that are aligned with critical concentrations of activity: Americas Land, Offshore Atlantic, Middle East &amp; North Africa, and Asia. The Basins are configured around common regional characteristics that enable us to deploy fit-for-purpose technologies, operating models, and skills to meet the specific customer needs in each Basin. The Basins are further organized into GeoUnits, which can be a region, a single country, or comprise several countries. With a strong focus on customers, the Basins identify opportunities for growth, and are focused on agility, responsiveness, and competitiveness.</w:t>
      </w:r>
    </w:p>
    <w:p>
      <w:pPr>
        <w:spacing w:after="0" w:line="15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Supporting the Divisions is a global network of research and development centers. Through these centers we advance SLB’s technology programs to enhance industry efficiency, lower finding and producing costs, improve productivity, maximize reserve recovery, and increase asset value safely, securely, and sustainably. These centers also support SLB's investments in lower carbon energy sources and carbon capture technologies.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ChampionX Transaction</w:t>
      </w:r>
    </w:p>
    <w:p>
      <w:pPr>
        <w:spacing w:after="0" w:line="10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April 2, 2024, SLB announced a definitive agreement to purchase ChampionX Corporation ("ChampionX") in an all-stock transaction. ChampionX is a global leader in chemistry solutions, artificial lift systems, and highly engineered equipment and technologies that help companies drill for and produce oil and gas safely, efficiently, and sustainably around the world. Under the terms of the agreement, ChampionX shareholders will receive 0.735 shares of SLB common stock in exchange for each ChampionX share. At the closing of the transaction ChampionX shareholders will own approximately 9% of SLB's outstanding shares of common stock. ChampionX reported revenue of approximately $2.7 billion for the nine months ended September 30, 2024. The transaction, which is subject to regulatory approvals and other customary closing conditions, received the approval of the ChampionX stockholders at a special meeting held on June 18, 2024. It is anticipated that the transaction will close in the first quarter of 2025.</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Strategy</w:t>
      </w:r>
    </w:p>
    <w:p>
      <w:pPr>
        <w:spacing w:after="0" w:line="109"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231F20"/>
        </w:rPr>
        <w:t>The evolving marketplace will require bold new technologies and ideas, digital transformation and a deep commitment to sustainability. With a balanced energy transition in mind, our strategy is focused on three engines of growth: Core, Digital, and New Energy.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i w:val="1"/>
          <w:iCs w:val="1"/>
          <w:color w:val="auto"/>
        </w:rPr>
        <w:t>Core</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Consisting of our Reservoir Performance, WeIl Construction and Production Systems Divisions, Core remains SLB’s largest engine of growth. Building on decades of technology advancement, we will continue innovating new products, services and technologies that make the exploration, development and production of oil and gas assets cleaner, more cost effective, and more efficient, with lower carbon emissions and less impact on the environment.</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We continue to build on our fit-for-basin approach and technology access initiatives, developing bespoke and custom technology tailored to the regions and environments in which we operate. This strategy allows us to address the rapid evolution of our industry into more regional markets, each with distinct resource plays and economics.</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With the continued growth of digitally enabled technologies that improve efficiency and performance, including our Transition Technologies™ portfolio and our SLB End-to-end Emissions Solutions (SEES) methane elimination business, SLB provides solutions that enable customers to increase production from their reserves at a competitive cost and at a lower carbon intensity per barrel equivalent.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Digital</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Digital capabilities continue to grow throughout the energy industry as a key element of the complex systems required to meet current energy demand, improve efficiency and to harness the promise of a lower-carbon future. SLB is uniquely positioned to support customers on their digital journeys by providing an offering which spans planning and operational workflows, underpinned by a data platform which allows customers to realize efficiency gains through AI.</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SLB’s customers have access to leading digital products that help to meet their sustainability goals by driving transparency, better measurement, more effective planning, and more impactful and reliable outcomes. To continue elevating customer offerings, we are accelerating the adoption of our proprietary Delfi™ offering, an open, scalable, and secure cloud-based software environment.</w:t>
      </w:r>
    </w:p>
    <w:p>
      <w:pPr>
        <w:spacing w:after="0" w:line="14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Our cloud-based solutions allow our customers to transition from our established software applications to our Delfi digital platform, and shift from a user-based license model to software-as-a-service (SaaS) subscriptions. This enables customers to evolve from legacy infrastructure and deliver new levels of value creation, with access to key resources such as storage and increased computing power from our cloud partners and our industry-leading simulators. Our evolving offering of on-premises solutions allows us to support the digital transition journey of customers that prefer or are required to maintain data solutions locally.</w:t>
      </w:r>
    </w:p>
    <w:p>
      <w:pPr>
        <w:spacing w:after="0" w:line="157"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231F20"/>
        </w:rPr>
        <w:t>Through our Lumi</w:t>
      </w:r>
      <w:r>
        <w:rPr>
          <w:rFonts w:ascii="Arial" w:cs="Arial" w:eastAsia="Arial" w:hAnsi="Arial"/>
          <w:sz w:val="21"/>
          <w:szCs w:val="21"/>
          <w:color w:val="231F20"/>
          <w:vertAlign w:val="superscript"/>
        </w:rPr>
        <w:t>TM</w:t>
      </w:r>
      <w:r>
        <w:rPr>
          <w:rFonts w:ascii="Arial" w:cs="Arial" w:eastAsia="Arial" w:hAnsi="Arial"/>
          <w:sz w:val="16"/>
          <w:szCs w:val="16"/>
          <w:color w:val="231F20"/>
        </w:rPr>
        <w:t xml:space="preserve"> data and AI platform, we also enable data-driven decision making for our customers across the energy industry. Data from a wide variety of sources across the subsurface and operations value chain can be accessed, facilitating AI-driven decision making at scale. The platform can connect diverse industry data sources, inclusive of on-premises data platforms and customer data infrastructure.</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231F20"/>
        </w:rPr>
        <w:t>We are also focused on using digital technology to enhance operational performance for our customers. Our software products sold directly to customers, which are agnostic to equipment provider, enable automation and autonomy to reduce cost and improve performance. However, we also provide digital services to enhance the SLB equipment and service offering in our Core Divisions. Many of these services use embedded AI to automate insights and differentiate our service delivery offering.</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New Energy</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New Energy offers a significant opportunity to use SLB’s experience and scale to drive innovation for a low-carbon economy spanning industries beyond oil and gas. We are building a broad, diverse portfolio across New Energy sectors, selected for their materiality and adjacency to existing SLB strengths and our ability to offer differentiated technology.</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Our New Energy portfolio builds on several fundamental SLB strengths: our unique subsurface domain expertise, applicable beyond oil and gas; our ability to design and deploy complex processing and production systems as an original equipment manufacturer; our differentiated track record for innovation and industrialization; and our ability to deploy at scale in any region of the world with local knowledge and talent.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231F20"/>
        </w:rPr>
        <w:t>SLB will continue building businesses and forging partnerships across various industries to focus on three key areas: Industrial Decarbonization, Renewables and Energy Efficiency, and Critical Minerals.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231F20"/>
        </w:rPr>
        <w:t>Industrial Decarbonization focuses on providing technology and business solutions in the field of carbon capture and sequestration (“CCS”) and low-carbon hydrogen for hard-to-abate industries.</w:t>
      </w:r>
    </w:p>
    <w:p>
      <w:pPr>
        <w:spacing w:after="0" w:line="134" w:lineRule="exact"/>
        <w:rPr>
          <w:sz w:val="20"/>
          <w:szCs w:val="20"/>
          <w:color w:val="auto"/>
        </w:rPr>
      </w:pPr>
    </w:p>
    <w:p>
      <w:pPr>
        <w:jc w:val="both"/>
        <w:ind w:left="1020" w:hanging="505"/>
        <w:spacing w:after="0" w:line="251" w:lineRule="auto"/>
        <w:tabs>
          <w:tab w:leader="none" w:pos="1020" w:val="left"/>
        </w:tabs>
        <w:numPr>
          <w:ilvl w:val="0"/>
          <w:numId w:val="8"/>
        </w:numPr>
        <w:rPr>
          <w:rFonts w:ascii="Times New Roman" w:cs="Times New Roman" w:eastAsia="Times New Roman" w:hAnsi="Times New Roman"/>
          <w:sz w:val="16"/>
          <w:szCs w:val="16"/>
          <w:color w:val="231F20"/>
        </w:rPr>
      </w:pPr>
      <w:r>
        <w:rPr>
          <w:rFonts w:ascii="Arial" w:cs="Arial" w:eastAsia="Arial" w:hAnsi="Arial"/>
          <w:sz w:val="16"/>
          <w:szCs w:val="16"/>
          <w:color w:val="231F20"/>
        </w:rPr>
        <w:t>SLB has been in the CCS business for more than three decades and is actively progressing technologies to enable widespread adoption of CCS at scale. Our expertise extends beyond subsurface characterization and well construction to include capture technology, project economics, technology selection, and permitting. This includes the recent establishment of SLB Capturi, offering a modular product platform of industrial-scale carbon capture solutions. In addition, SLB is developing digital platforms to support emissions management for carbon and methane that will allow clients to measure, monitor, and plan abatement strategies.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5" w:name="page6"/>
    <w:bookmarkEnd w:id="5"/>
    <w:p>
      <w:pPr>
        <w:jc w:val="both"/>
        <w:ind w:left="1020" w:hanging="505"/>
        <w:spacing w:after="0" w:line="259" w:lineRule="auto"/>
        <w:tabs>
          <w:tab w:leader="none" w:pos="1020" w:val="left"/>
        </w:tabs>
        <w:numPr>
          <w:ilvl w:val="0"/>
          <w:numId w:val="9"/>
        </w:numPr>
        <w:rPr>
          <w:rFonts w:ascii="Times New Roman" w:cs="Times New Roman" w:eastAsia="Times New Roman" w:hAnsi="Times New Roman"/>
          <w:sz w:val="16"/>
          <w:szCs w:val="16"/>
          <w:color w:val="231F20"/>
        </w:rPr>
      </w:pPr>
      <w:r>
        <w:rPr>
          <w:rFonts w:ascii="Arial" w:cs="Arial" w:eastAsia="Arial" w:hAnsi="Arial"/>
          <w:sz w:val="16"/>
          <w:szCs w:val="16"/>
          <w:color w:val="231F20"/>
        </w:rPr>
        <w:t>SLB has also invested in Genvia, a unique private-public partnership that combines SLB’s expertise and experience with that of the French Atomic Energy and Alternative Energies Commission and partners. Genvia aims to deliver the most efficient and cost-effective solid oxide electrolyzer technology for producing clean hydrogen in hard-to-abate industrial settings—a key component of the energy transition.</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6"/>
          <w:szCs w:val="16"/>
          <w:color w:val="231F20"/>
        </w:rPr>
        <w:t>Renewables and Energy Efficiency refers to our technology and business solutions designed to enable renewable energy expansion and greater energy efficiency, with a focus on geothermal, geoenergy, and energy storage.</w:t>
      </w:r>
    </w:p>
    <w:p>
      <w:pPr>
        <w:spacing w:after="0" w:line="134" w:lineRule="exact"/>
        <w:rPr>
          <w:sz w:val="20"/>
          <w:szCs w:val="20"/>
          <w:color w:val="auto"/>
        </w:rPr>
      </w:pPr>
    </w:p>
    <w:p>
      <w:pPr>
        <w:ind w:left="1020" w:hanging="505"/>
        <w:spacing w:after="0" w:line="276" w:lineRule="auto"/>
        <w:tabs>
          <w:tab w:leader="none" w:pos="1020" w:val="left"/>
        </w:tabs>
        <w:numPr>
          <w:ilvl w:val="0"/>
          <w:numId w:val="10"/>
        </w:numPr>
        <w:rPr>
          <w:rFonts w:ascii="Times New Roman" w:cs="Times New Roman" w:eastAsia="Times New Roman" w:hAnsi="Times New Roman"/>
          <w:sz w:val="16"/>
          <w:szCs w:val="16"/>
          <w:color w:val="231F20"/>
        </w:rPr>
      </w:pPr>
      <w:r>
        <w:rPr>
          <w:rFonts w:ascii="Arial" w:cs="Arial" w:eastAsia="Arial" w:hAnsi="Arial"/>
          <w:sz w:val="16"/>
          <w:szCs w:val="16"/>
          <w:color w:val="231F20"/>
        </w:rPr>
        <w:t>Geothermal power leverages the heat of the earth to generate electricity or provide heat directly, by tapping into subsurface hot water and steam zones.</w:t>
      </w:r>
    </w:p>
    <w:p>
      <w:pPr>
        <w:spacing w:after="0" w:line="135" w:lineRule="exact"/>
        <w:rPr>
          <w:rFonts w:ascii="Times New Roman" w:cs="Times New Roman" w:eastAsia="Times New Roman" w:hAnsi="Times New Roman"/>
          <w:sz w:val="16"/>
          <w:szCs w:val="16"/>
          <w:color w:val="231F20"/>
        </w:rPr>
      </w:pPr>
    </w:p>
    <w:p>
      <w:pPr>
        <w:ind w:left="1020" w:hanging="505"/>
        <w:spacing w:after="0" w:line="276" w:lineRule="auto"/>
        <w:tabs>
          <w:tab w:leader="none" w:pos="1020" w:val="left"/>
        </w:tabs>
        <w:numPr>
          <w:ilvl w:val="0"/>
          <w:numId w:val="10"/>
        </w:numPr>
        <w:rPr>
          <w:rFonts w:ascii="Times New Roman" w:cs="Times New Roman" w:eastAsia="Times New Roman" w:hAnsi="Times New Roman"/>
          <w:sz w:val="16"/>
          <w:szCs w:val="16"/>
          <w:color w:val="231F20"/>
        </w:rPr>
      </w:pPr>
      <w:r>
        <w:rPr>
          <w:rFonts w:ascii="Arial" w:cs="Arial" w:eastAsia="Arial" w:hAnsi="Arial"/>
          <w:sz w:val="16"/>
          <w:szCs w:val="16"/>
          <w:color w:val="231F20"/>
        </w:rPr>
        <w:t>Geoenergy uses the ambient temperatures beneath the earth's surface to act as a thermal battery and dramatically reduce energy consumption from heating and cooling buildings, driving both efficiency and decarbonization.</w:t>
      </w:r>
    </w:p>
    <w:p>
      <w:pPr>
        <w:spacing w:after="0" w:line="135" w:lineRule="exact"/>
        <w:rPr>
          <w:rFonts w:ascii="Times New Roman" w:cs="Times New Roman" w:eastAsia="Times New Roman" w:hAnsi="Times New Roman"/>
          <w:sz w:val="16"/>
          <w:szCs w:val="16"/>
          <w:color w:val="231F20"/>
        </w:rPr>
      </w:pPr>
    </w:p>
    <w:p>
      <w:pPr>
        <w:jc w:val="both"/>
        <w:ind w:left="1020" w:hanging="505"/>
        <w:spacing w:after="0" w:line="254" w:lineRule="auto"/>
        <w:tabs>
          <w:tab w:leader="none" w:pos="1020" w:val="left"/>
        </w:tabs>
        <w:numPr>
          <w:ilvl w:val="0"/>
          <w:numId w:val="10"/>
        </w:numPr>
        <w:rPr>
          <w:rFonts w:ascii="Times New Roman" w:cs="Times New Roman" w:eastAsia="Times New Roman" w:hAnsi="Times New Roman"/>
          <w:sz w:val="16"/>
          <w:szCs w:val="16"/>
          <w:color w:val="231F20"/>
        </w:rPr>
      </w:pPr>
      <w:r>
        <w:rPr>
          <w:rFonts w:ascii="Arial" w:cs="Arial" w:eastAsia="Arial" w:hAnsi="Arial"/>
          <w:sz w:val="16"/>
          <w:szCs w:val="16"/>
          <w:color w:val="231F20"/>
        </w:rPr>
        <w:t>Stationary energy storage is a key enabler to make variable renewable energy sources (such as solar or wind) a larger component of the world’s electricity systems enabling power to be delivered in the right place, at the right time, to meet demand. As renewables become a greater percentage of the energy mix, the need increases for additional long-duration energy storage to ensure the efficiency of renewable assets and the reliability of electricity systems.</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231F20"/>
        </w:rPr>
        <w:t>Critical Minerals is a business area where SLB is applying its knowledge of extraction technologies and processing to the location and sourcing of critical minerals, such as lithium from brine deposits, which will be required to support the energy transition. An example of this is our demonstration plant in Clayton Valley, Nevada, which integrates direct lithium extraction, concentration and conversion technologies to more sustainably produce lithium at scale. This is achieved much faster than conventional methods, while using significantly less land, water and chemical reagents.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Sustainability</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SLB’s emissions reduction strategy is at the center of our identity and vision, and our commitment to a sustainable future is underscored by bold science-backed targets aligned with the Paris Agreement. In 2021, SLB became the first company in the energy services industry to commit to a 2050 net-zero greenhouse gas (“GHG”) emissions target including all three emission scopes.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231F20"/>
        </w:rPr>
        <w:t>By setting targets based on SLB’s total 2019 baseline GHG footprint—inclusive of Scope 3 emissions (which accounted for approximately 95% of SLB’s baseline)—and not just its Scope 1 and 2 footprint, SLB’s comprehensive emissions reduction roadmap addresses the entire energy value chain.</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231F20"/>
        </w:rPr>
        <w:t>SLB’s 2050 net-zero target is supported by the following interim milestones, using 2019 as the baseline year:</w:t>
      </w:r>
    </w:p>
    <w:p>
      <w:pPr>
        <w:spacing w:after="0" w:line="18" w:lineRule="exact"/>
        <w:rPr>
          <w:sz w:val="20"/>
          <w:szCs w:val="20"/>
          <w:color w:val="auto"/>
        </w:rPr>
      </w:pPr>
    </w:p>
    <w:p>
      <w:pPr>
        <w:ind w:left="280" w:hanging="274"/>
        <w:spacing w:after="0"/>
        <w:tabs>
          <w:tab w:leader="none" w:pos="280" w:val="left"/>
        </w:tabs>
        <w:numPr>
          <w:ilvl w:val="0"/>
          <w:numId w:val="11"/>
        </w:numPr>
        <w:rPr>
          <w:rFonts w:ascii="Arial" w:cs="Arial" w:eastAsia="Arial" w:hAnsi="Arial"/>
          <w:sz w:val="16"/>
          <w:szCs w:val="16"/>
          <w:color w:val="231F20"/>
        </w:rPr>
      </w:pPr>
      <w:r>
        <w:rPr>
          <w:rFonts w:ascii="Arial" w:cs="Arial" w:eastAsia="Arial" w:hAnsi="Arial"/>
          <w:sz w:val="16"/>
          <w:szCs w:val="16"/>
          <w:color w:val="231F20"/>
        </w:rPr>
        <w:t>by 2025, a 30% reduction in Scope 1 and Scope 2 emissions;</w:t>
      </w:r>
    </w:p>
    <w:p>
      <w:pPr>
        <w:spacing w:after="0" w:line="2" w:lineRule="exact"/>
        <w:rPr>
          <w:rFonts w:ascii="Arial" w:cs="Arial" w:eastAsia="Arial" w:hAnsi="Arial"/>
          <w:sz w:val="16"/>
          <w:szCs w:val="16"/>
          <w:color w:val="231F20"/>
        </w:rPr>
      </w:pPr>
    </w:p>
    <w:p>
      <w:pPr>
        <w:ind w:left="280" w:hanging="274"/>
        <w:spacing w:after="0"/>
        <w:tabs>
          <w:tab w:leader="none" w:pos="280" w:val="left"/>
        </w:tabs>
        <w:numPr>
          <w:ilvl w:val="0"/>
          <w:numId w:val="11"/>
        </w:numPr>
        <w:rPr>
          <w:rFonts w:ascii="Arial" w:cs="Arial" w:eastAsia="Arial" w:hAnsi="Arial"/>
          <w:sz w:val="16"/>
          <w:szCs w:val="16"/>
          <w:color w:val="231F20"/>
        </w:rPr>
      </w:pPr>
      <w:r>
        <w:rPr>
          <w:rFonts w:ascii="Arial" w:cs="Arial" w:eastAsia="Arial" w:hAnsi="Arial"/>
          <w:sz w:val="16"/>
          <w:szCs w:val="16"/>
          <w:color w:val="231F20"/>
        </w:rPr>
        <w:t>by 2030, a 50% reduction in Scope 1 and Scope 2 emissions; and</w:t>
      </w:r>
    </w:p>
    <w:p>
      <w:pPr>
        <w:spacing w:after="0" w:line="2" w:lineRule="exact"/>
        <w:rPr>
          <w:rFonts w:ascii="Arial" w:cs="Arial" w:eastAsia="Arial" w:hAnsi="Arial"/>
          <w:sz w:val="16"/>
          <w:szCs w:val="16"/>
          <w:color w:val="231F20"/>
        </w:rPr>
      </w:pPr>
    </w:p>
    <w:p>
      <w:pPr>
        <w:ind w:left="280" w:hanging="274"/>
        <w:spacing w:after="0"/>
        <w:tabs>
          <w:tab w:leader="none" w:pos="280" w:val="left"/>
        </w:tabs>
        <w:numPr>
          <w:ilvl w:val="0"/>
          <w:numId w:val="11"/>
        </w:numPr>
        <w:rPr>
          <w:rFonts w:ascii="Arial" w:cs="Arial" w:eastAsia="Arial" w:hAnsi="Arial"/>
          <w:sz w:val="16"/>
          <w:szCs w:val="16"/>
          <w:color w:val="231F20"/>
        </w:rPr>
      </w:pPr>
      <w:r>
        <w:rPr>
          <w:rFonts w:ascii="Arial" w:cs="Arial" w:eastAsia="Arial" w:hAnsi="Arial"/>
          <w:sz w:val="16"/>
          <w:szCs w:val="16"/>
          <w:color w:val="231F20"/>
        </w:rPr>
        <w:t>by 2030, a 30% reduction in Scope 3 emissions.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231F20"/>
        </w:rPr>
        <w:t>SLB’s Scope 1 and 2 emissions primarily come from fuel use and electricity consumption. SLB’s Scope 3 emissions are indirect, such as emissions from customers’ use of SLB technology and emissions from our use of third-party goods and services.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There are three key components to SLB achieving the 2050 net-zero target: reducing operational emissions, reducing customer emissions that occur while using SLB technology, and taking carbon-negative actions of sufficient scale to offset any residual operating and technology emissions that SLB may have in 2050.</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231F20"/>
        </w:rPr>
        <w:t>In tandem with our 2050 net-zero commitment, SLB introduced a portfolio of Transition Technologies™ in 2021. This portfolio includes a select group of products and services that quantifiably reduce our customers’ GHG emissions footprint, while continuing to drive high performance, reliability, and efficiency. This portfolio is supported by an impact quantification framework and will continue to grow as sustainability is further embedded in SLB’s research and development process.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w:t>
      </w:r>
    </w:p>
    <w:p>
      <w:pPr>
        <w:spacing w:after="0" w:line="10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a leading global technology company that operates in more than 100 countries with a workforce of approximately 110,000 people from diverse backgrounds, cultures, and nationalities, one of SLB’s greatest strengths is the diversity of our people. We believe that our ability to attract, develop, motivate, and retain a highly competent and diverse workforce has been paramount to our success for many decades. We recognize that cultivating diversity and promoting inclusion are essential to attracting the best talent from around the world and enabling creativity and innovation to drive business success. We believe our strong culture focused on workforce diversity, inclusivity, and learning and development results in the best possible working environment for all our people.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Workforce Diversity</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SLB's long-standing commitment to national and cultural diversity is reflected in our workforce composition and our philosophy to recruit and develop people from the communities in which we operate. Our workforce nationality mix generally aligns with the revenue derived from the countries in which we work, as reflected in the charts below. This fosters a culture that is global in outlook, yet local in practice.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773430</wp:posOffset>
            </wp:positionH>
            <wp:positionV relativeFrom="page">
              <wp:posOffset>1238250</wp:posOffset>
            </wp:positionV>
            <wp:extent cx="6170295" cy="2425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029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SLB also recognizes the importance of gender diversity as a source of creativity, innovation, and competitive advantage. We are committed to leading our industry in this area and, in this regard, a number of years ago we established goals of having women represent 25% of our salaried workforce by 2025 and 30% by 2030. We reached our first milestone ahead of schedule, as women represented 25% of our salaried workforce as of December 31, 2024.</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Inclusivity</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We are building on our diversity to foster a strong culture of inclusion, in which each person can feel accepted, respected, and empowered to perform at their best. SLB has numerous global policies and programs to support our inclusive culture, including:</w:t>
      </w:r>
    </w:p>
    <w:p>
      <w:pPr>
        <w:spacing w:after="0" w:line="55" w:lineRule="exact"/>
        <w:rPr>
          <w:sz w:val="20"/>
          <w:szCs w:val="20"/>
          <w:color w:val="auto"/>
        </w:rPr>
      </w:pPr>
    </w:p>
    <w:p>
      <w:pPr>
        <w:ind w:left="1020" w:hanging="505"/>
        <w:spacing w:after="0" w:line="253" w:lineRule="auto"/>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a Code of Conduct that outlines the standards of behavior and ethics that all employees are expected to follow, and that prohibits any form of discrimination, harassment, or retaliation;</w:t>
      </w:r>
    </w:p>
    <w:p>
      <w:pPr>
        <w:ind w:left="1020" w:hanging="505"/>
        <w:spacing w:after="0" w:line="242" w:lineRule="auto"/>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a diversity, equity, and inclusion (“DEI”) strategy supported by a network of inclusion champions that promote DEI awareness and best practices; and</w:t>
      </w:r>
    </w:p>
    <w:p>
      <w:pPr>
        <w:ind w:left="1020" w:hanging="505"/>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a mobility program that enables employees to gain international exposure and experience and develop cross-cultural competencies.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Learning and Development</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SLB invests significantly in the learning and development of our people. We encourage a growth mindset and provide opportunities to our people for continuous learning throughout their career. This investment allows us to accelerate personal development while maximizing performance, fostering an agile workforce with the skills necessary to lead SLB today and into the future.</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SLB believes that through diversity, inclusivity, and growth mindset, we can support our people to reach their full potential, which unlocks value for all of our stakeholders.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principal methods of competition within the energy services industry are technological innovation, quality of service, and price differentiation. These factors vary geographically and are dependent upon the different services and products that SLB offers. SLB has numerous competitors, both large and small.</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SLB owns or controls one of the industry’s leading portfolios of intellectual property, including but not limited to patents, proprietary information, trade secrets, and software tools and applications that, in the aggregate, are material to SLB’s business. While SLB seeks and holds a significant number of patents covering various products and processes, no particular patent or group of patents is material to SLB’s business.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Seasonality</w:t>
      </w:r>
    </w:p>
    <w:p>
      <w:pPr>
        <w:spacing w:after="0" w:line="10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Seasonal changes in weather and significant weather events can temporarily affect the delivery of SLB’s products and services. For example, the spring thaw in Canada and other Northern climates and consequent road restrictions can affect activity levels, while the winter months in the North Sea, Russia, and China can produce severe weather conditions that can temporarily reduce levels of activity. In addition, hurricanes and typhoons can disrupt coastal and offshore operations. Furthermore, customer spending patterns for exploration data, software, and other products may result in higher activity in the fourth quarter of the year as clients seek to fully utilize their annual budgets. Conversely, customer budget constraints in North America may lead to lower demand for our services and products in the fourth quarter of the year.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SLB’s primary customers are national oil companies, large integrated oil companies, and independent operators. No single customer exceeded 10% of SLB's consolidated revenue during each of 2024, 2023, and 2022.</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Governmental Regulations</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SLB is subject to numerous environmental and other governmental and regulatory requirements related to its operations worldwide. For additional details, see “Item 1(a). Risk Factors – Legal and Regulatory Risks,” which is incorporated by reference in this Item 1.</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SLB was founded in 1926. </w:t>
      </w:r>
      <w:r>
        <w:rPr>
          <w:rFonts w:ascii="Arial" w:cs="Arial" w:eastAsia="Arial" w:hAnsi="Arial"/>
          <w:sz w:val="16"/>
          <w:szCs w:val="16"/>
          <w:color w:val="242424"/>
        </w:rPr>
        <w:t>Schlumberger Limited, the NYSE-listed parent of the SLB family of companies, is incorporated under the laws of Curaçao and has</w:t>
      </w:r>
      <w:r>
        <w:rPr>
          <w:rFonts w:ascii="Arial" w:cs="Arial" w:eastAsia="Arial" w:hAnsi="Arial"/>
          <w:sz w:val="16"/>
          <w:szCs w:val="16"/>
          <w:color w:val="auto"/>
        </w:rPr>
        <w:t xml:space="preserve"> </w:t>
      </w:r>
      <w:r>
        <w:rPr>
          <w:rFonts w:ascii="Arial" w:cs="Arial" w:eastAsia="Arial" w:hAnsi="Arial"/>
          <w:sz w:val="16"/>
          <w:szCs w:val="16"/>
          <w:color w:val="242424"/>
        </w:rPr>
        <w:t xml:space="preserve">executive offices in Paris, Houston, London, and The Hague. </w:t>
      </w:r>
      <w:r>
        <w:rPr>
          <w:rFonts w:ascii="Arial" w:cs="Arial" w:eastAsia="Arial" w:hAnsi="Arial"/>
          <w:sz w:val="16"/>
          <w:szCs w:val="16"/>
          <w:color w:val="000000"/>
        </w:rPr>
        <w:t>The Company changed its brand name to SLB in 2022 but did not change the legal name of its</w:t>
      </w:r>
      <w:r>
        <w:rPr>
          <w:rFonts w:ascii="Arial" w:cs="Arial" w:eastAsia="Arial" w:hAnsi="Arial"/>
          <w:sz w:val="16"/>
          <w:szCs w:val="16"/>
          <w:color w:val="242424"/>
        </w:rPr>
        <w:t xml:space="preserve"> </w:t>
      </w:r>
      <w:r>
        <w:rPr>
          <w:rFonts w:ascii="Arial" w:cs="Arial" w:eastAsia="Arial" w:hAnsi="Arial"/>
          <w:sz w:val="16"/>
          <w:szCs w:val="16"/>
          <w:color w:val="000000"/>
        </w:rPr>
        <w:t>listed parent company, which remains Schlumberger Limited.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0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The SLB website is </w:t>
      </w:r>
      <w:r>
        <w:rPr>
          <w:rFonts w:ascii="Arial" w:cs="Arial" w:eastAsia="Arial" w:hAnsi="Arial"/>
          <w:sz w:val="16"/>
          <w:szCs w:val="16"/>
          <w:u w:val="single" w:color="auto"/>
          <w:color w:val="auto"/>
        </w:rPr>
        <w:t>www.slb.com</w:t>
      </w:r>
      <w:r>
        <w:rPr>
          <w:rFonts w:ascii="Arial" w:cs="Arial" w:eastAsia="Arial" w:hAnsi="Arial"/>
          <w:sz w:val="16"/>
          <w:szCs w:val="16"/>
          <w:color w:val="auto"/>
        </w:rPr>
        <w:t xml:space="preserve">. SLB uses its Investor Relations website, </w:t>
      </w:r>
      <w:r>
        <w:rPr>
          <w:rFonts w:ascii="Arial" w:cs="Arial" w:eastAsia="Arial" w:hAnsi="Arial"/>
          <w:sz w:val="16"/>
          <w:szCs w:val="16"/>
          <w:u w:val="single" w:color="auto"/>
          <w:color w:val="auto"/>
        </w:rPr>
        <w:t>https://investorcenter.slb.com/</w:t>
      </w:r>
      <w:r>
        <w:rPr>
          <w:rFonts w:ascii="Arial" w:cs="Arial" w:eastAsia="Arial" w:hAnsi="Arial"/>
          <w:sz w:val="16"/>
          <w:szCs w:val="16"/>
          <w:color w:val="auto"/>
        </w:rPr>
        <w:t xml:space="preserve">, as a routine channel for distribution of important information, including news releases, analyst presentations, and financial information. SLB makes available, free of charge through its Investor Relations website at </w:t>
      </w:r>
      <w:r>
        <w:rPr>
          <w:rFonts w:ascii="Arial" w:cs="Arial" w:eastAsia="Arial" w:hAnsi="Arial"/>
          <w:sz w:val="16"/>
          <w:szCs w:val="16"/>
          <w:u w:val="single" w:color="auto"/>
          <w:color w:val="auto"/>
        </w:rPr>
        <w:t>https://investorcenter.slb.com/,</w:t>
      </w:r>
      <w:r>
        <w:rPr>
          <w:rFonts w:ascii="Arial" w:cs="Arial" w:eastAsia="Arial" w:hAnsi="Arial"/>
          <w:sz w:val="16"/>
          <w:szCs w:val="16"/>
          <w:color w:val="auto"/>
        </w:rPr>
        <w:t xml:space="preserve"> access to its Annual Reports on Form 10-K, Quarterly Reports on Form 10-Q, Current Reports on Form 8-K, proxy statements and Forms 3, 4 and 5 filed on behalf of directors and executive officers, and amendments to each of those reports, as soon as reasonably practicable after such material is filed with or furnished to the SEC. Alternatively, you may access these reports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Copies are also available, without charge, from SLB Investor Relations, 5599 San Felipe, Houston, Texas 77056. Unless expressly noted, the information on its website or any other website is not incorporated by reference in this Form 10-K and should not be considered part of this Form 10-K or any other filing SLB makes with the SEC.</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Information About Our Executive Officers</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following table sets forth, as of January 22, 2025, the names and ages of SLB’s executive officers, including all offices and positions held by each executive officer during the past five years.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Arial" w:cs="Arial" w:eastAsia="Arial" w:hAnsi="Arial"/>
                <w:sz w:val="16"/>
                <w:szCs w:val="16"/>
                <w:b w:val="1"/>
                <w:bCs w:val="1"/>
                <w:color w:val="auto"/>
                <w:w w:val="96"/>
              </w:rPr>
              <w:t>Name</w:t>
            </w:r>
          </w:p>
        </w:tc>
        <w:tc>
          <w:tcPr>
            <w:tcW w:w="1780" w:type="dxa"/>
            <w:vAlign w:val="bottom"/>
          </w:tcPr>
          <w:p>
            <w:pPr>
              <w:spacing w:after="0"/>
              <w:rPr>
                <w:sz w:val="16"/>
                <w:szCs w:val="16"/>
                <w:color w:val="auto"/>
              </w:rPr>
            </w:pPr>
          </w:p>
        </w:tc>
        <w:tc>
          <w:tcPr>
            <w:tcW w:w="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Age</w:t>
            </w:r>
          </w:p>
        </w:tc>
        <w:tc>
          <w:tcPr>
            <w:tcW w:w="8600" w:type="dxa"/>
            <w:vAlign w:val="bottom"/>
            <w:gridSpan w:val="3"/>
          </w:tcPr>
          <w:p>
            <w:pPr>
              <w:ind w:left="100"/>
              <w:spacing w:after="0"/>
              <w:rPr>
                <w:sz w:val="20"/>
                <w:szCs w:val="20"/>
                <w:color w:val="auto"/>
              </w:rPr>
            </w:pPr>
            <w:r>
              <w:rPr>
                <w:rFonts w:ascii="Arial" w:cs="Arial" w:eastAsia="Arial" w:hAnsi="Arial"/>
                <w:sz w:val="16"/>
                <w:szCs w:val="16"/>
                <w:b w:val="1"/>
                <w:bCs w:val="1"/>
                <w:color w:val="auto"/>
              </w:rPr>
              <w:t>Current Position and Five-Year Business Experience</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6"/>
                <w:szCs w:val="16"/>
                <w:color w:val="auto"/>
              </w:rPr>
              <w:t>Olivier Le Peuch</w:t>
            </w:r>
          </w:p>
        </w:tc>
        <w:tc>
          <w:tcPr>
            <w:tcW w:w="300" w:type="dxa"/>
            <w:vAlign w:val="bottom"/>
          </w:tcPr>
          <w:p>
            <w:pPr>
              <w:jc w:val="center"/>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4"/>
                <w:szCs w:val="24"/>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Chief Executive Officer and Director, since August 2019.</w:t>
            </w:r>
          </w:p>
        </w:tc>
      </w:tr>
      <w:tr>
        <w:trPr>
          <w:trHeight w:val="349"/>
        </w:trPr>
        <w:tc>
          <w:tcPr>
            <w:tcW w:w="2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6"/>
                <w:szCs w:val="16"/>
                <w:color w:val="auto"/>
              </w:rPr>
              <w:t>Khaled Al Mogharbel</w:t>
            </w:r>
          </w:p>
        </w:tc>
        <w:tc>
          <w:tcPr>
            <w:tcW w:w="300" w:type="dxa"/>
            <w:vAlign w:val="bottom"/>
          </w:tcPr>
          <w:p>
            <w:pPr>
              <w:jc w:val="center"/>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4"/>
                <w:szCs w:val="24"/>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Executive Vice President, Geographies, since July 2020; and Executive Vice President, Operations, April 2019 to June</w:t>
            </w:r>
          </w:p>
        </w:tc>
      </w:tr>
      <w:tr>
        <w:trPr>
          <w:trHeight w:val="211"/>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2"/>
          </w:tcPr>
          <w:p>
            <w:pPr>
              <w:ind w:left="100"/>
              <w:spacing w:after="0"/>
              <w:rPr>
                <w:sz w:val="20"/>
                <w:szCs w:val="20"/>
                <w:color w:val="auto"/>
              </w:rPr>
            </w:pPr>
            <w:r>
              <w:rPr>
                <w:rFonts w:ascii="Arial" w:cs="Arial" w:eastAsia="Arial" w:hAnsi="Arial"/>
                <w:sz w:val="16"/>
                <w:szCs w:val="16"/>
                <w:color w:val="auto"/>
              </w:rPr>
              <w:t>2020.</w:t>
            </w:r>
          </w:p>
        </w:tc>
        <w:tc>
          <w:tcPr>
            <w:tcW w:w="4500" w:type="dxa"/>
            <w:vAlign w:val="bottom"/>
          </w:tcPr>
          <w:p>
            <w:pPr>
              <w:spacing w:after="0"/>
              <w:rPr>
                <w:sz w:val="18"/>
                <w:szCs w:val="18"/>
                <w:color w:val="auto"/>
              </w:rPr>
            </w:pPr>
          </w:p>
        </w:tc>
      </w:tr>
      <w:tr>
        <w:trPr>
          <w:trHeight w:val="373"/>
        </w:trPr>
        <w:tc>
          <w:tcPr>
            <w:tcW w:w="2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6"/>
                <w:szCs w:val="16"/>
                <w:color w:val="auto"/>
              </w:rPr>
              <w:t>Stephane Biguet</w:t>
            </w:r>
          </w:p>
        </w:tc>
        <w:tc>
          <w:tcPr>
            <w:tcW w:w="300" w:type="dxa"/>
            <w:vAlign w:val="bottom"/>
          </w:tcPr>
          <w:p>
            <w:pPr>
              <w:jc w:val="center"/>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4"/>
                <w:szCs w:val="24"/>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Executive Vice President and Chief Financial Officer, since January 2020.</w:t>
            </w:r>
          </w:p>
        </w:tc>
      </w:tr>
      <w:tr>
        <w:trPr>
          <w:trHeight w:val="349"/>
        </w:trPr>
        <w:tc>
          <w:tcPr>
            <w:tcW w:w="2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6"/>
                <w:szCs w:val="16"/>
                <w:color w:val="auto"/>
              </w:rPr>
              <w:t>Abdellah Merad</w:t>
            </w:r>
          </w:p>
        </w:tc>
        <w:tc>
          <w:tcPr>
            <w:tcW w:w="300" w:type="dxa"/>
            <w:vAlign w:val="bottom"/>
          </w:tcPr>
          <w:p>
            <w:pPr>
              <w:jc w:val="center"/>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4"/>
                <w:szCs w:val="24"/>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Executive Vice President, Core Services and Equipment, since April 2022; and Executive Vice President, Performance</w:t>
            </w:r>
          </w:p>
        </w:tc>
      </w:tr>
      <w:tr>
        <w:trPr>
          <w:trHeight w:val="211"/>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Management, May 2019 to March 2022.</w:t>
            </w:r>
          </w:p>
        </w:tc>
      </w:tr>
      <w:tr>
        <w:trPr>
          <w:trHeight w:val="349"/>
        </w:trPr>
        <w:tc>
          <w:tcPr>
            <w:tcW w:w="2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6"/>
                <w:szCs w:val="16"/>
                <w:color w:val="auto"/>
              </w:rPr>
              <w:t>Demosthenis Pafitis</w:t>
            </w:r>
          </w:p>
        </w:tc>
        <w:tc>
          <w:tcPr>
            <w:tcW w:w="300" w:type="dxa"/>
            <w:vAlign w:val="bottom"/>
          </w:tcPr>
          <w:p>
            <w:pPr>
              <w:jc w:val="center"/>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4"/>
                <w:szCs w:val="24"/>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Chief Technology Officer, since February 2020; and Senior Vice President, SLB 4.0 Platforms,  December 2017 to</w:t>
            </w:r>
          </w:p>
        </w:tc>
      </w:tr>
      <w:tr>
        <w:trPr>
          <w:trHeight w:val="211"/>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January 2020.</w:t>
            </w:r>
          </w:p>
        </w:tc>
      </w:tr>
      <w:tr>
        <w:trPr>
          <w:trHeight w:val="349"/>
        </w:trPr>
        <w:tc>
          <w:tcPr>
            <w:tcW w:w="2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6"/>
                <w:szCs w:val="16"/>
                <w:color w:val="auto"/>
              </w:rPr>
              <w:t>Dianne Ralston</w:t>
            </w:r>
          </w:p>
        </w:tc>
        <w:tc>
          <w:tcPr>
            <w:tcW w:w="300" w:type="dxa"/>
            <w:vAlign w:val="bottom"/>
          </w:tcPr>
          <w:p>
            <w:pPr>
              <w:jc w:val="center"/>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4"/>
                <w:szCs w:val="24"/>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Chief Legal Officer, since December 2020, and Secretary, since April 2021; and Executive Vice President, Chief Legal</w:t>
            </w:r>
          </w:p>
        </w:tc>
      </w:tr>
      <w:tr>
        <w:trPr>
          <w:trHeight w:val="211"/>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Officer, and Secretary, TechnipFMC plc (a global oilfield services company), January 2017 to September 2020.</w:t>
            </w:r>
          </w:p>
        </w:tc>
      </w:tr>
      <w:tr>
        <w:trPr>
          <w:trHeight w:val="373"/>
        </w:trPr>
        <w:tc>
          <w:tcPr>
            <w:tcW w:w="2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6"/>
                <w:szCs w:val="16"/>
                <w:color w:val="auto"/>
              </w:rPr>
              <w:t>Carmen Rando Bejar</w:t>
            </w:r>
          </w:p>
        </w:tc>
        <w:tc>
          <w:tcPr>
            <w:tcW w:w="300" w:type="dxa"/>
            <w:vAlign w:val="bottom"/>
          </w:tcPr>
          <w:p>
            <w:pPr>
              <w:jc w:val="center"/>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4"/>
                <w:szCs w:val="24"/>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Chief People Officer, since April 2022; and Vice President, Global Business Services, September 2019 to March 2022.</w:t>
            </w:r>
          </w:p>
        </w:tc>
      </w:tr>
      <w:tr>
        <w:trPr>
          <w:trHeight w:val="349"/>
        </w:trPr>
        <w:tc>
          <w:tcPr>
            <w:tcW w:w="2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6"/>
                <w:szCs w:val="16"/>
                <w:color w:val="auto"/>
              </w:rPr>
              <w:t>Rakesh Jaggi</w:t>
            </w:r>
          </w:p>
        </w:tc>
        <w:tc>
          <w:tcPr>
            <w:tcW w:w="300" w:type="dxa"/>
            <w:vAlign w:val="bottom"/>
          </w:tcPr>
          <w:p>
            <w:pPr>
              <w:jc w:val="center"/>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4"/>
                <w:szCs w:val="24"/>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w w:val="99"/>
              </w:rPr>
              <w:t>President, Digital and Integration, since April 2023; and Senior Vice President, Sales &amp; Commercial, May 2019 to March</w:t>
            </w:r>
          </w:p>
        </w:tc>
      </w:tr>
      <w:tr>
        <w:trPr>
          <w:trHeight w:val="211"/>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2"/>
          </w:tcPr>
          <w:p>
            <w:pPr>
              <w:ind w:left="100"/>
              <w:spacing w:after="0"/>
              <w:rPr>
                <w:sz w:val="20"/>
                <w:szCs w:val="20"/>
                <w:color w:val="auto"/>
              </w:rPr>
            </w:pPr>
            <w:r>
              <w:rPr>
                <w:rFonts w:ascii="Arial" w:cs="Arial" w:eastAsia="Arial" w:hAnsi="Arial"/>
                <w:sz w:val="16"/>
                <w:szCs w:val="16"/>
                <w:color w:val="auto"/>
              </w:rPr>
              <w:t>2023.</w:t>
            </w:r>
          </w:p>
        </w:tc>
        <w:tc>
          <w:tcPr>
            <w:tcW w:w="4500" w:type="dxa"/>
            <w:vAlign w:val="bottom"/>
          </w:tcPr>
          <w:p>
            <w:pPr>
              <w:spacing w:after="0"/>
              <w:rPr>
                <w:sz w:val="18"/>
                <w:szCs w:val="18"/>
                <w:color w:val="auto"/>
              </w:rPr>
            </w:pPr>
          </w:p>
        </w:tc>
      </w:tr>
      <w:tr>
        <w:trPr>
          <w:trHeight w:val="39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2"/>
          </w:tcPr>
          <w:p>
            <w:pPr>
              <w:jc w:val="right"/>
              <w:ind w:right="1080"/>
              <w:spacing w:after="0"/>
              <w:rPr>
                <w:sz w:val="20"/>
                <w:szCs w:val="20"/>
                <w:color w:val="auto"/>
              </w:rPr>
            </w:pPr>
            <w:r>
              <w:rPr>
                <w:rFonts w:ascii="Arial" w:cs="Arial" w:eastAsia="Arial" w:hAnsi="Arial"/>
                <w:sz w:val="16"/>
                <w:szCs w:val="16"/>
                <w:color w:val="auto"/>
              </w:rPr>
              <w:t>8</w:t>
            </w:r>
          </w:p>
        </w:tc>
        <w:tc>
          <w:tcPr>
            <w:tcW w:w="4500" w:type="dxa"/>
            <w:vAlign w:val="bottom"/>
          </w:tcPr>
          <w:p>
            <w:pPr>
              <w:spacing w:after="0"/>
              <w:rPr>
                <w:sz w:val="24"/>
                <w:szCs w:val="24"/>
                <w:color w:val="auto"/>
              </w:rPr>
            </w:pPr>
          </w:p>
        </w:tc>
      </w:tr>
      <w:tr>
        <w:trPr>
          <w:trHeight w:val="742"/>
        </w:trPr>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1"/>
        </w:trPr>
        <w:tc>
          <w:tcPr>
            <w:tcW w:w="1720" w:type="dxa"/>
            <w:vAlign w:val="bottom"/>
          </w:tcPr>
          <w:p>
            <w:pPr>
              <w:spacing w:after="0"/>
              <w:rPr>
                <w:sz w:val="20"/>
                <w:szCs w:val="20"/>
                <w:color w:val="auto"/>
              </w:rPr>
            </w:pPr>
            <w:r>
              <w:rPr>
                <w:rFonts w:ascii="Arial" w:cs="Arial" w:eastAsia="Arial" w:hAnsi="Arial"/>
                <w:sz w:val="16"/>
                <w:szCs w:val="16"/>
                <w:color w:val="auto"/>
              </w:rPr>
              <w:t>Gavin Rennick</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50</w:t>
            </w:r>
          </w:p>
        </w:tc>
        <w:tc>
          <w:tcPr>
            <w:tcW w:w="8600" w:type="dxa"/>
            <w:vAlign w:val="bottom"/>
          </w:tcPr>
          <w:p>
            <w:pPr>
              <w:ind w:left="120"/>
              <w:spacing w:after="0"/>
              <w:rPr>
                <w:sz w:val="20"/>
                <w:szCs w:val="20"/>
                <w:color w:val="auto"/>
              </w:rPr>
            </w:pPr>
            <w:r>
              <w:rPr>
                <w:rFonts w:ascii="Arial" w:cs="Arial" w:eastAsia="Arial" w:hAnsi="Arial"/>
                <w:sz w:val="16"/>
                <w:szCs w:val="16"/>
                <w:color w:val="auto"/>
              </w:rPr>
              <w:t>President, New Energy, since April 2022; and Vice President, Human Resources, February 2019 to March 2022.</w:t>
            </w:r>
          </w:p>
        </w:tc>
      </w:tr>
      <w:tr>
        <w:trPr>
          <w:trHeight w:val="373"/>
        </w:trPr>
        <w:tc>
          <w:tcPr>
            <w:tcW w:w="1720" w:type="dxa"/>
            <w:vAlign w:val="bottom"/>
          </w:tcPr>
          <w:p>
            <w:pPr>
              <w:spacing w:after="0"/>
              <w:rPr>
                <w:sz w:val="20"/>
                <w:szCs w:val="20"/>
                <w:color w:val="auto"/>
              </w:rPr>
            </w:pPr>
            <w:r>
              <w:rPr>
                <w:rFonts w:ascii="Arial" w:cs="Arial" w:eastAsia="Arial" w:hAnsi="Arial"/>
                <w:sz w:val="16"/>
                <w:szCs w:val="16"/>
                <w:color w:val="auto"/>
              </w:rPr>
              <w:t>Kevin Fyfe</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51</w:t>
            </w:r>
          </w:p>
        </w:tc>
        <w:tc>
          <w:tcPr>
            <w:tcW w:w="8600" w:type="dxa"/>
            <w:vAlign w:val="bottom"/>
          </w:tcPr>
          <w:p>
            <w:pPr>
              <w:ind w:left="120"/>
              <w:spacing w:after="0"/>
              <w:rPr>
                <w:sz w:val="20"/>
                <w:szCs w:val="20"/>
                <w:color w:val="auto"/>
              </w:rPr>
            </w:pPr>
            <w:r>
              <w:rPr>
                <w:rFonts w:ascii="Arial" w:cs="Arial" w:eastAsia="Arial" w:hAnsi="Arial"/>
                <w:sz w:val="16"/>
                <w:szCs w:val="16"/>
                <w:color w:val="auto"/>
              </w:rPr>
              <w:t>Vice President and Treasurer, since July 2022; and Vice President and Controller, October 2017 to June 2022.</w:t>
            </w:r>
          </w:p>
        </w:tc>
      </w:tr>
      <w:tr>
        <w:trPr>
          <w:trHeight w:val="373"/>
        </w:trPr>
        <w:tc>
          <w:tcPr>
            <w:tcW w:w="1720" w:type="dxa"/>
            <w:vAlign w:val="bottom"/>
          </w:tcPr>
          <w:p>
            <w:pPr>
              <w:spacing w:after="0"/>
              <w:rPr>
                <w:sz w:val="20"/>
                <w:szCs w:val="20"/>
                <w:color w:val="auto"/>
              </w:rPr>
            </w:pPr>
            <w:r>
              <w:rPr>
                <w:rFonts w:ascii="Arial" w:cs="Arial" w:eastAsia="Arial" w:hAnsi="Arial"/>
                <w:sz w:val="16"/>
                <w:szCs w:val="16"/>
                <w:color w:val="auto"/>
              </w:rPr>
              <w:t>Howard Guild</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53</w:t>
            </w:r>
          </w:p>
        </w:tc>
        <w:tc>
          <w:tcPr>
            <w:tcW w:w="8600" w:type="dxa"/>
            <w:vAlign w:val="bottom"/>
          </w:tcPr>
          <w:p>
            <w:pPr>
              <w:ind w:left="120"/>
              <w:spacing w:after="0"/>
              <w:rPr>
                <w:sz w:val="20"/>
                <w:szCs w:val="20"/>
                <w:color w:val="auto"/>
              </w:rPr>
            </w:pPr>
            <w:r>
              <w:rPr>
                <w:rFonts w:ascii="Arial" w:cs="Arial" w:eastAsia="Arial" w:hAnsi="Arial"/>
                <w:sz w:val="16"/>
                <w:szCs w:val="16"/>
                <w:color w:val="auto"/>
              </w:rPr>
              <w:t>Chief Accounting Officer, since July 2005.</w:t>
            </w:r>
          </w:p>
        </w:tc>
      </w:tr>
      <w:tr>
        <w:trPr>
          <w:trHeight w:val="349"/>
        </w:trPr>
        <w:tc>
          <w:tcPr>
            <w:tcW w:w="1720" w:type="dxa"/>
            <w:vAlign w:val="bottom"/>
          </w:tcPr>
          <w:p>
            <w:pPr>
              <w:spacing w:after="0"/>
              <w:rPr>
                <w:sz w:val="20"/>
                <w:szCs w:val="20"/>
                <w:color w:val="auto"/>
              </w:rPr>
            </w:pPr>
            <w:r>
              <w:rPr>
                <w:rFonts w:ascii="Arial" w:cs="Arial" w:eastAsia="Arial" w:hAnsi="Arial"/>
                <w:sz w:val="16"/>
                <w:szCs w:val="16"/>
                <w:color w:val="auto"/>
              </w:rPr>
              <w:t>Ugo Prechner</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47</w:t>
            </w:r>
          </w:p>
        </w:tc>
        <w:tc>
          <w:tcPr>
            <w:tcW w:w="8600" w:type="dxa"/>
            <w:vAlign w:val="bottom"/>
          </w:tcPr>
          <w:p>
            <w:pPr>
              <w:ind w:left="120"/>
              <w:spacing w:after="0"/>
              <w:rPr>
                <w:sz w:val="20"/>
                <w:szCs w:val="20"/>
                <w:color w:val="auto"/>
              </w:rPr>
            </w:pPr>
            <w:r>
              <w:rPr>
                <w:rFonts w:ascii="Arial" w:cs="Arial" w:eastAsia="Arial" w:hAnsi="Arial"/>
                <w:sz w:val="16"/>
                <w:szCs w:val="16"/>
                <w:color w:val="auto"/>
              </w:rPr>
              <w:t>Vice President and Controller, since August 2022; Well Construction Controller, July 2020 to July 2022; and Controller</w:t>
            </w:r>
          </w:p>
        </w:tc>
      </w:tr>
      <w:tr>
        <w:trPr>
          <w:trHeight w:val="211"/>
        </w:trPr>
        <w:tc>
          <w:tcPr>
            <w:tcW w:w="1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0" w:type="dxa"/>
            <w:vAlign w:val="bottom"/>
          </w:tcPr>
          <w:p>
            <w:pPr>
              <w:ind w:left="120"/>
              <w:spacing w:after="0"/>
              <w:rPr>
                <w:sz w:val="20"/>
                <w:szCs w:val="20"/>
                <w:color w:val="auto"/>
              </w:rPr>
            </w:pPr>
            <w:r>
              <w:rPr>
                <w:rFonts w:ascii="Arial" w:cs="Arial" w:eastAsia="Arial" w:hAnsi="Arial"/>
                <w:sz w:val="16"/>
                <w:szCs w:val="16"/>
                <w:color w:val="auto"/>
              </w:rPr>
              <w:t>Operations, August 2019 to June 2020.</w:t>
            </w:r>
          </w:p>
        </w:tc>
      </w:tr>
      <w:tr>
        <w:trPr>
          <w:trHeight w:val="373"/>
        </w:trPr>
        <w:tc>
          <w:tcPr>
            <w:tcW w:w="1720" w:type="dxa"/>
            <w:vAlign w:val="bottom"/>
          </w:tcPr>
          <w:p>
            <w:pPr>
              <w:spacing w:after="0"/>
              <w:rPr>
                <w:sz w:val="20"/>
                <w:szCs w:val="20"/>
                <w:color w:val="auto"/>
              </w:rPr>
            </w:pPr>
            <w:r>
              <w:rPr>
                <w:rFonts w:ascii="Arial" w:cs="Arial" w:eastAsia="Arial" w:hAnsi="Arial"/>
                <w:sz w:val="16"/>
                <w:szCs w:val="16"/>
                <w:color w:val="auto"/>
              </w:rPr>
              <w:t>Vijay Kasibhatla</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61</w:t>
            </w:r>
          </w:p>
        </w:tc>
        <w:tc>
          <w:tcPr>
            <w:tcW w:w="8600" w:type="dxa"/>
            <w:vAlign w:val="bottom"/>
          </w:tcPr>
          <w:p>
            <w:pPr>
              <w:ind w:left="120"/>
              <w:spacing w:after="0"/>
              <w:rPr>
                <w:sz w:val="20"/>
                <w:szCs w:val="20"/>
                <w:color w:val="auto"/>
              </w:rPr>
            </w:pPr>
            <w:r>
              <w:rPr>
                <w:rFonts w:ascii="Arial" w:cs="Arial" w:eastAsia="Arial" w:hAnsi="Arial"/>
                <w:sz w:val="16"/>
                <w:szCs w:val="16"/>
                <w:color w:val="auto"/>
              </w:rPr>
              <w:t>Director, Mergers and Acquisitions, since January 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471170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1164" w:right="35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auto"/>
        </w:rPr>
        <w:t>Item 1A. Risk Factors.</w:t>
      </w:r>
    </w:p>
    <w:p>
      <w:pPr>
        <w:spacing w:after="0" w:line="10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The following discussion of risk factors known to us contains important information for the understanding of our “forward-looking statements,” which are discussed immediately following Item 7A. of this Form 10-K and elsewhere. These risk factors should also be read in conjunction with Item 7. Management’s Discussion and Analysis of Financial Condition and Results of Operations, and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related notes included in Item 8. Financial Statements and Supplementary Data of this Form 10-K.</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Please carefully consider the risks described below, which discuss the material factors that make an investment in our securities speculative or risky, other material included or incorporated by reference in this Form 10-K, and other reports and materials that we file with the SEC. Additional risks and uncertainties not currently known to us or that we currently deem immaterial could also materially adversely affect our business, reputation, financial condition, results of operations, cash flows and prospects.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Business and Operational Risks</w:t>
      </w:r>
    </w:p>
    <w:p>
      <w:pPr>
        <w:spacing w:after="0" w:line="10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Demand for our products and services is substantially dependent on the levels of expenditures by our customers, which can change based on many factors, including fluctuations in oil and gas prices. Oil and gas industry downturns have resulted in reduced demand for oilfield products and services and lower expenditures by our customers, which has in the past had, and may in the future have, a material adverse effect on our financial condition, results of operations and cash flows.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Demand for our products and services depends substantially on expenditures by our customers for the exploration, development and production of oil and gas reserves. These expenditures are generally dependent on our customers’ views of future demand for oil and gas and future oil and gas prices, as well as our customers’ ability to access capital. In addition, the transition of the global energy sector from a primarily fossil fuel-based system to a diverse system which includes renewable energy sources could affect our customers’ levels of expenditures.</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Actual and anticipated declines in oil and gas prices have in the past resulted in, and may in the future result in, lower capital expenditures, project modifications, delays or cancellations, general business disruptions, and delays in payment of, or nonpayment of, amounts that are owed to us. These effects have had, and may in the future have, a material adverse effect on our financial condition, results of operations and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Historically, oil and gas prices have experienced significant volatility and can be affected by a variety of factors, including:</w:t>
      </w:r>
    </w:p>
    <w:p>
      <w:pPr>
        <w:spacing w:after="0" w:line="109" w:lineRule="exact"/>
        <w:rPr>
          <w:sz w:val="20"/>
          <w:szCs w:val="20"/>
          <w:color w:val="auto"/>
        </w:rPr>
      </w:pPr>
    </w:p>
    <w:p>
      <w:pPr>
        <w:ind w:left="1020" w:hanging="505"/>
        <w:spacing w:after="0"/>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the supply of and demand for hydrocarbons, which are affected by general economic and business conditions;</w:t>
      </w:r>
    </w:p>
    <w:p>
      <w:pPr>
        <w:spacing w:after="0" w:line="25" w:lineRule="exact"/>
        <w:rPr>
          <w:rFonts w:ascii="Times New Roman" w:cs="Times New Roman" w:eastAsia="Times New Roman" w:hAnsi="Times New Roman"/>
          <w:sz w:val="16"/>
          <w:szCs w:val="16"/>
          <w:color w:val="auto"/>
        </w:rPr>
      </w:pPr>
    </w:p>
    <w:p>
      <w:pPr>
        <w:ind w:left="1020" w:hanging="505"/>
        <w:spacing w:after="0"/>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of exploring for, producing, and delivering oil and gas;</w:t>
      </w:r>
    </w:p>
    <w:p>
      <w:pPr>
        <w:spacing w:after="0" w:line="14" w:lineRule="exact"/>
        <w:rPr>
          <w:rFonts w:ascii="Times New Roman" w:cs="Times New Roman" w:eastAsia="Times New Roman" w:hAnsi="Times New Roman"/>
          <w:sz w:val="16"/>
          <w:szCs w:val="16"/>
          <w:color w:val="auto"/>
        </w:rPr>
      </w:pPr>
    </w:p>
    <w:p>
      <w:pPr>
        <w:ind w:left="1020" w:hanging="505"/>
        <w:spacing w:after="0" w:line="245" w:lineRule="auto"/>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ability or willingness of the Organization of Petroleum Exporting Countries (OPEC) and the expanded alliance known as OPEC+ to set and maintain production levels for oil;</w:t>
      </w:r>
    </w:p>
    <w:p>
      <w:pPr>
        <w:spacing w:after="0" w:line="1" w:lineRule="exact"/>
        <w:rPr>
          <w:rFonts w:ascii="Times New Roman" w:cs="Times New Roman" w:eastAsia="Times New Roman" w:hAnsi="Times New Roman"/>
          <w:sz w:val="16"/>
          <w:szCs w:val="16"/>
          <w:color w:val="auto"/>
        </w:rPr>
      </w:pPr>
    </w:p>
    <w:p>
      <w:pPr>
        <w:ind w:left="1020" w:hanging="505"/>
        <w:spacing w:after="0"/>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level of oil and gas exploration and production activity;</w:t>
      </w:r>
    </w:p>
    <w:p>
      <w:pPr>
        <w:spacing w:after="0" w:line="9" w:lineRule="exact"/>
        <w:rPr>
          <w:rFonts w:ascii="Times New Roman" w:cs="Times New Roman" w:eastAsia="Times New Roman" w:hAnsi="Times New Roman"/>
          <w:sz w:val="16"/>
          <w:szCs w:val="16"/>
          <w:color w:val="auto"/>
        </w:rPr>
      </w:pPr>
    </w:p>
    <w:p>
      <w:pPr>
        <w:ind w:left="1020" w:hanging="505"/>
        <w:spacing w:after="0"/>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level of excess production capacity;</w:t>
      </w:r>
    </w:p>
    <w:p>
      <w:pPr>
        <w:spacing w:after="0" w:line="14" w:lineRule="exact"/>
        <w:rPr>
          <w:rFonts w:ascii="Times New Roman" w:cs="Times New Roman" w:eastAsia="Times New Roman" w:hAnsi="Times New Roman"/>
          <w:sz w:val="16"/>
          <w:szCs w:val="16"/>
          <w:color w:val="auto"/>
        </w:rPr>
      </w:pPr>
    </w:p>
    <w:p>
      <w:pPr>
        <w:ind w:left="1020" w:hanging="505"/>
        <w:spacing w:after="0"/>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level of refining and storage capacity;</w:t>
      </w:r>
    </w:p>
    <w:p>
      <w:pPr>
        <w:spacing w:after="0" w:line="14" w:lineRule="exact"/>
        <w:rPr>
          <w:rFonts w:ascii="Times New Roman" w:cs="Times New Roman" w:eastAsia="Times New Roman" w:hAnsi="Times New Roman"/>
          <w:sz w:val="16"/>
          <w:szCs w:val="16"/>
          <w:color w:val="auto"/>
        </w:rPr>
      </w:pPr>
    </w:p>
    <w:p>
      <w:pPr>
        <w:ind w:left="1020" w:hanging="505"/>
        <w:spacing w:after="0"/>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level of oil and gas inventories;</w:t>
      </w:r>
    </w:p>
    <w:p>
      <w:pPr>
        <w:spacing w:after="0" w:line="14" w:lineRule="exact"/>
        <w:rPr>
          <w:rFonts w:ascii="Times New Roman" w:cs="Times New Roman" w:eastAsia="Times New Roman" w:hAnsi="Times New Roman"/>
          <w:sz w:val="16"/>
          <w:szCs w:val="16"/>
          <w:color w:val="auto"/>
        </w:rPr>
      </w:pPr>
    </w:p>
    <w:p>
      <w:pPr>
        <w:ind w:left="1020" w:hanging="505"/>
        <w:spacing w:after="0"/>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access to potential resources;</w:t>
      </w:r>
    </w:p>
    <w:p>
      <w:pPr>
        <w:spacing w:after="0" w:line="14" w:lineRule="exact"/>
        <w:rPr>
          <w:rFonts w:ascii="Times New Roman" w:cs="Times New Roman" w:eastAsia="Times New Roman" w:hAnsi="Times New Roman"/>
          <w:sz w:val="16"/>
          <w:szCs w:val="16"/>
          <w:color w:val="auto"/>
        </w:rPr>
      </w:pPr>
    </w:p>
    <w:p>
      <w:pPr>
        <w:ind w:left="1020" w:hanging="505"/>
        <w:spacing w:after="0"/>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political and economic uncertainty and geopolitical unrest;</w:t>
      </w:r>
    </w:p>
    <w:p>
      <w:pPr>
        <w:spacing w:after="0" w:line="14" w:lineRule="exact"/>
        <w:rPr>
          <w:rFonts w:ascii="Times New Roman" w:cs="Times New Roman" w:eastAsia="Times New Roman" w:hAnsi="Times New Roman"/>
          <w:sz w:val="16"/>
          <w:szCs w:val="16"/>
          <w:color w:val="auto"/>
        </w:rPr>
      </w:pPr>
    </w:p>
    <w:p>
      <w:pPr>
        <w:ind w:left="1020" w:hanging="505"/>
        <w:spacing w:after="0"/>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governmental laws, policies, regulations, subsidies, and other actions, including initiatives to promote the use of renewable energy sources;</w:t>
      </w:r>
    </w:p>
    <w:p>
      <w:pPr>
        <w:spacing w:after="0" w:line="14" w:lineRule="exact"/>
        <w:rPr>
          <w:rFonts w:ascii="Times New Roman" w:cs="Times New Roman" w:eastAsia="Times New Roman" w:hAnsi="Times New Roman"/>
          <w:sz w:val="16"/>
          <w:szCs w:val="16"/>
          <w:color w:val="auto"/>
        </w:rPr>
      </w:pPr>
    </w:p>
    <w:p>
      <w:pPr>
        <w:ind w:left="1020" w:hanging="505"/>
        <w:spacing w:after="0"/>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speculation as to the future price of oil and the speculative trading of oil and gas futures contracts;</w:t>
      </w:r>
    </w:p>
    <w:p>
      <w:pPr>
        <w:spacing w:after="0" w:line="14" w:lineRule="exact"/>
        <w:rPr>
          <w:rFonts w:ascii="Times New Roman" w:cs="Times New Roman" w:eastAsia="Times New Roman" w:hAnsi="Times New Roman"/>
          <w:sz w:val="16"/>
          <w:szCs w:val="16"/>
          <w:color w:val="auto"/>
        </w:rPr>
      </w:pPr>
    </w:p>
    <w:p>
      <w:pPr>
        <w:ind w:left="1020" w:hanging="505"/>
        <w:spacing w:after="0"/>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technological advances affecting energy consumption; and</w:t>
      </w:r>
    </w:p>
    <w:p>
      <w:pPr>
        <w:spacing w:after="0" w:line="14" w:lineRule="exact"/>
        <w:rPr>
          <w:rFonts w:ascii="Times New Roman" w:cs="Times New Roman" w:eastAsia="Times New Roman" w:hAnsi="Times New Roman"/>
          <w:sz w:val="16"/>
          <w:szCs w:val="16"/>
          <w:color w:val="auto"/>
        </w:rPr>
      </w:pPr>
    </w:p>
    <w:p>
      <w:pPr>
        <w:ind w:left="1020" w:hanging="505"/>
        <w:spacing w:after="0"/>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extreme weather conditions, natural disasters, and public health or similar issues, such as pandemics and epidemics.</w:t>
      </w:r>
    </w:p>
    <w:p>
      <w:pPr>
        <w:spacing w:after="0" w:line="1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oil and gas industry has historically experienced periodic downturns, which have been characterized by diminished demand for our products and services and downward pressure on the prices that we are able to charge. Sustained market uncertainty can also result in lower demand and pricing for our products and services. A significant industry downturn, sustained market uncertainty, or increased availability of economical alternative energy sources could result in a reduction in demand for our products and services, which could adversely affect our business, financial condition, results of operations, cash flows and prospects.</w:t>
      </w:r>
    </w:p>
    <w:p>
      <w:pPr>
        <w:spacing w:after="0" w:line="1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Disruptions in the political, regulatory, economic, and social environments of the countries in which we operate or globally could adversely affect our reputation, financial condition, results of operations and cash flows.</w:t>
      </w:r>
    </w:p>
    <w:p>
      <w:pPr>
        <w:spacing w:after="0" w:line="3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are a global technology company, and our non-US operations accounted for approximately 85% of our consolidated revenue in 2024, and 84% in 2023 and 2022. Geopolitical instability and unforeseen changes in any of the markets in which we operate could result in business disruptions or operational challenges that may adversely affect the demand for our products and services, or our reputation, our financial condition, and our results of operations and cash flows. These factors include, but are not limited to, the following:</w:t>
      </w:r>
    </w:p>
    <w:p>
      <w:pPr>
        <w:spacing w:after="0" w:line="153" w:lineRule="exact"/>
        <w:rPr>
          <w:sz w:val="20"/>
          <w:szCs w:val="20"/>
          <w:color w:val="auto"/>
        </w:rPr>
      </w:pPr>
    </w:p>
    <w:p>
      <w:pPr>
        <w:ind w:left="1020" w:hanging="505"/>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uncertain or volatile political, social, and economic conditions;</w:t>
      </w:r>
    </w:p>
    <w:p>
      <w:pPr>
        <w:spacing w:after="0" w:line="25" w:lineRule="exact"/>
        <w:rPr>
          <w:rFonts w:ascii="Times New Roman" w:cs="Times New Roman" w:eastAsia="Times New Roman" w:hAnsi="Times New Roman"/>
          <w:sz w:val="16"/>
          <w:szCs w:val="16"/>
          <w:color w:val="auto"/>
        </w:rPr>
      </w:pPr>
    </w:p>
    <w:p>
      <w:pPr>
        <w:ind w:left="1020" w:hanging="505"/>
        <w:spacing w:after="0" w:line="24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exposure to expropriation, nationalization, deprivation or confiscation of our assets or the assets of our customers, or other governmental actions;</w:t>
      </w:r>
    </w:p>
    <w:p>
      <w:pPr>
        <w:spacing w:after="0" w:line="1" w:lineRule="exact"/>
        <w:rPr>
          <w:rFonts w:ascii="Times New Roman" w:cs="Times New Roman" w:eastAsia="Times New Roman" w:hAnsi="Times New Roman"/>
          <w:sz w:val="16"/>
          <w:szCs w:val="16"/>
          <w:color w:val="auto"/>
        </w:rPr>
      </w:pPr>
    </w:p>
    <w:p>
      <w:pPr>
        <w:ind w:left="1020" w:hanging="505"/>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social unrest, acts of terrorism, war, or other armed conflict;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0" w:name="page11"/>
    <w:bookmarkEnd w:id="10"/>
    <w:p>
      <w:pPr>
        <w:ind w:left="1020" w:hanging="505"/>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confiscatory taxation or other adverse tax policies;</w:t>
      </w:r>
    </w:p>
    <w:p>
      <w:pPr>
        <w:spacing w:after="0" w:line="25" w:lineRule="exact"/>
        <w:rPr>
          <w:rFonts w:ascii="Times New Roman" w:cs="Times New Roman" w:eastAsia="Times New Roman" w:hAnsi="Times New Roman"/>
          <w:sz w:val="16"/>
          <w:szCs w:val="16"/>
          <w:color w:val="auto"/>
        </w:rPr>
      </w:pPr>
    </w:p>
    <w:p>
      <w:pPr>
        <w:ind w:left="1020" w:hanging="505"/>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theft of, or lack of sufficient legal protection for, proprietary technology and other intellectual property;</w:t>
      </w:r>
    </w:p>
    <w:p>
      <w:pPr>
        <w:spacing w:after="0" w:line="14" w:lineRule="exact"/>
        <w:rPr>
          <w:rFonts w:ascii="Times New Roman" w:cs="Times New Roman" w:eastAsia="Times New Roman" w:hAnsi="Times New Roman"/>
          <w:sz w:val="16"/>
          <w:szCs w:val="16"/>
          <w:color w:val="auto"/>
        </w:rPr>
      </w:pPr>
    </w:p>
    <w:p>
      <w:pPr>
        <w:ind w:left="1020" w:hanging="505"/>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deprivation of contract rights;</w:t>
      </w:r>
    </w:p>
    <w:p>
      <w:pPr>
        <w:spacing w:after="0" w:line="14" w:lineRule="exact"/>
        <w:rPr>
          <w:rFonts w:ascii="Times New Roman" w:cs="Times New Roman" w:eastAsia="Times New Roman" w:hAnsi="Times New Roman"/>
          <w:sz w:val="16"/>
          <w:szCs w:val="16"/>
          <w:color w:val="auto"/>
        </w:rPr>
      </w:pPr>
    </w:p>
    <w:p>
      <w:pPr>
        <w:ind w:left="1020" w:hanging="505"/>
        <w:spacing w:after="0" w:line="245" w:lineRule="auto"/>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trade and economic sanctions or other restrictions imposed by the European Union, the United States, the United Kingdom, China, or other regions or countries that could restrict or curtail our ability to operate in certain markets;</w:t>
      </w:r>
    </w:p>
    <w:p>
      <w:pPr>
        <w:spacing w:after="0" w:line="1" w:lineRule="exact"/>
        <w:rPr>
          <w:rFonts w:ascii="Times New Roman" w:cs="Times New Roman" w:eastAsia="Times New Roman" w:hAnsi="Times New Roman"/>
          <w:sz w:val="16"/>
          <w:szCs w:val="16"/>
          <w:color w:val="auto"/>
        </w:rPr>
      </w:pPr>
    </w:p>
    <w:p>
      <w:pPr>
        <w:ind w:left="1020" w:hanging="505"/>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public health crises;</w:t>
      </w:r>
    </w:p>
    <w:p>
      <w:pPr>
        <w:spacing w:after="0" w:line="9" w:lineRule="exact"/>
        <w:rPr>
          <w:rFonts w:ascii="Times New Roman" w:cs="Times New Roman" w:eastAsia="Times New Roman" w:hAnsi="Times New Roman"/>
          <w:sz w:val="16"/>
          <w:szCs w:val="16"/>
          <w:color w:val="auto"/>
        </w:rPr>
      </w:pPr>
    </w:p>
    <w:p>
      <w:pPr>
        <w:ind w:left="1020" w:hanging="505"/>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local content and other similar regional requirements;</w:t>
      </w:r>
    </w:p>
    <w:p>
      <w:pPr>
        <w:spacing w:after="0" w:line="14" w:lineRule="exact"/>
        <w:rPr>
          <w:rFonts w:ascii="Times New Roman" w:cs="Times New Roman" w:eastAsia="Times New Roman" w:hAnsi="Times New Roman"/>
          <w:sz w:val="16"/>
          <w:szCs w:val="16"/>
          <w:color w:val="auto"/>
        </w:rPr>
      </w:pPr>
    </w:p>
    <w:p>
      <w:pPr>
        <w:ind w:left="1020" w:hanging="505"/>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unexpected changes in legal and regulatory requirements, including changes in interpretation or enforcement of existing laws;</w:t>
      </w:r>
    </w:p>
    <w:p>
      <w:pPr>
        <w:spacing w:after="0" w:line="14" w:lineRule="exact"/>
        <w:rPr>
          <w:rFonts w:ascii="Times New Roman" w:cs="Times New Roman" w:eastAsia="Times New Roman" w:hAnsi="Times New Roman"/>
          <w:sz w:val="16"/>
          <w:szCs w:val="16"/>
          <w:color w:val="auto"/>
        </w:rPr>
      </w:pPr>
    </w:p>
    <w:p>
      <w:pPr>
        <w:ind w:left="1020" w:hanging="505"/>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restrictions on the repatriation of income or capital;</w:t>
      </w:r>
    </w:p>
    <w:p>
      <w:pPr>
        <w:spacing w:after="0" w:line="14" w:lineRule="exact"/>
        <w:rPr>
          <w:rFonts w:ascii="Times New Roman" w:cs="Times New Roman" w:eastAsia="Times New Roman" w:hAnsi="Times New Roman"/>
          <w:sz w:val="16"/>
          <w:szCs w:val="16"/>
          <w:color w:val="auto"/>
        </w:rPr>
      </w:pPr>
    </w:p>
    <w:p>
      <w:pPr>
        <w:ind w:left="1020" w:hanging="505"/>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supply chain disruptions;</w:t>
      </w:r>
    </w:p>
    <w:p>
      <w:pPr>
        <w:spacing w:after="0" w:line="14" w:lineRule="exact"/>
        <w:rPr>
          <w:rFonts w:ascii="Times New Roman" w:cs="Times New Roman" w:eastAsia="Times New Roman" w:hAnsi="Times New Roman"/>
          <w:sz w:val="16"/>
          <w:szCs w:val="16"/>
          <w:color w:val="auto"/>
        </w:rPr>
      </w:pPr>
    </w:p>
    <w:p>
      <w:pPr>
        <w:ind w:left="1020" w:hanging="505"/>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currency exchange controls;</w:t>
      </w:r>
    </w:p>
    <w:p>
      <w:pPr>
        <w:spacing w:after="0" w:line="14" w:lineRule="exact"/>
        <w:rPr>
          <w:rFonts w:ascii="Times New Roman" w:cs="Times New Roman" w:eastAsia="Times New Roman" w:hAnsi="Times New Roman"/>
          <w:sz w:val="16"/>
          <w:szCs w:val="16"/>
          <w:color w:val="auto"/>
        </w:rPr>
      </w:pPr>
    </w:p>
    <w:p>
      <w:pPr>
        <w:ind w:left="1020" w:hanging="505"/>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currency exchange rate fluctuations and devaluations; and</w:t>
      </w:r>
    </w:p>
    <w:p>
      <w:pPr>
        <w:spacing w:after="0" w:line="14" w:lineRule="exact"/>
        <w:rPr>
          <w:rFonts w:ascii="Times New Roman" w:cs="Times New Roman" w:eastAsia="Times New Roman" w:hAnsi="Times New Roman"/>
          <w:sz w:val="16"/>
          <w:szCs w:val="16"/>
          <w:color w:val="auto"/>
        </w:rPr>
      </w:pPr>
    </w:p>
    <w:p>
      <w:pPr>
        <w:ind w:left="1020" w:hanging="505"/>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inflation.</w:t>
      </w:r>
    </w:p>
    <w:p>
      <w:pPr>
        <w:spacing w:after="0" w:line="1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an example of a risk resulting from our global operations, in March 2022 we decided to immediately suspend new investment and technology deployment to our Russia operations. In July 2023, we announced that we were halting shipments of products into Russia from all our facilities worldwide in response to the continued expansion of international sanctions. Russia represented approximately 4% of our worldwide revenue during 2024. The carrying value of our net assets in Russia was approximately $0.6 billion as of December 31, 2024. This consisted of $0.1 billion of cash and short-term investments, $0.3 billion of receivables, $0.2 billion of fixed assets, $0.3 billion of other assets, and $0.3 billion of current liabilities.</w:t>
      </w:r>
    </w:p>
    <w:p>
      <w:pPr>
        <w:spacing w:after="0" w:line="15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continue to actively monitor the dynamic situation in Russia and Ukraine and applicable laws, sanctions and trade control restrictions resulting from the conflict. The extent to which our reputation, operations, financial results and cash flows, including the ability to repatriate cash, may be affected by the ongoing conflict in Ukraine will depend on various factors, including the extent and duration of the conflict; the effects of the conflict on regional and global economic and geopolitical conditions; the effect of further laws, sanctions and trade control restrictions on our business, the global economy and global supply chains; and the impact of fluctuations in the exchange rate of the ruble. Continuation or escalation of the conflict may also exacerbate this and other risk factors identified in this Form 10-K, including cybersecurity, regulatory, and reputational risks.</w:t>
      </w:r>
    </w:p>
    <w:p>
      <w:pPr>
        <w:spacing w:after="0" w:line="15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Failure to effectively and timely address the energy transition could adversely affect our reputation, business, results of operations, and cash flows.</w:t>
      </w:r>
    </w:p>
    <w:p>
      <w:pPr>
        <w:spacing w:after="0" w:line="3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long-term success depends on our ability to effectively address the energy transition, which will require adapting our technology portfolio to changing customer preferences and government requirements, developing solutions to decarbonize oil and gas operations, and scaling innovative low-carbon and carbon-neutral technologies. If the energy transition landscape changes faster than anticipated or in a manner that we do not anticipate, demand for our products and services, as well as our relationships with various stakeholders, could be adversely affected. Furthermore, if we fail or are perceived to not effectively implement an energy transition strategy, or if investors or financial institutions shift funding away from companies in fossil fuel-related industries, our access to capital or the market for our securities could be negatively impacted.</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Our operations are subject to cyber incidents that could have a material adverse effect on our reputation, business, financial condition, results of operations, and cash flows.</w:t>
      </w:r>
    </w:p>
    <w:p>
      <w:pPr>
        <w:spacing w:after="0" w:line="3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Our success depends in part on our ability to provide effective cybersecurity protection in connection with our digital technologies and services as well as our internal digital infrastructure. We operate information technology networks and systems for internal purposes that incorporate third-party software and technologies. We also connect to and exchange data with external networks that may be operated by our customers, suppliers, alliance partners, or other third parties. We provide digital technologies that allow us or our customers to remotely perform wellsite and field operations. We also develop software and other digital products and services that store, retrieve, manipulate, and manage our customers’ information and data, external data, personal data, and our own data.</w:t>
      </w:r>
    </w:p>
    <w:p>
      <w:pPr>
        <w:spacing w:after="0" w:line="14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Our digital technologies and services, as well as third-party products, services and technologies that we rely on (including emerging technologies, such as AI programs), are subject to the risk of cyberattacks and, given the nature of such attacks, some incidents can remain undetected for a period of time despite efforts to detect and respond to them in a timely manner. Cyberattacks are expected to accelerate on a global basis in both frequency and magnitude as threat actors are becoming increasingly sophisticated in using techniques and tools (including AI) that circumvent controls, evade detection and even remove forensic evidence of the infiltration. There can be no assurance that our cybersecurity risk management program, processes, or systems we have designed to prevent or limit the effects of cyber incidents or attacks will be sufficient to prevent or detect material consequences arising from such incidents or attacks, or to avoid a material adverse impact on our systems after such incidents or attacks do occur. We have experienced and will continue to experience varying degrees of cyber incidents in the normal conduct of our business, including attacks resulting from social engineering such as phishing and ransomware infections. Even if we successfully defend our own digital technologies and services, we also rely on providers of third-party products, services, and networks, with whom we may share data and services, and who may be unable to effectively defend their digital technologies and services against attack.</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Unauthorized access to or modification of, or actions disabling our ability to obtain authorized access to, our customers’ data, other external data, personal data, or our own data, as a result of a cyber incident, attack or exploitation of a security vulnerability, or loss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1" w:name="page12"/>
    <w:bookmarkEnd w:id="11"/>
    <w:p>
      <w:pPr>
        <w:jc w:val="both"/>
        <w:spacing w:after="0" w:line="247" w:lineRule="auto"/>
        <w:rPr>
          <w:sz w:val="20"/>
          <w:szCs w:val="20"/>
          <w:color w:val="auto"/>
        </w:rPr>
      </w:pPr>
      <w:r>
        <w:rPr>
          <w:rFonts w:ascii="Arial" w:cs="Arial" w:eastAsia="Arial" w:hAnsi="Arial"/>
          <w:sz w:val="16"/>
          <w:szCs w:val="16"/>
          <w:color w:val="auto"/>
        </w:rPr>
        <w:t>control of our clients’ operations could result in significant damage to our reputation or disruption of the services we provide to our customers or of our customers’ businesses. In addition, allegations, reports, or concerns regarding vulnerabilities affecting our digital products or services could damage our reputation. This could lead to fewer customers using our digital products and services, which could have a material adverse impact on our financial condition, results of operations, cash flows, and future prospects. In addition, if our systems or third-party products, services, and network systems for protecting against cybersecurity risks prove to be insufficient, we could be adversely affected by, among other things, loss of or damage to our intellectual property, proprietary or confidential information; loss of customer, supplier, or our employee data; breach of personal data; interruption of our business operations; disruption of our customers’ businesses; increased legal and regulatory exposure, including fines and remediation costs; and increased costs required to prevent, respond to, or mitigate cybersecurity attacks. These risks could harm our reputation and our relationships with our employees, our customers, our suppliers, our alliance partners and other third parties, and may result in claims against us.</w:t>
      </w:r>
    </w:p>
    <w:p>
      <w:pPr>
        <w:spacing w:after="0" w:line="15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We operate in a highly competitive environment. If we are unable to maintain technology leadership, this could adversely affect any competitive advantage we hold.</w:t>
      </w:r>
    </w:p>
    <w:p>
      <w:pPr>
        <w:spacing w:after="0" w:line="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energy industry is highly competitive and rapidly evolving. Our business may be adversely affected if we fail to continue developing and producing innovative technologies in response to changes in the market, including customer and government requirements, or if we fail to deliver such technologies to our customers in a timely and cost-competitive manner. If we are unable to maintain technology leadership in our industry, our ability to maintain market share, defend, maintain, or increase prices for our products and services, and negotiate acceptable contract terms with our customers could be adversely affected. Furthermore, competing or new technologies may accelerate the obsolescence of our products or services and reduce the value of our intellectual property.</w:t>
      </w:r>
    </w:p>
    <w:p>
      <w:pPr>
        <w:spacing w:after="0" w:line="1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Limitations on our ability to obtain, maintain, protect, or enforce our intellectual property rights, including our trade secrets, could cause a loss in revenue and any competitive advantage we hold.</w:t>
      </w:r>
    </w:p>
    <w:p>
      <w:pPr>
        <w:spacing w:after="0" w:line="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There can be no assurance that the steps we take to obtain, maintain, protect, and enforce our intellectual property rights will be adequate. Some of our products or services, and the processes we use to produce or provide them, have been granted patent protection, have patent applications pending, or are trade secrets. Our business may be adversely affected when our patents are unenforceable, the claims allowed under our patents are not sufficient to protect our technology, our patent applications are denied, or our trade secrets are not adequately protected. Patent protection on some types of technology, such as software or machine learning processes, may not be available in certain countries in which we operate. Our competitors may also be able to develop technology independently that is similar to ours without infringing on our patents or gaining access to our trade secrets.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parties may claim that we have infringed upon or otherwise violated their intellectual property rights.</w:t>
      </w:r>
    </w:p>
    <w:p>
      <w:pPr>
        <w:spacing w:after="0" w:line="10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tools, techniques, methodologies, programs, and components we use to provide our services and products may infringe upon or otherwise violate the intellectual property rights of others or be challenged on that basis. Regardless of the merits, any such claims generally result in significant legal and other costs, including reputational harm, and may distract management from running our business. Resolving such claims could increase our costs, including through royalty payments to acquire licenses, if available, from third parties and through the development of replacement technologies. If a license to resolve a claim were not available, we might not be able to continue providing a particular service or product.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Legal and Regulatory Risks</w:t>
      </w:r>
    </w:p>
    <w:p>
      <w:pPr>
        <w:spacing w:after="0" w:line="10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Our operations require us to comply with numerous laws and regulations, violations of which could have a material adverse effect on our reputation, financial condition, results of operations or cash flows.</w:t>
      </w:r>
    </w:p>
    <w:p>
      <w:pPr>
        <w:spacing w:after="0" w:line="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operations are subject to international, regional, national, and local laws and regulations in every place where we operate, relating to matters such as environmental protection, health and safety, labor and employment, human rights, import/export controls, currency, emissions reporting, exchange, bribery and corruption, anti-money laundering, data privacy and cybersecurity, intellectual property, immigration, antitrust, and taxation. These laws and regulations are complex, frequently change, have tended to become more stringent over time, and could conflict among one another. In the event the scope of these laws and regulations expands in the future, the incremental cost of compliance could adversely affect our financial condition, results of operations, or cash flows.</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operations are subject to anti-corruption and anti-bribery laws and regulations, such as the Foreign Corrupt Practices Act, the UK Bribery Act, and other similar laws. We are also subject to trade control regulations and trade sanctions laws that restrict the movement of certain goods to, and certain operations in, various countries or with certain persons. Our ability to transfer people, products, and data among certain countries is subject to maintaining required licenses and complying with these laws and regulations.</w:t>
      </w:r>
    </w:p>
    <w:p>
      <w:pPr>
        <w:spacing w:after="0" w:line="15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internal controls, policies and procedures, and employee training and compliance programs we have implemented to deter prohibited practices may not be effective in preventing employees, contractors, or agents from violating or circumventing such internal policies or from material violations of applicable laws and regulations. Any determination that we have violated or are responsible for violations of applicable laws, including securities, environmental, trade control, trade sanctions, or anti-corruption laws, could have a material adverse effect on our financial condition. Violations of international and US laws and regulations or the loss of any required licenses may result in fines and penalties, criminal sanctions, administrative remedies, or restrictions on business conduct, and could have a material adverse effect on our business, operations, and financial condition. In addition, any major violations could have a significant effect on our reputation and consequently on our ability to win future business and maintain existing customer and supplier relationships.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2" w:name="page13"/>
    <w:bookmarkEnd w:id="12"/>
    <w:p>
      <w:pPr>
        <w:jc w:val="both"/>
        <w:spacing w:after="0" w:line="288" w:lineRule="auto"/>
        <w:rPr>
          <w:sz w:val="20"/>
          <w:szCs w:val="20"/>
          <w:color w:val="auto"/>
        </w:rPr>
      </w:pPr>
      <w:r>
        <w:rPr>
          <w:rFonts w:ascii="Arial" w:cs="Arial" w:eastAsia="Arial" w:hAnsi="Arial"/>
          <w:sz w:val="16"/>
          <w:szCs w:val="16"/>
          <w:b w:val="1"/>
          <w:bCs w:val="1"/>
          <w:color w:val="auto"/>
        </w:rPr>
        <w:t>Existing or future laws, regulations, court orders or other public- or private-sector initiatives to limit greenhouse gas emissions or relating to climate change may reduce demand for our products and services.</w:t>
      </w:r>
    </w:p>
    <w:p>
      <w:pPr>
        <w:spacing w:after="0" w:line="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Continuing political and social attention to the issue of climate change has resulted in both existing and proposed international agreements and national, regional, and local legislation and regulatory measures to limit GHG emissions and mitigate the effects of climate change. The implementation of these agreements, including the Paris Agreement, the Europe Climate Law, and other existing or future regulatory mandates, may adversely affect the demand for our products and services, impose taxes on us or our customers, require us or our customers to reduce GHG emissions from our technologies or operations, or accelerate the obsolescence of our products or services.</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addition, increasing attention to the risks of climate change has resulted in an increased possibility of litigation or investigations brought by public and private entities against oil and gas companies in connection with their GHG emissions, as well as descriptions of their sustainable products and services. As a result, we or our customers may become subject to court orders compelling a reduction of GHG emissions or requiring mitigation of the effects of climate change, or requiring other mitigation actions.</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There is also increased focus by our customers, investors and other stakeholders on climate change, sustainability, and energy transition matters. Actions to address these concerns or negative perceptions of our industry or fossil fuel products and their relationship to the environment have led to initiatives to conserve energy and promote the use of alternative energy sources, which may reduce the demand for and production of oil and gas in areas of the world where our customers operate, and thus reduce future demand for our products and services. In addition, initiatives by investors and financial institutions to limit funding to companies in fossil fuel-related industries may adversely affect our liquidity or access to capital. Any of these initiatives may, in turn, adversely affect our financial condition, results of operations, and cash flows.</w:t>
      </w:r>
    </w:p>
    <w:p>
      <w:pPr>
        <w:spacing w:after="0" w:line="15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Environmental compliance costs and liabilities arising as a result of environmental laws and regulations could have a material adverse effect on our business, financial condition, results of operations, and cash flows.</w:t>
      </w:r>
    </w:p>
    <w:p>
      <w:pPr>
        <w:spacing w:after="0" w:line="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subject to numerous laws and regulations relating to environmental protection, including those governing GHG and other air emissions, water discharges and waste management, as well as the importation and use of hazardous materials, radioactive materials, chemicals, and explosives. The technical requirements of these laws and regulations are becoming increasingly complex, stringent, and expensive to implement. These laws sometimes provide for “strict liability” for remediation costs, damages to natural resources or threats to public health and safety. Strict liability can render us liable for damages without regard to our degree of care or fault. Some environmental laws provide for joint and several strict liability for remediation of spills and releases of hazardous substances, and, as a result, we could be liable for the actions of others.</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use and generate hazardous substances and wastes in our operations. In addition, many of our current and former properties are, or have been, used for industrial purposes. Accordingly, we could become subject to material liabilities relating to the investigation and cleanup of potentially contaminated properties, and to claims alleging personal injury or property damage as a result of exposures to, or releases of, hazardous substances. In addition, stricter enforcement or changing interpretations of existing laws and regulations, the enactment of new laws and regulations, the discovery of previously unknown contamination, or the imposition of new or increased requirements could require us to incur costs or become the basis for new or increased liabilities that could have a material adverse effect on our business, operations, and financial condition.</w:t>
      </w:r>
    </w:p>
    <w:p>
      <w:pPr>
        <w:spacing w:after="0" w:line="15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We could be subject to substantial liability claims, including as a result of well incidents, which could adversely affect our reputation, financial condition, results of operations, and cash flows.</w:t>
      </w:r>
    </w:p>
    <w:p>
      <w:pPr>
        <w:spacing w:after="0" w:line="38"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technical complexities of our operations expose us to a wide range of significant health, safety, and environmental risks. Our operations involve the use of radioactive materials, chemicals, explosives and other equipment and services that are deployed in challenging exploration, development, and production environments. Accidents or acts of malfeasance involving these services (including remotely operated services) or equipment, or a failure of a product or service (including as a result of a cyberattack), could cause personal injury, loss of life, damage to or destruction of property, equipment or the environment, or suspension of operations, which could materially adversely affect us. Any well incidents, including blowouts at a well site or any loss of containment or well control, may expose us to additional liabilities, which could be material. Generally, we rely on contractual indemnities, releases, and limitations on liability with our customers and insurance to protect us from potential liability related to such events. However, our insurance may not protect us against liability for certain kinds of events, including events involving pollution, or against losses resulting from business interruption. Moreover, we may not be able to maintain insurance at levels of risk coverage or policy limits that we deem adequate. Any damages caused by our services or products that are not covered by insurance or are in excess of policy limits or subject to substantial deductibles, could adversely affect our financial condition, results of operations, and cash flows.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the Proposed Acquisition of ChampionX</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complete the proposed acquisition of ChampionX.</w:t>
      </w:r>
    </w:p>
    <w:p>
      <w:pPr>
        <w:spacing w:after="0" w:line="10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or ChampionX may terminate the merger agreement between the parties (the “merger agreement”) in certain circumstances as described in our Current Report on Form 8-K filed with the SEC on April 2, 2024. If the proposed acquisition is not completed for any reason, including as a result of failure to obtain required regulatory approvals, the market price of our common stock may be adversely affected; we may experience negative reactions from the financial markets, customers, suppliers and other constituencies; we will be required to pay certain costs relating to the acquisition; and we may be required to pay a termination fee under certain circumstances set forth in the merger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We may fail to realize the anticipated benefits of the proposed acquisition of ChampionX.</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the acquisition is completed, the success of the acquisition will depend on, among other things, our ability to combine our business with that of ChampionX in a manner that facilitates growth opportunities and realizes anticipated synergies. If we are not able to successfully achieve these objectives, the anticipated benefits of the acquisition may not be realized fully, or at all, or may take longer to realize than expected.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General Risk Factors</w:t>
      </w:r>
    </w:p>
    <w:p>
      <w:pPr>
        <w:spacing w:after="0" w:line="10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Our aspirations, goals, and initiatives related to sustainability and emissions reduction, and our public statements and disclosures regarding them, expose us to numerous risks.</w:t>
      </w:r>
    </w:p>
    <w:p>
      <w:pPr>
        <w:spacing w:after="0" w:line="3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developed, and will continue to develop and set, goals, targets, and other objectives related to sustainability matters, including our net-zero emissions target and our energy transition strategy. Statements related to these goals, targets, and objectives reflect our current plans and aspirations and do not constitute a guarantee that they will be achieved. Our efforts to research, establish, accomplish, and accurately report on these goals, targets, and objectives expose us to numerous operational, reputational, financial, legal, and other risks. Our ability to achieve any stated goal, target, or objective, including with respect to emissions reduction, is subject to numerous factors and conditions, some of which are outside of our contro</w:t>
      </w:r>
      <w:r>
        <w:rPr>
          <w:rFonts w:ascii="Arial" w:cs="Arial" w:eastAsia="Arial" w:hAnsi="Arial"/>
          <w:sz w:val="17"/>
          <w:szCs w:val="17"/>
          <w:color w:val="auto"/>
        </w:rPr>
        <w:t>l.</w:t>
      </w:r>
      <w:r>
        <w:rPr>
          <w:rFonts w:ascii="Arial" w:cs="Arial" w:eastAsia="Arial" w:hAnsi="Arial"/>
          <w:sz w:val="16"/>
          <w:szCs w:val="16"/>
          <w:color w:val="auto"/>
        </w:rPr>
        <w:t xml:space="preserve"> Our targets are based on empirical data and estimates that reflect our understanding of current best practices for measuring or estimating emissions or other metrics, but we anticipate that future innovations in both measurement technologies and estimation methodologies could cause us to revise our baseline as well as re-calculate progress toward our targets.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business faces increased scrutiny from certain investors and other stakeholders related to our sustainability activities, including the goals, targets, and objectives that we announce, and our methodologies and timelines for pursuing them. If our sustainability practices do not meet investor or other stakeholder expectations and standards, including any third-party ratings used by stakeholders, which continue to evolve, our reputation, our ability to attract or retain employees, our ability to access capital, and our attractiveness as an investment or business partner could be negatively affected. Similarly, our failure or perceived failure to pursue or fulfill our sustainability-focused goals, targets, and objectives, to comply with ethical, environmental, or other standards, regulations, or expectations, or to satisfy various reporting standards with respect to these matters, within the timelines we announce, or at all, could adversely affect our business or reputation, as well as expose us to government enforcement actions and private litigation.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attract and retain qualified personnel could impede our operations.</w:t>
      </w:r>
    </w:p>
    <w:p>
      <w:pPr>
        <w:spacing w:after="0" w:line="10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future success depends on our ability to recruit, train, and retain qualified personnel. We require highly skilled personnel to operate and provide technical services and support for our business. Competition for the personnel necessary for our businesses intensifies as activity increases, technology evolves and customer demands change. In periods of high utilization, it is often more difficult to find and retain qualified individuals. This could increase our costs or have other material adverse effects on our operations.</w:t>
      </w:r>
    </w:p>
    <w:p>
      <w:pPr>
        <w:spacing w:after="0" w:line="15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Severe weather events, including extreme weather conditions associated with climate change, have in the past and may in the future adversely affect our operations and financial results.</w:t>
      </w:r>
    </w:p>
    <w:p>
      <w:pPr>
        <w:spacing w:after="0" w:line="3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business has been, and in the future will be, affected by severe weather events in areas where we operate, which could materially affect our operations and financial results. Extreme weather conditions such as hurricanes, flooding, landslides, and heat waves have in the past resulted in, and may in the future result in, the evacuation of personnel, stoppage of services and activity disruptions at our facilities, in our supply chain, or at well-sites, or result in disruptions to our customers’ operations. Particularly severe weather events affecting platforms or structures may result in a suspension of activities. Climate change may impact the frequency and/or intensity of such events. In addition, acute or chronic physical impacts of climate change, such as sea level rise, coastal storm surge, inland flooding from intense rainfall, and hurricane-strength winds may damage our facilities. Any such extreme weather events may result in increased operating costs or decreases in revenue.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1B. Unresolved Staff Comments.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1C. Cybersecurity.</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SLB maintains a cyber risk management program designed to identify, assess, manage, mitigate, and respond to cybersecurity threats. This program is integrated within the Company’s enterprise risk management system and addresses both the corporate information technology environment and customer-facing products and services.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231F20"/>
        </w:rPr>
        <w:t>The underlying controls of the cyber risk management program are based on recognized best practices and standards for cybersecurity and information technology, including the National Institute of Standards and Technology (“NIST”) Cybersecurity Framework (“CSF”) and the International Organization Standardization (“ISO”) 27001 Information Security Management System Requirements. SLB has an annual assessment, performed by a third party, of the Company’s cyber risk management program against the NIST CSF.</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SLB has a Cybersecurity Operations Center operating in three locations to provide 24/7 monitoring of its global cybersecurity environment and to coordinate the investigation and remediation of alerts. A program for staging incident response drills is in place to prepare support teams in the event of a significant incident.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4" w:name="page15"/>
    <w:bookmarkEnd w:id="14"/>
    <w:p>
      <w:pPr>
        <w:jc w:val="both"/>
        <w:spacing w:after="0" w:line="260" w:lineRule="auto"/>
        <w:rPr>
          <w:sz w:val="20"/>
          <w:szCs w:val="20"/>
          <w:color w:val="auto"/>
        </w:rPr>
      </w:pPr>
      <w:r>
        <w:rPr>
          <w:rFonts w:ascii="Arial" w:cs="Arial" w:eastAsia="Arial" w:hAnsi="Arial"/>
          <w:sz w:val="16"/>
          <w:szCs w:val="16"/>
          <w:color w:val="231F20"/>
        </w:rPr>
        <w:t>Cyber partners are a key part of SLB’s cybersecurity infrastructure. SLB partners with leading cybersecurity companies and organizations, leveraging third-party technology and expertise. SLB engages with these partners to monitor and maintain the performance and effectiveness of products and services that are deployed in SLB’s environment as well as, if necessary, assist in responding to cyber attacks.</w:t>
      </w:r>
    </w:p>
    <w:p>
      <w:pPr>
        <w:spacing w:after="0" w:line="14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SLB’s Cybersecurity Director reports to SLB’s Chief Information Officer and is the head of the Company’s cybersecurity team. The Cyber Security Director is responsible for assessing and managing SLB’s cyber risk management program, informs senior management regarding the prevention, detection, mitigation, and remediation of cybersecurity incidents and supervises such efforts. The cybersecurity team has decades of experience selecting, deploying, and operating cybersecurity technologies, initiatives, and processes around the world, and relies on threat intelligence as well as other information obtained from governmental, public, and private sources, including external consultants engaged by SLB.</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231F20"/>
        </w:rPr>
        <w:t>The Audit Committee of the Board of Directors oversees SLB’s cybersecurity risk exposures and the steps taken by management to monitor and mitigate cybersecurity risks. The cybersecurity team briefs the Audit Committee on the effectiveness of SLB’s cyber risk management program, typically on a quarterly basis. In addition, cybersecurity risks are reviewed by the SLB Board of Directors, at least annually, as part of the Company’s enterprise risk management process.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SLB faces risks from cybersecurity threats that could have a material adverse effect on its business, financial condition, results of operations, cash flows or reputation. SLB has experienced, and will continue to experience, cyber incidents in the normal course of its business. However, prior cybersecurity incidents have not had a material adverse effect on SLB’s business, financial condition, results of operations, or cash flows. See “Risk Factors – Business and Operational Risks – Our operations are subject to cyber incidents that could have a material adverse effect on our reputation, business,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2. Properties.</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SLB owns or leases numerous manufacturing facilities, administrative offices, service centers, research centers, data processing centers, mines, and other facilities throughout the world, none of which are individually material.</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3. Legal Proceedings.</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information with respect to this Item 3. Legal Proceedings is set forth in Note 15 – </w:t>
      </w:r>
      <w:r>
        <w:rPr>
          <w:rFonts w:ascii="Arial" w:cs="Arial" w:eastAsia="Arial" w:hAnsi="Arial"/>
          <w:sz w:val="15"/>
          <w:szCs w:val="15"/>
          <w:i w:val="1"/>
          <w:iCs w:val="1"/>
          <w:color w:val="auto"/>
        </w:rPr>
        <w:t>Contingencies</w:t>
      </w:r>
      <w:r>
        <w:rPr>
          <w:rFonts w:ascii="Arial" w:cs="Arial" w:eastAsia="Arial" w:hAnsi="Arial"/>
          <w:sz w:val="15"/>
          <w:szCs w:val="15"/>
          <w:color w:val="auto"/>
        </w:rPr>
        <w:t xml:space="preserve">, in the accompanying </w:t>
      </w:r>
      <w:r>
        <w:rPr>
          <w:rFonts w:ascii="Arial" w:cs="Arial" w:eastAsia="Arial" w:hAnsi="Arial"/>
          <w:sz w:val="15"/>
          <w:szCs w:val="15"/>
          <w:i w:val="1"/>
          <w:iCs w:val="1"/>
          <w:color w:val="auto"/>
        </w:rPr>
        <w:t>Consolidated Financial Statements</w:t>
      </w:r>
      <w:r>
        <w:rPr>
          <w:rFonts w:ascii="Arial" w:cs="Arial" w:eastAsia="Arial" w:hAnsi="Arial"/>
          <w:sz w:val="15"/>
          <w:szCs w:val="15"/>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4. Mine Safety Disclosures.</w:t>
      </w:r>
    </w:p>
    <w:p>
      <w:pPr>
        <w:spacing w:after="0" w:line="109"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Information concerning mine safety violations or other regulatory matters required by section 1503(a) of the Dodd-Frank Wall Street Reform and Consumer Protection Act and Item 104 of Regulation S-K is included in Exhibit 95 to this Form 10-K.</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auto"/>
        </w:rPr>
        <w:t>PART II</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5. Market for Registrant’s Common Equity, Related Stockholder Matters and Issuer Purchases of Equity Securities.</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As of December 31, 2024, there were 20,762 stockholders of record. The principal US market for SLB’s common stock is the New York Stock Exchange (“NYSE”), where it is traded under the symbol “SLB.”</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following graph compares the cumulative total stockholder return on SLB common stock with the cumulative total return on the Standard &amp; Poor’s 500 Index (“S&amp;P 500 Index”) and the cumulative total return on the Philadelphia Oil Service Index. It assumes $100 was invested on December 31, 2019 in SLB common stock, in the S&amp;P 500 Index and in the Philadelphia Oil Service Index, as well as the reinvestment of dividends on the last day of the month of payment. The stockholder return set forth below is not necessarily indicative of future performance. The following graph and related information shall not be deemed “soliciting material” or to be “filed” with the SEC, nor shall such information be incorporated by reference into any future filing under the Securities Act of 1933, as amended, or the Securities Exchange Act of 1934, as amended, except to the extent that SLB specifically incorporates it by reference into such filing.</w:t>
      </w:r>
    </w:p>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Comparison of Five-Year Cumulative Total Return Among</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SLB Common Stock, the S&amp;P 500 Index and the</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Philadelphia Oil Service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1001395</wp:posOffset>
            </wp:positionH>
            <wp:positionV relativeFrom="paragraph">
              <wp:posOffset>118745</wp:posOffset>
            </wp:positionV>
            <wp:extent cx="5139055" cy="3592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39055" cy="359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Share Repurchases</w:t>
      </w:r>
    </w:p>
    <w:p>
      <w:pPr>
        <w:spacing w:after="0" w:line="109"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On January 21, 2016, the SLB Board of Directors approved a $10 billion share repurchase program for SLB common stock. SLB cumulatively repurchased $3.5 billion of its common stock under this program as of December 31, 2024.</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SLB's common stock repurchase program activity for the three months ended December 31, 2024 was as follows: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40" w:type="dxa"/>
            <w:vAlign w:val="bottom"/>
            <w:gridSpan w:val="7"/>
          </w:tcPr>
          <w:p>
            <w:pPr>
              <w:jc w:val="right"/>
              <w:ind w:right="140"/>
              <w:spacing w:after="0"/>
              <w:rPr>
                <w:sz w:val="20"/>
                <w:szCs w:val="20"/>
                <w:color w:val="auto"/>
              </w:rPr>
            </w:pPr>
            <w:r>
              <w:rPr>
                <w:rFonts w:ascii="Arial" w:cs="Arial" w:eastAsia="Arial" w:hAnsi="Arial"/>
                <w:sz w:val="14"/>
                <w:szCs w:val="14"/>
                <w:i w:val="1"/>
                <w:iCs w:val="1"/>
                <w:color w:val="auto"/>
              </w:rPr>
              <w:t>(Stated in thousands, except per share amounts)</w:t>
            </w:r>
          </w:p>
        </w:tc>
      </w:tr>
      <w:tr>
        <w:trPr>
          <w:trHeight w:val="355"/>
        </w:trPr>
        <w:tc>
          <w:tcPr>
            <w:tcW w:w="5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Total number of</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5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5"/>
              </w:rPr>
              <w:t>shares</w:t>
            </w:r>
          </w:p>
        </w:tc>
        <w:tc>
          <w:tcPr>
            <w:tcW w:w="240" w:type="dxa"/>
            <w:vAlign w:val="bottom"/>
          </w:tcPr>
          <w:p>
            <w:pPr>
              <w:spacing w:after="0"/>
              <w:rPr>
                <w:sz w:val="16"/>
                <w:szCs w:val="16"/>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w w:val="98"/>
              </w:rPr>
              <w:t>Maximum value</w:t>
            </w:r>
          </w:p>
        </w:tc>
      </w:tr>
      <w:tr>
        <w:trPr>
          <w:trHeight w:val="186"/>
        </w:trPr>
        <w:tc>
          <w:tcPr>
            <w:tcW w:w="5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7"/>
              </w:rPr>
              <w:t>purchased as</w:t>
            </w:r>
          </w:p>
        </w:tc>
        <w:tc>
          <w:tcPr>
            <w:tcW w:w="240" w:type="dxa"/>
            <w:vAlign w:val="bottom"/>
          </w:tcPr>
          <w:p>
            <w:pPr>
              <w:spacing w:after="0"/>
              <w:rPr>
                <w:sz w:val="16"/>
                <w:szCs w:val="16"/>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6"/>
                <w:szCs w:val="16"/>
                <w:color w:val="auto"/>
              </w:rPr>
              <w:t>of shares that</w:t>
            </w:r>
          </w:p>
        </w:tc>
      </w:tr>
      <w:tr>
        <w:trPr>
          <w:trHeight w:val="186"/>
        </w:trPr>
        <w:tc>
          <w:tcPr>
            <w:tcW w:w="5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8"/>
              </w:rPr>
              <w:t>part of publicly</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color w:val="auto"/>
                <w:w w:val="99"/>
              </w:rPr>
              <w:t>may yet be</w:t>
            </w:r>
          </w:p>
        </w:tc>
      </w:tr>
      <w:tr>
        <w:trPr>
          <w:trHeight w:val="186"/>
        </w:trPr>
        <w:tc>
          <w:tcPr>
            <w:tcW w:w="57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Total number of</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8"/>
              </w:rPr>
              <w:t>announced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purchased</w:t>
            </w:r>
          </w:p>
        </w:tc>
      </w:tr>
      <w:tr>
        <w:trPr>
          <w:trHeight w:val="186"/>
        </w:trPr>
        <w:tc>
          <w:tcPr>
            <w:tcW w:w="57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shares</w:t>
            </w:r>
          </w:p>
        </w:tc>
        <w:tc>
          <w:tcPr>
            <w:tcW w:w="2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color w:val="auto"/>
              </w:rPr>
              <w:t>Average price</w:t>
            </w: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plans or</w:t>
            </w:r>
          </w:p>
        </w:tc>
        <w:tc>
          <w:tcPr>
            <w:tcW w:w="240" w:type="dxa"/>
            <w:vAlign w:val="bottom"/>
          </w:tcPr>
          <w:p>
            <w:pPr>
              <w:spacing w:after="0"/>
              <w:rPr>
                <w:sz w:val="16"/>
                <w:szCs w:val="16"/>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w w:val="99"/>
              </w:rPr>
              <w:t>under the plans</w:t>
            </w:r>
          </w:p>
        </w:tc>
      </w:tr>
      <w:tr>
        <w:trPr>
          <w:trHeight w:val="200"/>
        </w:trPr>
        <w:tc>
          <w:tcPr>
            <w:tcW w:w="570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purchased</w:t>
            </w:r>
          </w:p>
        </w:tc>
        <w:tc>
          <w:tcPr>
            <w:tcW w:w="260" w:type="dxa"/>
            <w:vAlign w:val="bottom"/>
          </w:tcPr>
          <w:p>
            <w:pPr>
              <w:spacing w:after="0"/>
              <w:rPr>
                <w:sz w:val="17"/>
                <w:szCs w:val="17"/>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paid per share</w:t>
            </w: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programs</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color w:val="auto"/>
                <w:w w:val="99"/>
              </w:rPr>
              <w:t>or programs</w:t>
            </w:r>
          </w:p>
        </w:tc>
        <w:tc>
          <w:tcPr>
            <w:tcW w:w="100" w:type="dxa"/>
            <w:vAlign w:val="bottom"/>
          </w:tcPr>
          <w:p>
            <w:pPr>
              <w:spacing w:after="0"/>
              <w:rPr>
                <w:sz w:val="17"/>
                <w:szCs w:val="17"/>
                <w:color w:val="auto"/>
              </w:rPr>
            </w:pPr>
          </w:p>
        </w:tc>
      </w:tr>
      <w:tr>
        <w:trPr>
          <w:trHeight w:val="180"/>
        </w:trPr>
        <w:tc>
          <w:tcPr>
            <w:tcW w:w="570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October 2024</w:t>
            </w:r>
          </w:p>
        </w:tc>
        <w:tc>
          <w:tcPr>
            <w:tcW w:w="12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5,545.1</w:t>
            </w:r>
          </w:p>
        </w:tc>
        <w:tc>
          <w:tcPr>
            <w:tcW w:w="680" w:type="dxa"/>
            <w:vAlign w:val="bottom"/>
            <w:gridSpan w:val="2"/>
            <w:shd w:val="clear" w:color="auto" w:fill="CFF0FC"/>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42.80</w:t>
            </w:r>
          </w:p>
        </w:tc>
        <w:tc>
          <w:tcPr>
            <w:tcW w:w="142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5,545.1</w:t>
            </w:r>
          </w:p>
        </w:tc>
        <w:tc>
          <w:tcPr>
            <w:tcW w:w="36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6,805,195</w:t>
            </w:r>
          </w:p>
        </w:tc>
        <w:tc>
          <w:tcPr>
            <w:tcW w:w="100" w:type="dxa"/>
            <w:vAlign w:val="bottom"/>
            <w:shd w:val="clear" w:color="auto" w:fill="CFF0FC"/>
          </w:tcPr>
          <w:p>
            <w:pPr>
              <w:spacing w:after="0"/>
              <w:rPr>
                <w:sz w:val="15"/>
                <w:szCs w:val="15"/>
                <w:color w:val="auto"/>
              </w:rPr>
            </w:pPr>
          </w:p>
        </w:tc>
      </w:tr>
      <w:tr>
        <w:trPr>
          <w:trHeight w:val="186"/>
        </w:trPr>
        <w:tc>
          <w:tcPr>
            <w:tcW w:w="5700" w:type="dxa"/>
            <w:vAlign w:val="bottom"/>
          </w:tcPr>
          <w:p>
            <w:pPr>
              <w:ind w:left="20"/>
              <w:spacing w:after="0"/>
              <w:rPr>
                <w:sz w:val="20"/>
                <w:szCs w:val="20"/>
                <w:color w:val="auto"/>
              </w:rPr>
            </w:pPr>
            <w:r>
              <w:rPr>
                <w:rFonts w:ascii="Arial" w:cs="Arial" w:eastAsia="Arial" w:hAnsi="Arial"/>
                <w:sz w:val="16"/>
                <w:szCs w:val="16"/>
                <w:color w:val="auto"/>
              </w:rPr>
              <w:t>November 2024</w:t>
            </w:r>
          </w:p>
        </w:tc>
        <w:tc>
          <w:tcPr>
            <w:tcW w:w="1220" w:type="dxa"/>
            <w:vAlign w:val="bottom"/>
          </w:tcPr>
          <w:p>
            <w:pPr>
              <w:jc w:val="right"/>
              <w:spacing w:after="0"/>
              <w:rPr>
                <w:sz w:val="20"/>
                <w:szCs w:val="20"/>
                <w:color w:val="auto"/>
              </w:rPr>
            </w:pPr>
            <w:r>
              <w:rPr>
                <w:rFonts w:ascii="Arial" w:cs="Arial" w:eastAsia="Arial" w:hAnsi="Arial"/>
                <w:sz w:val="16"/>
                <w:szCs w:val="16"/>
                <w:color w:val="auto"/>
              </w:rPr>
              <w:t>2,992.6</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42.47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2,992.6</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6,678,093</w:t>
            </w:r>
          </w:p>
        </w:tc>
        <w:tc>
          <w:tcPr>
            <w:tcW w:w="100" w:type="dxa"/>
            <w:vAlign w:val="bottom"/>
          </w:tcPr>
          <w:p>
            <w:pPr>
              <w:spacing w:after="0"/>
              <w:rPr>
                <w:sz w:val="16"/>
                <w:szCs w:val="16"/>
                <w:color w:val="auto"/>
              </w:rPr>
            </w:pPr>
          </w:p>
        </w:tc>
      </w:tr>
      <w:tr>
        <w:trPr>
          <w:trHeight w:val="186"/>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December 2024</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3,221.6</w:t>
            </w:r>
          </w:p>
        </w:tc>
        <w:tc>
          <w:tcPr>
            <w:tcW w:w="26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ind w:right="24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42.45</w:t>
            </w:r>
          </w:p>
        </w:tc>
        <w:tc>
          <w:tcPr>
            <w:tcW w:w="22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3,221.6</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6,541,326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0"/>
        </w:trPr>
        <w:tc>
          <w:tcPr>
            <w:tcW w:w="570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Arial" w:cs="Arial" w:eastAsia="Arial" w:hAnsi="Arial"/>
                <w:sz w:val="16"/>
                <w:szCs w:val="16"/>
                <w:color w:val="auto"/>
              </w:rPr>
              <w:t>11,759.3</w:t>
            </w:r>
          </w:p>
        </w:tc>
        <w:tc>
          <w:tcPr>
            <w:tcW w:w="680" w:type="dxa"/>
            <w:vAlign w:val="bottom"/>
            <w:gridSpan w:val="2"/>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80" w:lineRule="exact"/>
              <w:rPr>
                <w:sz w:val="20"/>
                <w:szCs w:val="20"/>
                <w:color w:val="auto"/>
              </w:rPr>
            </w:pPr>
            <w:r>
              <w:rPr>
                <w:rFonts w:ascii="Arial" w:cs="Arial" w:eastAsia="Arial" w:hAnsi="Arial"/>
                <w:sz w:val="16"/>
                <w:szCs w:val="16"/>
                <w:color w:val="auto"/>
              </w:rPr>
              <w:t>42.62</w:t>
            </w:r>
          </w:p>
        </w:tc>
        <w:tc>
          <w:tcPr>
            <w:tcW w:w="14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11,759.3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57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4391025</wp:posOffset>
            </wp:positionH>
            <wp:positionV relativeFrom="paragraph">
              <wp:posOffset>-151765</wp:posOffset>
            </wp:positionV>
            <wp:extent cx="762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-151765</wp:posOffset>
            </wp:positionV>
            <wp:extent cx="67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-151765</wp:posOffset>
            </wp:positionV>
            <wp:extent cx="673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Unregistered Sales of Equity Securities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6. [Reserved].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auto"/>
        </w:rPr>
        <w:t>Item 7. Management’s Discussion and Analysis of Financial Condition and Results of Operations.</w:t>
      </w:r>
    </w:p>
    <w:p>
      <w:pPr>
        <w:spacing w:after="0" w:line="10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discussion and analysis contains forward-looking statements, including, without limitation, statements relating to our plans, strategies, objectives, expectations, intentions, and resources. Such forward-looking statements should be read in conjunction with our disclosures under “Item 1A. Risk Factors” of this Annual Report on Form 10-K.</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This section of the Form 10-K generally discusses 2024 and 2023 items and year-to-year comparisons between 2024 and 2023. Discussions of 2022 items and year-to-year comparison between 2023 and 2022 that are not included in this Form 10-K can be found in “Management’s Discussion and Analysis of Financial Condition and Results of Operations” in Part II, Item 7 of SLB’s Annual Report on Form 10-K for the fiscal year ended December 31, 2023.</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2024 Executive Overview</w:t>
      </w:r>
    </w:p>
    <w:p>
      <w:pPr>
        <w:spacing w:after="0" w:line="10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2024 was a strong year for SLB as we successfully navigated evolving market conditions to deliver revenue growth, margin expansion, and solid free cash flow. Year on year, revenue increased by 10% and pretax segment operating income grew by 12%, while we generated $6.6 billion in cash flow from operations and $4.0 billion in free cash flow, enabling us to return $3.3 billion to shareholders and reduce net debt by $571 million. These results demonstrate SLB’s ability to deliver consistent financial performance despite moderating upstream investment growth, driven by our global scale, unmatched digital offerings and ongoing focus on cost optimization.</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full-year results were highlighted by 12% international revenue growth. This performance was led by the Middle East &amp; Asia and Europe &amp; Africa, which grew 18% and 13%, respectively. The Middle East &amp; Asia achieved record revenues, while growth in Europe &amp; Africa was bolstered by the Aker subsea business, which was acquired in the fourth quarter of 2023. Excluding this acquired business, international revenue increased 7% year over year, outperforming the rig count over the same period.</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Core divisions — Reservoir Performance, Well Construction and Production Systems — delivered 9% revenue growth compared to the prior year, led by 24% growth in Production Systems, largely due to the subsea acquisition. Production Systems grew 9% organically due to double-digit increases in surface systems, completions and artificial lift. Reservoir Performance also delivered 9% growth, underpinned by strong stimulation and intervention activity in the production space.</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Digital &amp; Integration revenue increased 10% year on year, driven by 20% growth in digital, which reached $2.44 billion for the year. Accelerated adoption of our digital technologies marked a milestone year, highlighted by strategic collaborations with cross-industry leaders, the launch of the Lumi™ data and AI platform, new Performance Live™ centers to enable remote operations, and the achievement of fully autonomous drilling operations.</w:t>
      </w:r>
    </w:p>
    <w:p>
      <w:pPr>
        <w:spacing w:after="0" w:line="14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fit-for-basin approach, domain expertise and integration capabilities have established us as the performance partner of choice for addressing the operating challenges our customers face throughout the life cycle of their assets. As operators across the industry increasingly prioritize production and recovery, our strengths are more critical than ever. With the anticipated completion of our announced acquisition of ChampionX, we are set to further strengthen our production and recovery capabilities, enabling us to deliver even greater value to our customers. This strategic acquisition will also enhance the resilience of the SLB portfolio, providing some stability against the cycles in the years to come.</w:t>
      </w:r>
    </w:p>
    <w:p>
      <w:pPr>
        <w:spacing w:after="0" w:line="15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While upstream investment growth will remain subdued in the short term due to global oversupply, we anticipate that the oil supply imbalance will gradually abate. Global economic growth and a heightened focus on energy security, coupled with rising energy demand from AI and data centers will support the investment outlook for the oil and gas industry throughout the rest of the decade.</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our Core business, we are making unmatched contributions to the discovery, development and extraction of oil and gas reserves, fueling global energy supply. We have the leading offering in digital. And we are pursuing a meaningful opportunity in New Energy and decarbonization, where we have established a differentiated market position. Together, this is laying a strong foundation for our business.</w:t>
      </w:r>
    </w:p>
    <w:p>
      <w:pPr>
        <w:spacing w:after="0" w:line="147"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Given our confidence in the business outlook and our ability to continue generating strong cash flows, in January 2025 our Board of Directors approved a 3.6% increase to our quarterly dividend. Additionally, we entered into accelerated share repurchase transactions to repurchase $2.3 billion of SLB common stock. This positions us to increase total return to shareholders, in the form of dividends and share repurchases, from $3.3 billion in 2024 to at least $4 billion in 2025.</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u w:val="single" w:color="auto"/>
          <w:color w:val="auto"/>
        </w:rPr>
        <w:t>Fourth Quarter 2024 Results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4"/>
          </w:tcPr>
          <w:p>
            <w:pPr>
              <w:jc w:val="center"/>
              <w:ind w:right="80"/>
              <w:spacing w:after="0"/>
              <w:rPr>
                <w:sz w:val="20"/>
                <w:szCs w:val="20"/>
                <w:color w:val="auto"/>
              </w:rPr>
            </w:pPr>
            <w:r>
              <w:rPr>
                <w:rFonts w:ascii="Arial" w:cs="Arial" w:eastAsia="Arial" w:hAnsi="Arial"/>
                <w:sz w:val="14"/>
                <w:szCs w:val="14"/>
                <w:i w:val="1"/>
                <w:iCs w:val="1"/>
                <w:color w:val="auto"/>
              </w:rPr>
              <w:t>(Stated in millions)</w:t>
            </w:r>
          </w:p>
        </w:tc>
      </w:tr>
      <w:tr>
        <w:trPr>
          <w:trHeight w:val="369"/>
        </w:trPr>
        <w:tc>
          <w:tcPr>
            <w:tcW w:w="5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5"/>
          </w:tcPr>
          <w:p>
            <w:pPr>
              <w:jc w:val="right"/>
              <w:ind w:right="760"/>
              <w:spacing w:after="0"/>
              <w:rPr>
                <w:sz w:val="20"/>
                <w:szCs w:val="20"/>
                <w:color w:val="auto"/>
              </w:rPr>
            </w:pPr>
            <w:r>
              <w:rPr>
                <w:rFonts w:ascii="Arial" w:cs="Arial" w:eastAsia="Arial" w:hAnsi="Arial"/>
                <w:sz w:val="16"/>
                <w:szCs w:val="16"/>
                <w:b w:val="1"/>
                <w:bCs w:val="1"/>
                <w:color w:val="auto"/>
              </w:rPr>
              <w:t>Fourth Quarter 2024</w:t>
            </w:r>
          </w:p>
        </w:tc>
        <w:tc>
          <w:tcPr>
            <w:tcW w:w="180" w:type="dxa"/>
            <w:vAlign w:val="bottom"/>
          </w:tcPr>
          <w:p>
            <w:pPr>
              <w:spacing w:after="0"/>
              <w:rPr>
                <w:sz w:val="24"/>
                <w:szCs w:val="24"/>
                <w:color w:val="auto"/>
              </w:rPr>
            </w:pPr>
          </w:p>
        </w:tc>
        <w:tc>
          <w:tcPr>
            <w:tcW w:w="2500" w:type="dxa"/>
            <w:vAlign w:val="bottom"/>
            <w:gridSpan w:val="6"/>
          </w:tcPr>
          <w:p>
            <w:pPr>
              <w:jc w:val="right"/>
              <w:ind w:right="740"/>
              <w:spacing w:after="0"/>
              <w:rPr>
                <w:sz w:val="20"/>
                <w:szCs w:val="20"/>
                <w:color w:val="auto"/>
              </w:rPr>
            </w:pPr>
            <w:r>
              <w:rPr>
                <w:rFonts w:ascii="Arial" w:cs="Arial" w:eastAsia="Arial" w:hAnsi="Arial"/>
                <w:sz w:val="16"/>
                <w:szCs w:val="16"/>
                <w:color w:val="auto"/>
              </w:rPr>
              <w:t>Third Quarter 2024</w:t>
            </w:r>
          </w:p>
        </w:tc>
      </w:tr>
      <w:tr>
        <w:trPr>
          <w:trHeight w:val="166"/>
        </w:trPr>
        <w:tc>
          <w:tcPr>
            <w:tcW w:w="57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260"/>
              <w:spacing w:after="0" w:line="165" w:lineRule="exact"/>
              <w:rPr>
                <w:sz w:val="20"/>
                <w:szCs w:val="20"/>
                <w:color w:val="auto"/>
              </w:rPr>
            </w:pPr>
            <w:r>
              <w:rPr>
                <w:rFonts w:ascii="Arial" w:cs="Arial" w:eastAsia="Arial" w:hAnsi="Arial"/>
                <w:sz w:val="16"/>
                <w:szCs w:val="16"/>
                <w:b w:val="1"/>
                <w:bCs w:val="1"/>
                <w:color w:val="auto"/>
              </w:rPr>
              <w:t>Pretax</w:t>
            </w: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140"/>
              <w:spacing w:after="0" w:line="165" w:lineRule="exact"/>
              <w:rPr>
                <w:sz w:val="20"/>
                <w:szCs w:val="20"/>
                <w:color w:val="auto"/>
              </w:rPr>
            </w:pPr>
            <w:r>
              <w:rPr>
                <w:rFonts w:ascii="Arial" w:cs="Arial" w:eastAsia="Arial" w:hAnsi="Arial"/>
                <w:sz w:val="16"/>
                <w:szCs w:val="16"/>
                <w:color w:val="auto"/>
                <w:w w:val="99"/>
              </w:rPr>
              <w:t>Pretax</w:t>
            </w:r>
          </w:p>
        </w:tc>
        <w:tc>
          <w:tcPr>
            <w:tcW w:w="120" w:type="dxa"/>
            <w:vAlign w:val="bottom"/>
          </w:tcPr>
          <w:p>
            <w:pPr>
              <w:spacing w:after="0"/>
              <w:rPr>
                <w:sz w:val="14"/>
                <w:szCs w:val="14"/>
                <w:color w:val="auto"/>
              </w:rPr>
            </w:pPr>
          </w:p>
        </w:tc>
      </w:tr>
      <w:tr>
        <w:trPr>
          <w:trHeight w:val="200"/>
        </w:trPr>
        <w:tc>
          <w:tcPr>
            <w:tcW w:w="57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Income</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Revenue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color w:val="auto"/>
              </w:rPr>
              <w:t>Income</w:t>
            </w:r>
          </w:p>
        </w:tc>
        <w:tc>
          <w:tcPr>
            <w:tcW w:w="120" w:type="dxa"/>
            <w:vAlign w:val="bottom"/>
          </w:tcPr>
          <w:p>
            <w:pPr>
              <w:spacing w:after="0"/>
              <w:rPr>
                <w:sz w:val="17"/>
                <w:szCs w:val="17"/>
                <w:color w:val="auto"/>
              </w:rPr>
            </w:pPr>
          </w:p>
        </w:tc>
      </w:tr>
      <w:tr>
        <w:trPr>
          <w:trHeight w:val="180"/>
        </w:trPr>
        <w:tc>
          <w:tcPr>
            <w:tcW w:w="57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Digital &amp; Integration</w:t>
            </w:r>
          </w:p>
        </w:tc>
        <w:tc>
          <w:tcPr>
            <w:tcW w:w="1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1,156</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0"/>
              <w:spacing w:after="0" w:line="180" w:lineRule="exact"/>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442</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1,088</w:t>
            </w:r>
          </w:p>
        </w:tc>
        <w:tc>
          <w:tcPr>
            <w:tcW w:w="14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386</w:t>
            </w:r>
          </w:p>
        </w:tc>
        <w:tc>
          <w:tcPr>
            <w:tcW w:w="120" w:type="dxa"/>
            <w:vAlign w:val="bottom"/>
            <w:shd w:val="clear" w:color="auto" w:fill="CFF0FC"/>
          </w:tcPr>
          <w:p>
            <w:pPr>
              <w:spacing w:after="0"/>
              <w:rPr>
                <w:sz w:val="15"/>
                <w:szCs w:val="15"/>
                <w:color w:val="auto"/>
              </w:rPr>
            </w:pPr>
          </w:p>
        </w:tc>
      </w:tr>
      <w:tr>
        <w:trPr>
          <w:trHeight w:val="186"/>
        </w:trPr>
        <w:tc>
          <w:tcPr>
            <w:tcW w:w="576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1,810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370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1,823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16"/>
                <w:szCs w:val="16"/>
                <w:color w:val="auto"/>
              </w:rPr>
            </w:pPr>
          </w:p>
        </w:tc>
      </w:tr>
      <w:tr>
        <w:trPr>
          <w:trHeight w:val="18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3,267</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681</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w:t>
            </w:r>
          </w:p>
        </w:tc>
        <w:tc>
          <w:tcPr>
            <w:tcW w:w="120" w:type="dxa"/>
            <w:vAlign w:val="bottom"/>
            <w:shd w:val="clear" w:color="auto" w:fill="CFF0FC"/>
          </w:tcPr>
          <w:p>
            <w:pPr>
              <w:spacing w:after="0"/>
              <w:rPr>
                <w:sz w:val="16"/>
                <w:szCs w:val="16"/>
                <w:color w:val="auto"/>
              </w:rPr>
            </w:pPr>
          </w:p>
        </w:tc>
      </w:tr>
      <w:tr>
        <w:trPr>
          <w:trHeight w:val="186"/>
        </w:trPr>
        <w:tc>
          <w:tcPr>
            <w:tcW w:w="576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3,197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506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3,103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16"/>
                <w:szCs w:val="16"/>
                <w:color w:val="auto"/>
              </w:rPr>
            </w:pPr>
          </w:p>
        </w:tc>
      </w:tr>
      <w:tr>
        <w:trPr>
          <w:trHeight w:val="18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16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(146 )</w:t>
            </w: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(81 )</w:t>
            </w:r>
          </w:p>
        </w:tc>
        <w:tc>
          <w:tcPr>
            <w:tcW w:w="1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(167 )</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(84 )</w:t>
            </w:r>
          </w:p>
        </w:tc>
      </w:tr>
      <w:tr>
        <w:trPr>
          <w:trHeight w:val="180"/>
        </w:trPr>
        <w:tc>
          <w:tcPr>
            <w:tcW w:w="5760" w:type="dxa"/>
            <w:vAlign w:val="bottom"/>
            <w:tcBorders>
              <w:top w:val="single" w:sz="8" w:color="CFF0FC"/>
            </w:tcBorders>
          </w:tcPr>
          <w:p>
            <w:pPr>
              <w:ind w:left="200"/>
              <w:spacing w:after="0" w:line="180" w:lineRule="exact"/>
              <w:rPr>
                <w:sz w:val="20"/>
                <w:szCs w:val="20"/>
                <w:color w:val="auto"/>
              </w:rPr>
            </w:pPr>
            <w:r>
              <w:rPr>
                <w:rFonts w:ascii="Arial" w:cs="Arial" w:eastAsia="Arial" w:hAnsi="Arial"/>
                <w:sz w:val="16"/>
                <w:szCs w:val="16"/>
                <w:color w:val="auto"/>
              </w:rPr>
              <w:t>Pretax segment operating income</w:t>
            </w:r>
          </w:p>
        </w:tc>
        <w:tc>
          <w:tcPr>
            <w:tcW w:w="16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1,918</w:t>
            </w:r>
          </w:p>
        </w:tc>
        <w:tc>
          <w:tcPr>
            <w:tcW w:w="24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98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1,902</w:t>
            </w:r>
          </w:p>
        </w:tc>
        <w:tc>
          <w:tcPr>
            <w:tcW w:w="120" w:type="dxa"/>
            <w:vAlign w:val="bottom"/>
            <w:tcBorders>
              <w:top w:val="single" w:sz="8" w:color="CFF0FC"/>
            </w:tcBorders>
          </w:tcPr>
          <w:p>
            <w:pPr>
              <w:spacing w:after="0"/>
              <w:rPr>
                <w:sz w:val="15"/>
                <w:szCs w:val="15"/>
                <w:color w:val="auto"/>
              </w:rPr>
            </w:pPr>
          </w:p>
        </w:tc>
      </w:tr>
      <w:tr>
        <w:trPr>
          <w:trHeight w:val="186"/>
        </w:trPr>
        <w:tc>
          <w:tcPr>
            <w:tcW w:w="5760" w:type="dxa"/>
            <w:vAlign w:val="bottom"/>
            <w:shd w:val="clear" w:color="auto" w:fill="CFF0FC"/>
          </w:tcPr>
          <w:p>
            <w:pPr>
              <w:ind w:left="20"/>
              <w:spacing w:after="0" w:line="187"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(177 )</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(187 )</w:t>
            </w:r>
          </w:p>
        </w:tc>
      </w:tr>
      <w:tr>
        <w:trPr>
          <w:trHeight w:val="186"/>
        </w:trPr>
        <w:tc>
          <w:tcPr>
            <w:tcW w:w="5760" w:type="dxa"/>
            <w:vAlign w:val="bottom"/>
          </w:tcPr>
          <w:p>
            <w:pPr>
              <w:ind w:left="20"/>
              <w:spacing w:after="0" w:line="187"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6"/>
                <w:szCs w:val="16"/>
                <w:color w:val="auto"/>
              </w:rPr>
            </w:pPr>
          </w:p>
        </w:tc>
      </w:tr>
      <w:tr>
        <w:trPr>
          <w:trHeight w:val="186"/>
        </w:trPr>
        <w:tc>
          <w:tcPr>
            <w:tcW w:w="5760" w:type="dxa"/>
            <w:vAlign w:val="bottom"/>
            <w:shd w:val="clear" w:color="auto" w:fill="CFF0FC"/>
          </w:tcPr>
          <w:p>
            <w:pPr>
              <w:ind w:left="20"/>
              <w:spacing w:after="0" w:line="187"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(128 )</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(132 )</w:t>
            </w:r>
          </w:p>
        </w:tc>
      </w:tr>
      <w:tr>
        <w:trPr>
          <w:trHeight w:val="186"/>
        </w:trPr>
        <w:tc>
          <w:tcPr>
            <w:tcW w:w="5760" w:type="dxa"/>
            <w:vAlign w:val="bottom"/>
          </w:tcPr>
          <w:p>
            <w:pPr>
              <w:ind w:left="20"/>
              <w:spacing w:after="0" w:line="187" w:lineRule="exact"/>
              <w:rPr>
                <w:sz w:val="20"/>
                <w:szCs w:val="20"/>
                <w:color w:val="auto"/>
              </w:rPr>
            </w:pPr>
            <w:r>
              <w:rPr>
                <w:rFonts w:ascii="Arial" w:cs="Arial" w:eastAsia="Arial" w:hAnsi="Arial"/>
                <w:sz w:val="16"/>
                <w:szCs w:val="16"/>
                <w:color w:val="auto"/>
              </w:rPr>
              <w:t xml:space="preserve">Charges &amp; credits </w:t>
            </w:r>
            <w:r>
              <w:rPr>
                <w:rFonts w:ascii="Arial" w:cs="Arial" w:eastAsia="Arial" w:hAnsi="Arial"/>
                <w:sz w:val="21"/>
                <w:szCs w:val="21"/>
                <w:color w:val="auto"/>
                <w:vertAlign w:val="superscript"/>
              </w:rPr>
              <w:t>(4)</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(262 )</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(112 )</w:t>
            </w:r>
          </w:p>
        </w:tc>
      </w:tr>
      <w:tr>
        <w:trPr>
          <w:trHeight w:val="220"/>
        </w:trPr>
        <w:tc>
          <w:tcPr>
            <w:tcW w:w="57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9,284</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20"/>
              <w:spacing w:after="0" w:line="180"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1,387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9,159</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1,507</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5278755</wp:posOffset>
            </wp:positionH>
            <wp:positionV relativeFrom="paragraph">
              <wp:posOffset>-751840</wp:posOffset>
            </wp:positionV>
            <wp:extent cx="673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7062470</wp:posOffset>
            </wp:positionH>
            <wp:positionV relativeFrom="paragraph">
              <wp:posOffset>-751840</wp:posOffset>
            </wp:positionV>
            <wp:extent cx="762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4391025</wp:posOffset>
            </wp:positionH>
            <wp:positionV relativeFrom="paragraph">
              <wp:posOffset>-24765</wp:posOffset>
            </wp:positionV>
            <wp:extent cx="673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4391025</wp:posOffset>
            </wp:positionH>
            <wp:positionV relativeFrom="paragraph">
              <wp:posOffset>-7620</wp:posOffset>
            </wp:positionV>
            <wp:extent cx="67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5278755</wp:posOffset>
            </wp:positionH>
            <wp:positionV relativeFrom="paragraph">
              <wp:posOffset>-24765</wp:posOffset>
            </wp:positionV>
            <wp:extent cx="673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5278755</wp:posOffset>
            </wp:positionH>
            <wp:positionV relativeFrom="paragraph">
              <wp:posOffset>-7620</wp:posOffset>
            </wp:positionV>
            <wp:extent cx="673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6166485</wp:posOffset>
            </wp:positionH>
            <wp:positionV relativeFrom="paragraph">
              <wp:posOffset>-24765</wp:posOffset>
            </wp:positionV>
            <wp:extent cx="673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6166485</wp:posOffset>
            </wp:positionH>
            <wp:positionV relativeFrom="paragraph">
              <wp:posOffset>-7620</wp:posOffset>
            </wp:positionV>
            <wp:extent cx="673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7062470</wp:posOffset>
            </wp:positionH>
            <wp:positionV relativeFrom="paragraph">
              <wp:posOffset>-24765</wp:posOffset>
            </wp:positionV>
            <wp:extent cx="762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7062470</wp:posOffset>
            </wp:positionH>
            <wp:positionV relativeFrom="paragraph">
              <wp:posOffset>-7620</wp:posOffset>
            </wp:positionV>
            <wp:extent cx="762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pacing w:after="0" w:line="197" w:lineRule="exact"/>
        <w:rPr>
          <w:sz w:val="20"/>
          <w:szCs w:val="20"/>
          <w:color w:val="auto"/>
        </w:rPr>
      </w:pPr>
    </w:p>
    <w:p>
      <w:pPr>
        <w:ind w:left="380" w:hanging="374"/>
        <w:spacing w:after="0" w:line="218"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49" w:lineRule="exact"/>
        <w:rPr>
          <w:rFonts w:ascii="Arial" w:cs="Arial" w:eastAsia="Arial" w:hAnsi="Arial"/>
          <w:sz w:val="19"/>
          <w:szCs w:val="19"/>
          <w:color w:val="auto"/>
          <w:vertAlign w:val="superscript"/>
        </w:rPr>
      </w:pPr>
    </w:p>
    <w:p>
      <w:pPr>
        <w:ind w:left="380" w:hanging="374"/>
        <w:spacing w:after="0"/>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Excludes interest income included in the segments’ income (fourth quarter 2024: $10 million; third quarter 2024: $16 million).</w:t>
      </w:r>
    </w:p>
    <w:p>
      <w:pPr>
        <w:spacing w:after="0" w:line="71" w:lineRule="exact"/>
        <w:rPr>
          <w:rFonts w:ascii="Arial" w:cs="Arial" w:eastAsia="Arial" w:hAnsi="Arial"/>
          <w:sz w:val="19"/>
          <w:szCs w:val="19"/>
          <w:color w:val="auto"/>
          <w:vertAlign w:val="superscript"/>
        </w:rPr>
      </w:pPr>
    </w:p>
    <w:p>
      <w:pPr>
        <w:ind w:left="380" w:hanging="374"/>
        <w:spacing w:after="0" w:line="214"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Excludes interest expense included in the segments’ income (fourth quarter 2024: $3 million; third quarter 2024: $4 million).</w:t>
      </w:r>
    </w:p>
    <w:p>
      <w:pPr>
        <w:spacing w:after="0" w:line="71" w:lineRule="exact"/>
        <w:rPr>
          <w:rFonts w:ascii="Arial" w:cs="Arial" w:eastAsia="Arial" w:hAnsi="Arial"/>
          <w:sz w:val="19"/>
          <w:szCs w:val="19"/>
          <w:color w:val="auto"/>
          <w:vertAlign w:val="superscript"/>
        </w:rPr>
      </w:pPr>
    </w:p>
    <w:p>
      <w:pPr>
        <w:ind w:left="380" w:hanging="374"/>
        <w:spacing w:after="0" w:line="214"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 xml:space="preserve">Charges and credits are described in detail in Note 3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7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Fourth-quarter revenue of $9.3 billion increased 1% sequentially, driven by digital sales in North America and higher activity in the Middle East, Europe and North Africa. On a divisional basis, Digital &amp; Integration led the growth, driven by increased demand for digital products and solutions, while Production Systems benefited from strong backlog conversion as customers continued to invest in maximizing recovery from existing assets.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International revenue of $7.5 billion increased 1% sequentially driven by the Middle East &amp; Asia and Europe &amp; Africa. The Middle East &amp; Asia grew 2% sequentially driven by strong activity in the United Arab Emirates, higher drilling in Egypt, and increased stimulation, intervention, and evaluation activity in Qatar. These gains were offset by weaker performance in Saudi Arabia and Australia. Europe &amp; Africa also grew 2% sequentially largely driven by increased activity in Europe and North Africa. Revenue in Latin America declined 3% sequentially primarily due to reduced drilling activity in Mexico.</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North America revenue of $1.8 billion increased 4% sequentially due to higher digital sales, increased sales of production systems, and increased drilling activity in U.S. land and Canada.</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 &amp; Integration</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Digital &amp; Integration revenue of $1.2 billion increased 6% sequentially driven by 10% growth in digital revenue, supported by greater adoption of digital technologies and higher sales of exploration data, particularly in the U.S. Gulf of Mexico. Asset Performance Solutions (“APS”) revenue was flat sequentially.</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Digital &amp; Integration pretax operating margin of 38% expanded 274 basis points (“bps”) sequentially, reflecting improved profitability in digital from higher sales and cost efficiencies.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Reservoir Performance</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Reservoir Performance revenue of $1.8 billion declined 1% sequentially driven by reduced intervention and stimulation activity, partially offset by stronger evaluation activity. Revenue was impacted by lower stimulation and intervention work in Saudi Arabia, which was offset by increased activity in the rest of the Middle East &amp; Asia and North America.</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Reservoir Performance pretax operating margin of 20% expanded 35 bps sequentially, primarily reflecting improved profitability in evaluation services.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Well Construction</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Well Construction revenue of $3.3 billion declined 1% sequentially due to reduced drilling activity in Mexico and Saudi Arabia, partially mitigated by higher activity across the rest of the Middle East &amp; Asia.</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Well Construction pretax operating margin of 21% declined 70 bps sequentially due to the reduced activity.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97"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Production Systems</w:t>
      </w:r>
    </w:p>
    <w:p>
      <w:pPr>
        <w:spacing w:after="0" w:line="109"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Production Systems revenue of $3.2 billion increased 3% sequentially with growth led by higher international sales of artificial lift, midstream production systems and completions, partially offset by reduced sales of subsea production systems.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Production Systems pretax operating margin of 16% decreased 93 bps sequentially primarily due to lower profitability in subsea production systems.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Full-Year 2024 Results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4"/>
          </w:tcPr>
          <w:p>
            <w:pPr>
              <w:jc w:val="center"/>
              <w:ind w:right="80"/>
              <w:spacing w:after="0"/>
              <w:rPr>
                <w:sz w:val="20"/>
                <w:szCs w:val="20"/>
                <w:color w:val="auto"/>
              </w:rPr>
            </w:pPr>
            <w:r>
              <w:rPr>
                <w:rFonts w:ascii="Arial" w:cs="Arial" w:eastAsia="Arial" w:hAnsi="Arial"/>
                <w:sz w:val="14"/>
                <w:szCs w:val="14"/>
                <w:i w:val="1"/>
                <w:iCs w:val="1"/>
                <w:color w:val="auto"/>
              </w:rPr>
              <w:t>(Stated in millions)</w:t>
            </w:r>
          </w:p>
        </w:tc>
      </w:tr>
      <w:tr>
        <w:trPr>
          <w:trHeight w:val="369"/>
        </w:trPr>
        <w:tc>
          <w:tcPr>
            <w:tcW w:w="5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2024</w:t>
            </w: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color w:val="auto"/>
              </w:rPr>
              <w:t>2023</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6"/>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60"/>
              <w:spacing w:after="0" w:line="165" w:lineRule="exact"/>
              <w:rPr>
                <w:sz w:val="20"/>
                <w:szCs w:val="20"/>
                <w:color w:val="auto"/>
              </w:rPr>
            </w:pPr>
            <w:r>
              <w:rPr>
                <w:rFonts w:ascii="Arial" w:cs="Arial" w:eastAsia="Arial" w:hAnsi="Arial"/>
                <w:sz w:val="16"/>
                <w:szCs w:val="16"/>
                <w:b w:val="1"/>
                <w:bCs w:val="1"/>
                <w:color w:val="auto"/>
              </w:rPr>
              <w:t>Pretax</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40"/>
              <w:spacing w:after="0" w:line="165" w:lineRule="exact"/>
              <w:rPr>
                <w:sz w:val="20"/>
                <w:szCs w:val="20"/>
                <w:color w:val="auto"/>
              </w:rPr>
            </w:pPr>
            <w:r>
              <w:rPr>
                <w:rFonts w:ascii="Arial" w:cs="Arial" w:eastAsia="Arial" w:hAnsi="Arial"/>
                <w:sz w:val="16"/>
                <w:szCs w:val="16"/>
                <w:color w:val="auto"/>
                <w:w w:val="99"/>
              </w:rPr>
              <w:t>Pretax</w:t>
            </w:r>
          </w:p>
        </w:tc>
        <w:tc>
          <w:tcPr>
            <w:tcW w:w="120" w:type="dxa"/>
            <w:vAlign w:val="bottom"/>
          </w:tcPr>
          <w:p>
            <w:pPr>
              <w:spacing w:after="0"/>
              <w:rPr>
                <w:sz w:val="14"/>
                <w:szCs w:val="14"/>
                <w:color w:val="auto"/>
              </w:rPr>
            </w:pPr>
          </w:p>
        </w:tc>
      </w:tr>
      <w:tr>
        <w:trPr>
          <w:trHeight w:val="200"/>
        </w:trPr>
        <w:tc>
          <w:tcPr>
            <w:tcW w:w="57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Income</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Revenue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color w:val="auto"/>
              </w:rPr>
              <w:t>Income</w:t>
            </w:r>
          </w:p>
        </w:tc>
        <w:tc>
          <w:tcPr>
            <w:tcW w:w="120" w:type="dxa"/>
            <w:vAlign w:val="bottom"/>
          </w:tcPr>
          <w:p>
            <w:pPr>
              <w:spacing w:after="0"/>
              <w:rPr>
                <w:sz w:val="17"/>
                <w:szCs w:val="17"/>
                <w:color w:val="auto"/>
              </w:rPr>
            </w:pPr>
          </w:p>
        </w:tc>
      </w:tr>
      <w:tr>
        <w:trPr>
          <w:trHeight w:val="180"/>
        </w:trPr>
        <w:tc>
          <w:tcPr>
            <w:tcW w:w="57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Digital &amp; Integration</w:t>
            </w:r>
          </w:p>
        </w:tc>
        <w:tc>
          <w:tcPr>
            <w:tcW w:w="1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4,247</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0"/>
              <w:spacing w:after="0" w:line="180" w:lineRule="exact"/>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1,408</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3,871</w:t>
            </w:r>
          </w:p>
        </w:tc>
        <w:tc>
          <w:tcPr>
            <w:tcW w:w="14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1,257</w:t>
            </w:r>
          </w:p>
        </w:tc>
        <w:tc>
          <w:tcPr>
            <w:tcW w:w="120" w:type="dxa"/>
            <w:vAlign w:val="bottom"/>
            <w:shd w:val="clear" w:color="auto" w:fill="CFF0FC"/>
          </w:tcPr>
          <w:p>
            <w:pPr>
              <w:spacing w:after="0"/>
              <w:rPr>
                <w:sz w:val="15"/>
                <w:szCs w:val="15"/>
                <w:color w:val="auto"/>
              </w:rPr>
            </w:pPr>
          </w:p>
        </w:tc>
      </w:tr>
      <w:tr>
        <w:trPr>
          <w:trHeight w:val="186"/>
        </w:trPr>
        <w:tc>
          <w:tcPr>
            <w:tcW w:w="576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7,177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1,452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6,561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1,263</w:t>
            </w:r>
          </w:p>
        </w:tc>
        <w:tc>
          <w:tcPr>
            <w:tcW w:w="120" w:type="dxa"/>
            <w:vAlign w:val="bottom"/>
          </w:tcPr>
          <w:p>
            <w:pPr>
              <w:spacing w:after="0"/>
              <w:rPr>
                <w:sz w:val="16"/>
                <w:szCs w:val="16"/>
                <w:color w:val="auto"/>
              </w:rPr>
            </w:pPr>
          </w:p>
        </w:tc>
      </w:tr>
      <w:tr>
        <w:trPr>
          <w:trHeight w:val="18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13,357</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2,826</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13,478</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2,932</w:t>
            </w:r>
          </w:p>
        </w:tc>
        <w:tc>
          <w:tcPr>
            <w:tcW w:w="120" w:type="dxa"/>
            <w:vAlign w:val="bottom"/>
            <w:shd w:val="clear" w:color="auto" w:fill="CFF0FC"/>
          </w:tcPr>
          <w:p>
            <w:pPr>
              <w:spacing w:after="0"/>
              <w:rPr>
                <w:sz w:val="16"/>
                <w:szCs w:val="16"/>
                <w:color w:val="auto"/>
              </w:rPr>
            </w:pPr>
          </w:p>
        </w:tc>
      </w:tr>
      <w:tr>
        <w:trPr>
          <w:trHeight w:val="186"/>
        </w:trPr>
        <w:tc>
          <w:tcPr>
            <w:tcW w:w="576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12,143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1,898</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9,831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1,245</w:t>
            </w:r>
          </w:p>
        </w:tc>
        <w:tc>
          <w:tcPr>
            <w:tcW w:w="120" w:type="dxa"/>
            <w:vAlign w:val="bottom"/>
          </w:tcPr>
          <w:p>
            <w:pPr>
              <w:spacing w:after="0"/>
              <w:rPr>
                <w:sz w:val="16"/>
                <w:szCs w:val="16"/>
                <w:color w:val="auto"/>
              </w:rPr>
            </w:pPr>
          </w:p>
        </w:tc>
      </w:tr>
      <w:tr>
        <w:trPr>
          <w:trHeight w:val="18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16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(635 )</w:t>
            </w: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(263 )</w:t>
            </w:r>
          </w:p>
        </w:tc>
        <w:tc>
          <w:tcPr>
            <w:tcW w:w="1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(606 )</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(174 )</w:t>
            </w:r>
          </w:p>
        </w:tc>
      </w:tr>
      <w:tr>
        <w:trPr>
          <w:trHeight w:val="180"/>
        </w:trPr>
        <w:tc>
          <w:tcPr>
            <w:tcW w:w="5760" w:type="dxa"/>
            <w:vAlign w:val="bottom"/>
            <w:tcBorders>
              <w:top w:val="single" w:sz="8" w:color="CFF0FC"/>
            </w:tcBorders>
          </w:tcPr>
          <w:p>
            <w:pPr>
              <w:ind w:left="200"/>
              <w:spacing w:after="0" w:line="180" w:lineRule="exact"/>
              <w:rPr>
                <w:sz w:val="20"/>
                <w:szCs w:val="20"/>
                <w:color w:val="auto"/>
              </w:rPr>
            </w:pPr>
            <w:r>
              <w:rPr>
                <w:rFonts w:ascii="Arial" w:cs="Arial" w:eastAsia="Arial" w:hAnsi="Arial"/>
                <w:sz w:val="16"/>
                <w:szCs w:val="16"/>
                <w:color w:val="auto"/>
              </w:rPr>
              <w:t>Pretax segment operating income</w:t>
            </w:r>
          </w:p>
        </w:tc>
        <w:tc>
          <w:tcPr>
            <w:tcW w:w="16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7,321</w:t>
            </w:r>
          </w:p>
        </w:tc>
        <w:tc>
          <w:tcPr>
            <w:tcW w:w="24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98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6,523</w:t>
            </w:r>
          </w:p>
        </w:tc>
        <w:tc>
          <w:tcPr>
            <w:tcW w:w="120" w:type="dxa"/>
            <w:vAlign w:val="bottom"/>
            <w:tcBorders>
              <w:top w:val="single" w:sz="8" w:color="CFF0FC"/>
            </w:tcBorders>
          </w:tcPr>
          <w:p>
            <w:pPr>
              <w:spacing w:after="0"/>
              <w:rPr>
                <w:sz w:val="15"/>
                <w:szCs w:val="15"/>
                <w:color w:val="auto"/>
              </w:rPr>
            </w:pPr>
          </w:p>
        </w:tc>
      </w:tr>
      <w:tr>
        <w:trPr>
          <w:trHeight w:val="186"/>
        </w:trPr>
        <w:tc>
          <w:tcPr>
            <w:tcW w:w="5760" w:type="dxa"/>
            <w:vAlign w:val="bottom"/>
            <w:shd w:val="clear" w:color="auto" w:fill="CFF0FC"/>
          </w:tcPr>
          <w:p>
            <w:pPr>
              <w:ind w:left="20"/>
              <w:spacing w:after="0" w:line="187"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(744 )</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(729 )</w:t>
            </w:r>
          </w:p>
        </w:tc>
      </w:tr>
      <w:tr>
        <w:trPr>
          <w:trHeight w:val="186"/>
        </w:trPr>
        <w:tc>
          <w:tcPr>
            <w:tcW w:w="5760" w:type="dxa"/>
            <w:vAlign w:val="bottom"/>
          </w:tcPr>
          <w:p>
            <w:pPr>
              <w:ind w:left="20"/>
              <w:spacing w:after="0" w:line="187"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134</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6"/>
                <w:szCs w:val="16"/>
                <w:color w:val="auto"/>
              </w:rPr>
            </w:pPr>
          </w:p>
        </w:tc>
      </w:tr>
      <w:tr>
        <w:trPr>
          <w:trHeight w:val="186"/>
        </w:trPr>
        <w:tc>
          <w:tcPr>
            <w:tcW w:w="5760" w:type="dxa"/>
            <w:vAlign w:val="bottom"/>
            <w:shd w:val="clear" w:color="auto" w:fill="CFF0FC"/>
          </w:tcPr>
          <w:p>
            <w:pPr>
              <w:ind w:left="20"/>
              <w:spacing w:after="0" w:line="187"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(498 )</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(489 )</w:t>
            </w:r>
          </w:p>
        </w:tc>
      </w:tr>
      <w:tr>
        <w:trPr>
          <w:trHeight w:val="186"/>
        </w:trPr>
        <w:tc>
          <w:tcPr>
            <w:tcW w:w="5760" w:type="dxa"/>
            <w:vAlign w:val="bottom"/>
          </w:tcPr>
          <w:p>
            <w:pPr>
              <w:ind w:left="20"/>
              <w:spacing w:after="0" w:line="187" w:lineRule="exact"/>
              <w:rPr>
                <w:sz w:val="20"/>
                <w:szCs w:val="20"/>
                <w:color w:val="auto"/>
              </w:rPr>
            </w:pPr>
            <w:r>
              <w:rPr>
                <w:rFonts w:ascii="Arial" w:cs="Arial" w:eastAsia="Arial" w:hAnsi="Arial"/>
                <w:sz w:val="16"/>
                <w:szCs w:val="16"/>
                <w:color w:val="auto"/>
              </w:rPr>
              <w:t xml:space="preserve">Charges &amp; credits </w:t>
            </w:r>
            <w:r>
              <w:rPr>
                <w:rFonts w:ascii="Arial" w:cs="Arial" w:eastAsia="Arial" w:hAnsi="Arial"/>
                <w:sz w:val="21"/>
                <w:szCs w:val="21"/>
                <w:color w:val="auto"/>
                <w:vertAlign w:val="superscript"/>
              </w:rPr>
              <w:t>(4)</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(541 )</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(110 )</w:t>
            </w:r>
          </w:p>
        </w:tc>
      </w:tr>
      <w:tr>
        <w:trPr>
          <w:trHeight w:val="220"/>
        </w:trPr>
        <w:tc>
          <w:tcPr>
            <w:tcW w:w="57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36,289</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20"/>
              <w:spacing w:after="0" w:line="180"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5,672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33,135</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5,282</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5278755</wp:posOffset>
            </wp:positionH>
            <wp:positionV relativeFrom="paragraph">
              <wp:posOffset>-751840</wp:posOffset>
            </wp:positionV>
            <wp:extent cx="673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7062470</wp:posOffset>
            </wp:positionH>
            <wp:positionV relativeFrom="paragraph">
              <wp:posOffset>-751840</wp:posOffset>
            </wp:positionV>
            <wp:extent cx="762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4391025</wp:posOffset>
            </wp:positionH>
            <wp:positionV relativeFrom="paragraph">
              <wp:posOffset>-24765</wp:posOffset>
            </wp:positionV>
            <wp:extent cx="673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4391025</wp:posOffset>
            </wp:positionH>
            <wp:positionV relativeFrom="paragraph">
              <wp:posOffset>-7620</wp:posOffset>
            </wp:positionV>
            <wp:extent cx="673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5278755</wp:posOffset>
            </wp:positionH>
            <wp:positionV relativeFrom="paragraph">
              <wp:posOffset>-24765</wp:posOffset>
            </wp:positionV>
            <wp:extent cx="673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5278755</wp:posOffset>
            </wp:positionH>
            <wp:positionV relativeFrom="paragraph">
              <wp:posOffset>-7620</wp:posOffset>
            </wp:positionV>
            <wp:extent cx="673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6166485</wp:posOffset>
            </wp:positionH>
            <wp:positionV relativeFrom="paragraph">
              <wp:posOffset>-24765</wp:posOffset>
            </wp:positionV>
            <wp:extent cx="673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6166485</wp:posOffset>
            </wp:positionH>
            <wp:positionV relativeFrom="paragraph">
              <wp:posOffset>-7620</wp:posOffset>
            </wp:positionV>
            <wp:extent cx="673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7062470</wp:posOffset>
            </wp:positionH>
            <wp:positionV relativeFrom="paragraph">
              <wp:posOffset>-24765</wp:posOffset>
            </wp:positionV>
            <wp:extent cx="762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7062470</wp:posOffset>
            </wp:positionH>
            <wp:positionV relativeFrom="paragraph">
              <wp:posOffset>-7620</wp:posOffset>
            </wp:positionV>
            <wp:extent cx="762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pacing w:after="0" w:line="90" w:lineRule="exact"/>
        <w:rPr>
          <w:sz w:val="20"/>
          <w:szCs w:val="20"/>
          <w:color w:val="auto"/>
        </w:rPr>
      </w:pPr>
    </w:p>
    <w:p>
      <w:pPr>
        <w:ind w:left="380" w:hanging="374"/>
        <w:spacing w:after="0" w:line="218"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49" w:lineRule="exact"/>
        <w:rPr>
          <w:rFonts w:ascii="Arial" w:cs="Arial" w:eastAsia="Arial" w:hAnsi="Arial"/>
          <w:sz w:val="19"/>
          <w:szCs w:val="19"/>
          <w:color w:val="auto"/>
          <w:vertAlign w:val="superscript"/>
        </w:rPr>
      </w:pPr>
    </w:p>
    <w:p>
      <w:pPr>
        <w:ind w:left="380" w:hanging="374"/>
        <w:spacing w:after="0"/>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Excludes interest income included in the segments’ income (2024: $40 million; 2023: $13 million).</w:t>
      </w:r>
    </w:p>
    <w:p>
      <w:pPr>
        <w:spacing w:after="0" w:line="71" w:lineRule="exact"/>
        <w:rPr>
          <w:rFonts w:ascii="Arial" w:cs="Arial" w:eastAsia="Arial" w:hAnsi="Arial"/>
          <w:sz w:val="19"/>
          <w:szCs w:val="19"/>
          <w:color w:val="auto"/>
          <w:vertAlign w:val="superscript"/>
        </w:rPr>
      </w:pPr>
    </w:p>
    <w:p>
      <w:pPr>
        <w:ind w:left="380" w:hanging="374"/>
        <w:spacing w:after="0" w:line="214"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Excludes interest expense included in the segments’ income (2024: $14 million; 2023: $14 million).</w:t>
      </w:r>
    </w:p>
    <w:p>
      <w:pPr>
        <w:spacing w:after="0" w:line="71" w:lineRule="exact"/>
        <w:rPr>
          <w:rFonts w:ascii="Arial" w:cs="Arial" w:eastAsia="Arial" w:hAnsi="Arial"/>
          <w:sz w:val="19"/>
          <w:szCs w:val="19"/>
          <w:color w:val="auto"/>
          <w:vertAlign w:val="superscript"/>
        </w:rPr>
      </w:pPr>
    </w:p>
    <w:p>
      <w:pPr>
        <w:ind w:left="380" w:hanging="374"/>
        <w:spacing w:after="0" w:line="214"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 xml:space="preserve">Charges and credits are described in detail in Note 3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155" w:lineRule="exact"/>
        <w:rPr>
          <w:sz w:val="20"/>
          <w:szCs w:val="20"/>
          <w:color w:val="auto"/>
        </w:rPr>
      </w:pPr>
    </w:p>
    <w:p>
      <w:pPr>
        <w:spacing w:after="0" w:line="277" w:lineRule="auto"/>
        <w:rPr>
          <w:sz w:val="20"/>
          <w:szCs w:val="20"/>
          <w:color w:val="auto"/>
        </w:rPr>
      </w:pPr>
      <w:r>
        <w:rPr>
          <w:rFonts w:ascii="Arial" w:cs="Arial" w:eastAsia="Arial" w:hAnsi="Arial"/>
          <w:sz w:val="16"/>
          <w:szCs w:val="16"/>
          <w:color w:val="231F20"/>
        </w:rPr>
        <w:t xml:space="preserve">Full-year 2024 revenue of $36.3 billion increased 10% year on year. Approximately 46% of the year-on-year revenue increase came from the acquisition of the Aker Solutions subsea business ("Aker") in the fourth quarter of 2023 (see Note 6 to the </w:t>
      </w:r>
      <w:r>
        <w:rPr>
          <w:rFonts w:ascii="Arial" w:cs="Arial" w:eastAsia="Arial" w:hAnsi="Arial"/>
          <w:sz w:val="16"/>
          <w:szCs w:val="16"/>
          <w:i w:val="1"/>
          <w:iCs w:val="1"/>
          <w:color w:val="231F20"/>
        </w:rPr>
        <w:t>Consolidated Financial Statements</w:t>
      </w:r>
      <w:r>
        <w:rPr>
          <w:rFonts w:ascii="Arial" w:cs="Arial" w:eastAsia="Arial" w:hAnsi="Arial"/>
          <w:sz w:val="16"/>
          <w:szCs w:val="16"/>
          <w:color w:val="231F20"/>
        </w:rPr>
        <w:t>).</w:t>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6"/>
          <w:szCs w:val="16"/>
          <w:color w:val="231F20"/>
        </w:rPr>
        <w:t>International revenue grew by 12% year on year. Excluding the contribution of the acquired Aker subsea business, international revenue increased 7% primarily driven by higher activity in the Middle East &amp; Asia. North America revenue decreased 1% due to lower drilling in US land.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 &amp; Integration</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231F20"/>
        </w:rPr>
        <w:t>Digital &amp; Integration revenue of $4.2 billion increased 10% year on year due to growth in digital revenue as APS revenue was essentially flat.</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6"/>
          <w:szCs w:val="16"/>
          <w:color w:val="231F20"/>
        </w:rPr>
        <w:t>Digital &amp; Integration pretax operating margin of 33% increased 67 bps year on year primarily due to the growth in digital revenue partially offset by effects of higher APS amortization expense and lower gas prices.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Reservoir Performance</w:t>
      </w:r>
    </w:p>
    <w:p>
      <w:pPr>
        <w:spacing w:after="0" w:line="109" w:lineRule="exact"/>
        <w:rPr>
          <w:sz w:val="20"/>
          <w:szCs w:val="20"/>
          <w:color w:val="auto"/>
        </w:rPr>
      </w:pPr>
    </w:p>
    <w:p>
      <w:pPr>
        <w:spacing w:after="0" w:line="277" w:lineRule="auto"/>
        <w:rPr>
          <w:sz w:val="20"/>
          <w:szCs w:val="20"/>
          <w:color w:val="auto"/>
        </w:rPr>
      </w:pPr>
      <w:r>
        <w:rPr>
          <w:rFonts w:ascii="Arial" w:cs="Arial" w:eastAsia="Arial" w:hAnsi="Arial"/>
          <w:sz w:val="16"/>
          <w:szCs w:val="16"/>
          <w:color w:val="231F20"/>
        </w:rPr>
        <w:t>Reservoir Performance revenue of $7.2 billion increased 9% year on year due to increased stimulation and intervention activity, with approximately 75% of the revenue growth coming from the Middle East &amp; Asia.</w:t>
      </w:r>
    </w:p>
    <w:p>
      <w:pPr>
        <w:spacing w:after="0" w:line="134"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231F20"/>
        </w:rPr>
        <w:t>Reservoir Performance pretax operating margin of 20% expanded 99 bps year on year due to improved profitability in the international markets driven by higher activity and improved pricing from increased technology intensity.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Well Construction</w:t>
      </w:r>
    </w:p>
    <w:p>
      <w:pPr>
        <w:spacing w:after="0" w:line="109"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231F20"/>
        </w:rPr>
        <w:t>Well Construction revenue of $13.4 billion decreased 1% year on year. North America revenue declined 13% due to lower drilling activity in US land largely offset by a 2% increase in international revenue, primarily in the Middle East &amp; Asia.</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231F20"/>
        </w:rPr>
        <w:t>Well Construction pretax operating margin of 21% decreased 59 bps year on year driven by the reduced activity in North America.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Production Systems</w:t>
      </w:r>
    </w:p>
    <w:p>
      <w:pPr>
        <w:spacing w:after="0" w:line="109" w:lineRule="exact"/>
        <w:rPr>
          <w:sz w:val="20"/>
          <w:szCs w:val="20"/>
          <w:color w:val="auto"/>
        </w:rPr>
      </w:pPr>
    </w:p>
    <w:p>
      <w:pPr>
        <w:spacing w:after="0" w:line="277" w:lineRule="auto"/>
        <w:rPr>
          <w:sz w:val="20"/>
          <w:szCs w:val="20"/>
          <w:color w:val="auto"/>
        </w:rPr>
      </w:pPr>
      <w:r>
        <w:rPr>
          <w:rFonts w:ascii="Arial" w:cs="Arial" w:eastAsia="Arial" w:hAnsi="Arial"/>
          <w:sz w:val="16"/>
          <w:szCs w:val="16"/>
          <w:color w:val="231F20"/>
        </w:rPr>
        <w:t>Production Systems revenue of $12.1 billion increased 24% year on year mainly due to the acquisition of the Aker subsea business. Excluding the effects of the Aker subsea acquisition, revenue grew by 9% year on year driven by strong international sales across the portfolio.</w:t>
      </w:r>
    </w:p>
    <w:p>
      <w:pPr>
        <w:spacing w:after="0" w:line="134"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231F20"/>
        </w:rPr>
        <w:t>Production Systems pretax operating margin of 16% expanded 297 bps year on year driven by a favorable activity mix, execution efficiency, and conversion of improved-price backlog.</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Interest &amp; Other Income, Net</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&amp; other income, net </w:t>
      </w:r>
      <w:r>
        <w:rPr>
          <w:rFonts w:ascii="Arial" w:cs="Arial" w:eastAsia="Arial" w:hAnsi="Arial"/>
          <w:sz w:val="16"/>
          <w:szCs w:val="16"/>
          <w:color w:val="auto"/>
        </w:rPr>
        <w:t>consisted of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55"/>
        </w:trPr>
        <w:tc>
          <w:tcPr>
            <w:tcW w:w="4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rPr>
              <w:t>2023</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0"/>
        </w:trPr>
        <w:tc>
          <w:tcPr>
            <w:tcW w:w="7660" w:type="dxa"/>
            <w:vAlign w:val="bottom"/>
            <w:gridSpan w:val="3"/>
            <w:shd w:val="clear" w:color="auto" w:fill="CFF0FC"/>
          </w:tcPr>
          <w:p>
            <w:pPr>
              <w:ind w:left="20"/>
              <w:spacing w:after="0" w:line="180" w:lineRule="exact"/>
              <w:rPr>
                <w:sz w:val="20"/>
                <w:szCs w:val="20"/>
                <w:color w:val="auto"/>
              </w:rPr>
            </w:pPr>
            <w:r>
              <w:rPr>
                <w:rFonts w:ascii="Arial" w:cs="Arial" w:eastAsia="Arial" w:hAnsi="Arial"/>
                <w:sz w:val="16"/>
                <w:szCs w:val="16"/>
                <w:color w:val="auto"/>
              </w:rPr>
              <w:t>Earnings of equity method investments</w:t>
            </w:r>
          </w:p>
        </w:tc>
        <w:tc>
          <w:tcPr>
            <w:tcW w:w="1100" w:type="dxa"/>
            <w:vAlign w:val="bottom"/>
            <w:shd w:val="clear" w:color="auto" w:fill="CFF0FC"/>
          </w:tcPr>
          <w:p>
            <w:pPr>
              <w:jc w:val="right"/>
              <w:ind w:right="920"/>
              <w:spacing w:after="0" w:line="180" w:lineRule="exact"/>
              <w:rPr>
                <w:sz w:val="20"/>
                <w:szCs w:val="20"/>
                <w:color w:val="auto"/>
              </w:rPr>
            </w:pPr>
            <w:r>
              <w:rPr>
                <w:rFonts w:ascii="Arial" w:cs="Arial" w:eastAsia="Arial" w:hAnsi="Arial"/>
                <w:sz w:val="16"/>
                <w:szCs w:val="16"/>
                <w:b w:val="1"/>
                <w:bCs w:val="1"/>
                <w:color w:val="auto"/>
                <w:w w:val="89"/>
              </w:rPr>
              <w:t>$</w:t>
            </w:r>
          </w:p>
        </w:tc>
        <w:tc>
          <w:tcPr>
            <w:tcW w:w="50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b w:val="1"/>
                <w:bCs w:val="1"/>
                <w:color w:val="auto"/>
              </w:rPr>
              <w:t>182</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206</w:t>
            </w:r>
          </w:p>
        </w:tc>
        <w:tc>
          <w:tcPr>
            <w:tcW w:w="100" w:type="dxa"/>
            <w:vAlign w:val="bottom"/>
            <w:shd w:val="clear" w:color="auto" w:fill="CFF0FC"/>
          </w:tcPr>
          <w:p>
            <w:pPr>
              <w:spacing w:after="0"/>
              <w:rPr>
                <w:sz w:val="15"/>
                <w:szCs w:val="15"/>
                <w:color w:val="auto"/>
              </w:rPr>
            </w:pPr>
          </w:p>
        </w:tc>
      </w:tr>
      <w:tr>
        <w:trPr>
          <w:trHeight w:val="186"/>
        </w:trPr>
        <w:tc>
          <w:tcPr>
            <w:tcW w:w="7660" w:type="dxa"/>
            <w:vAlign w:val="bottom"/>
            <w:gridSpan w:val="3"/>
          </w:tcPr>
          <w:p>
            <w:pPr>
              <w:ind w:left="20"/>
              <w:spacing w:after="0"/>
              <w:rPr>
                <w:sz w:val="20"/>
                <w:szCs w:val="20"/>
                <w:color w:val="auto"/>
              </w:rPr>
            </w:pPr>
            <w:r>
              <w:rPr>
                <w:rFonts w:ascii="Arial" w:cs="Arial" w:eastAsia="Arial" w:hAnsi="Arial"/>
                <w:sz w:val="16"/>
                <w:szCs w:val="16"/>
                <w:color w:val="auto"/>
              </w:rPr>
              <w:t>Interest income</w:t>
            </w:r>
          </w:p>
        </w:tc>
        <w:tc>
          <w:tcPr>
            <w:tcW w:w="1100" w:type="dxa"/>
            <w:vAlign w:val="bottom"/>
          </w:tcPr>
          <w:p>
            <w:pPr>
              <w:spacing w:after="0"/>
              <w:rPr>
                <w:sz w:val="16"/>
                <w:szCs w:val="16"/>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174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6"/>
                <w:szCs w:val="16"/>
                <w:color w:val="auto"/>
              </w:rPr>
            </w:pPr>
          </w:p>
        </w:tc>
      </w:tr>
      <w:tr>
        <w:trPr>
          <w:trHeight w:val="186"/>
        </w:trPr>
        <w:tc>
          <w:tcPr>
            <w:tcW w:w="7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Gain on sale of investment</w:t>
            </w:r>
          </w:p>
        </w:tc>
        <w:tc>
          <w:tcPr>
            <w:tcW w:w="110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24</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r>
      <w:tr>
        <w:trPr>
          <w:trHeight w:val="186"/>
        </w:trPr>
        <w:tc>
          <w:tcPr>
            <w:tcW w:w="7660" w:type="dxa"/>
            <w:vAlign w:val="bottom"/>
            <w:gridSpan w:val="3"/>
          </w:tcPr>
          <w:p>
            <w:pPr>
              <w:ind w:left="20"/>
              <w:spacing w:after="0"/>
              <w:rPr>
                <w:sz w:val="20"/>
                <w:szCs w:val="20"/>
                <w:color w:val="auto"/>
              </w:rPr>
            </w:pPr>
            <w:r>
              <w:rPr>
                <w:rFonts w:ascii="Arial" w:cs="Arial" w:eastAsia="Arial" w:hAnsi="Arial"/>
                <w:sz w:val="16"/>
                <w:szCs w:val="16"/>
                <w:color w:val="auto"/>
              </w:rPr>
              <w:t>Gain on sale of Liberty shares</w:t>
            </w:r>
          </w:p>
        </w:tc>
        <w:tc>
          <w:tcPr>
            <w:tcW w:w="1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6"/>
                <w:szCs w:val="16"/>
                <w:color w:val="auto"/>
              </w:rPr>
            </w:pPr>
          </w:p>
        </w:tc>
      </w:tr>
      <w:tr>
        <w:trPr>
          <w:trHeight w:val="220"/>
        </w:trPr>
        <w:tc>
          <w:tcPr>
            <w:tcW w:w="440" w:type="dxa"/>
            <w:vAlign w:val="bottom"/>
            <w:tcBorders>
              <w:bottom w:val="single" w:sz="8" w:color="CFF0FC"/>
            </w:tcBorders>
            <w:shd w:val="clear" w:color="auto" w:fill="CFF0FC"/>
          </w:tcPr>
          <w:p>
            <w:pPr>
              <w:spacing w:after="0"/>
              <w:rPr>
                <w:sz w:val="19"/>
                <w:szCs w:val="19"/>
                <w:color w:val="auto"/>
              </w:rPr>
            </w:pPr>
          </w:p>
        </w:tc>
        <w:tc>
          <w:tcPr>
            <w:tcW w:w="7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20"/>
              <w:spacing w:after="0" w:line="180" w:lineRule="exact"/>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b w:val="1"/>
                <w:bCs w:val="1"/>
                <w:color w:val="auto"/>
              </w:rPr>
              <w:t>380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342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469"/>
        </w:trPr>
        <w:tc>
          <w:tcPr>
            <w:tcW w:w="8760" w:type="dxa"/>
            <w:vAlign w:val="bottom"/>
            <w:gridSpan w:val="4"/>
          </w:tcPr>
          <w:p>
            <w:pPr>
              <w:spacing w:after="0"/>
              <w:rPr>
                <w:sz w:val="20"/>
                <w:szCs w:val="20"/>
                <w:color w:val="auto"/>
              </w:rPr>
            </w:pPr>
            <w:r>
              <w:rPr>
                <w:rFonts w:ascii="Arial" w:cs="Arial" w:eastAsia="Arial" w:hAnsi="Arial"/>
                <w:sz w:val="16"/>
                <w:szCs w:val="16"/>
                <w:color w:val="auto"/>
              </w:rPr>
              <w:t>Interest income increased $74 million primarily due to higher average cash and short-term investment balances.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3"/>
        </w:trPr>
        <w:tc>
          <w:tcPr>
            <w:tcW w:w="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8"/>
              </w:rPr>
              <w:t>Other</w:t>
            </w:r>
          </w:p>
        </w:tc>
        <w:tc>
          <w:tcPr>
            <w:tcW w:w="7220" w:type="dxa"/>
            <w:vAlign w:val="bottom"/>
            <w:gridSpan w:val="2"/>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8760" w:type="dxa"/>
            <w:vAlign w:val="bottom"/>
            <w:gridSpan w:val="4"/>
          </w:tcPr>
          <w:p>
            <w:pPr>
              <w:spacing w:after="0"/>
              <w:rPr>
                <w:sz w:val="20"/>
                <w:szCs w:val="20"/>
                <w:color w:val="auto"/>
              </w:rPr>
            </w:pPr>
            <w:r>
              <w:rPr>
                <w:rFonts w:ascii="Arial" w:cs="Arial" w:eastAsia="Arial" w:hAnsi="Arial"/>
                <w:sz w:val="16"/>
                <w:szCs w:val="16"/>
                <w:i w:val="1"/>
                <w:iCs w:val="1"/>
                <w:color w:val="auto"/>
              </w:rPr>
              <w:t xml:space="preserve">Research &amp; engineering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&amp; administrative </w:t>
            </w:r>
            <w:r>
              <w:rPr>
                <w:rFonts w:ascii="Arial" w:cs="Arial" w:eastAsia="Arial" w:hAnsi="Arial"/>
                <w:sz w:val="16"/>
                <w:szCs w:val="16"/>
                <w:color w:val="auto"/>
              </w:rPr>
              <w:t>expenses, as a percentage of</w:t>
            </w:r>
            <w:r>
              <w:rPr>
                <w:rFonts w:ascii="Arial" w:cs="Arial" w:eastAsia="Arial" w:hAnsi="Arial"/>
                <w:sz w:val="16"/>
                <w:szCs w:val="16"/>
                <w:i w:val="1"/>
                <w:iCs w:val="1"/>
                <w:color w:val="auto"/>
              </w:rPr>
              <w:t xml:space="preserve"> Revenue</w:t>
            </w:r>
            <w:r>
              <w:rPr>
                <w:rFonts w:ascii="Arial" w:cs="Arial" w:eastAsia="Arial" w:hAnsi="Arial"/>
                <w:sz w:val="16"/>
                <w:szCs w:val="16"/>
                <w:color w:val="auto"/>
              </w:rPr>
              <w:t>, were as follows: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3"/>
        </w:trPr>
        <w:tc>
          <w:tcPr>
            <w:tcW w:w="4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color w:val="auto"/>
              </w:rPr>
              <w:t>2023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0"/>
        </w:trPr>
        <w:tc>
          <w:tcPr>
            <w:tcW w:w="7660" w:type="dxa"/>
            <w:vAlign w:val="bottom"/>
            <w:gridSpan w:val="3"/>
            <w:shd w:val="clear" w:color="auto" w:fill="CFF0FC"/>
          </w:tcPr>
          <w:p>
            <w:pPr>
              <w:ind w:left="20"/>
              <w:spacing w:after="0" w:line="180" w:lineRule="exact"/>
              <w:rPr>
                <w:sz w:val="20"/>
                <w:szCs w:val="20"/>
                <w:color w:val="auto"/>
              </w:rPr>
            </w:pPr>
            <w:r>
              <w:rPr>
                <w:rFonts w:ascii="Arial" w:cs="Arial" w:eastAsia="Arial" w:hAnsi="Arial"/>
                <w:sz w:val="16"/>
                <w:szCs w:val="16"/>
                <w:i w:val="1"/>
                <w:iCs w:val="1"/>
                <w:color w:val="auto"/>
              </w:rPr>
              <w:t>Research &amp; engineering</w:t>
            </w:r>
          </w:p>
        </w:tc>
        <w:tc>
          <w:tcPr>
            <w:tcW w:w="1100" w:type="dxa"/>
            <w:vAlign w:val="bottom"/>
            <w:shd w:val="clear" w:color="auto" w:fill="CFF0FC"/>
          </w:tcPr>
          <w:p>
            <w:pPr>
              <w:spacing w:after="0"/>
              <w:rPr>
                <w:sz w:val="15"/>
                <w:szCs w:val="15"/>
                <w:color w:val="auto"/>
              </w:rPr>
            </w:pPr>
          </w:p>
        </w:tc>
        <w:tc>
          <w:tcPr>
            <w:tcW w:w="680" w:type="dxa"/>
            <w:vAlign w:val="bottom"/>
            <w:gridSpan w:val="3"/>
            <w:shd w:val="clear" w:color="auto" w:fill="CFF0FC"/>
          </w:tcPr>
          <w:p>
            <w:pPr>
              <w:jc w:val="right"/>
              <w:ind w:right="140"/>
              <w:spacing w:after="0" w:line="180" w:lineRule="exact"/>
              <w:rPr>
                <w:sz w:val="20"/>
                <w:szCs w:val="20"/>
                <w:color w:val="auto"/>
              </w:rPr>
            </w:pPr>
            <w:r>
              <w:rPr>
                <w:rFonts w:ascii="Arial" w:cs="Arial" w:eastAsia="Arial" w:hAnsi="Arial"/>
                <w:sz w:val="16"/>
                <w:szCs w:val="16"/>
                <w:b w:val="1"/>
                <w:bCs w:val="1"/>
                <w:color w:val="auto"/>
              </w:rPr>
              <w:t>2.1 %</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40" w:type="dxa"/>
            <w:vAlign w:val="bottom"/>
            <w:gridSpan w:val="3"/>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2.1 %</w:t>
            </w:r>
          </w:p>
        </w:tc>
      </w:tr>
      <w:tr>
        <w:trPr>
          <w:trHeight w:val="219"/>
        </w:trPr>
        <w:tc>
          <w:tcPr>
            <w:tcW w:w="7660" w:type="dxa"/>
            <w:vAlign w:val="bottom"/>
            <w:gridSpan w:val="3"/>
          </w:tcPr>
          <w:p>
            <w:pPr>
              <w:ind w:left="20"/>
              <w:spacing w:after="0"/>
              <w:rPr>
                <w:sz w:val="20"/>
                <w:szCs w:val="20"/>
                <w:color w:val="auto"/>
              </w:rPr>
            </w:pPr>
            <w:r>
              <w:rPr>
                <w:rFonts w:ascii="Arial" w:cs="Arial" w:eastAsia="Arial" w:hAnsi="Arial"/>
                <w:sz w:val="16"/>
                <w:szCs w:val="16"/>
                <w:i w:val="1"/>
                <w:iCs w:val="1"/>
                <w:color w:val="auto"/>
              </w:rPr>
              <w:t>General &amp; administrative</w:t>
            </w:r>
          </w:p>
        </w:tc>
        <w:tc>
          <w:tcPr>
            <w:tcW w:w="1100" w:type="dxa"/>
            <w:vAlign w:val="bottom"/>
          </w:tcPr>
          <w:p>
            <w:pPr>
              <w:spacing w:after="0"/>
              <w:rPr>
                <w:sz w:val="19"/>
                <w:szCs w:val="19"/>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1.1 %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-1270635</wp:posOffset>
            </wp:positionV>
            <wp:extent cx="673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-1254125</wp:posOffset>
            </wp:positionV>
            <wp:extent cx="673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-1270635</wp:posOffset>
            </wp:positionV>
            <wp:extent cx="673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-1254125</wp:posOffset>
            </wp:positionV>
            <wp:extent cx="673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Charges and Credits</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SLB recorded charges and credits during 2024 and 2023. These charges and credits, which are summarized below, are more fully described in Note 3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2024 charges and credits: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2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81"/>
        </w:trPr>
        <w:tc>
          <w:tcPr>
            <w:tcW w:w="5760" w:type="dxa"/>
            <w:vAlign w:val="bottom"/>
          </w:tcPr>
          <w:p>
            <w:pPr>
              <w:spacing w:after="0"/>
              <w:rPr>
                <w:sz w:val="24"/>
                <w:szCs w:val="24"/>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6"/>
                <w:szCs w:val="16"/>
                <w:color w:val="auto"/>
              </w:rPr>
              <w:t>Pretax Charge</w:t>
            </w:r>
          </w:p>
        </w:tc>
        <w:tc>
          <w:tcPr>
            <w:tcW w:w="120" w:type="dxa"/>
            <w:vAlign w:val="bottom"/>
          </w:tcPr>
          <w:p>
            <w:pPr>
              <w:spacing w:after="0"/>
              <w:rPr>
                <w:sz w:val="24"/>
                <w:szCs w:val="24"/>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w w:val="98"/>
              </w:rPr>
              <w:t>Tax Benefit</w:t>
            </w:r>
          </w:p>
        </w:tc>
        <w:tc>
          <w:tcPr>
            <w:tcW w:w="24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0"/>
        </w:trPr>
        <w:tc>
          <w:tcPr>
            <w:tcW w:w="5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(Credit)</w:t>
            </w:r>
          </w:p>
        </w:tc>
        <w:tc>
          <w:tcPr>
            <w:tcW w:w="120" w:type="dxa"/>
            <w:vAlign w:val="bottom"/>
          </w:tcPr>
          <w:p>
            <w:pPr>
              <w:spacing w:after="0"/>
              <w:rPr>
                <w:sz w:val="17"/>
                <w:szCs w:val="17"/>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(Expense)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40"/>
              <w:spacing w:after="0"/>
              <w:rPr>
                <w:sz w:val="20"/>
                <w:szCs w:val="20"/>
                <w:color w:val="auto"/>
              </w:rPr>
            </w:pPr>
            <w:r>
              <w:rPr>
                <w:rFonts w:ascii="Arial" w:cs="Arial" w:eastAsia="Arial" w:hAnsi="Arial"/>
                <w:sz w:val="16"/>
                <w:szCs w:val="16"/>
                <w:color w:val="auto"/>
              </w:rPr>
              <w:t>Interest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6"/>
                <w:szCs w:val="16"/>
                <w:color w:val="auto"/>
              </w:rPr>
              <w:t>Net</w:t>
            </w:r>
          </w:p>
        </w:tc>
      </w:tr>
      <w:tr>
        <w:trPr>
          <w:trHeight w:val="180"/>
        </w:trPr>
        <w:tc>
          <w:tcPr>
            <w:tcW w:w="57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i w:val="1"/>
                <w:iCs w:val="1"/>
                <w:color w:val="auto"/>
              </w:rPr>
              <w:t>First quarter:</w:t>
            </w:r>
          </w:p>
        </w:tc>
        <w:tc>
          <w:tcPr>
            <w:tcW w:w="20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6"/>
        </w:trPr>
        <w:tc>
          <w:tcPr>
            <w:tcW w:w="5760" w:type="dxa"/>
            <w:vAlign w:val="bottom"/>
          </w:tcPr>
          <w:p>
            <w:pPr>
              <w:ind w:left="200"/>
              <w:spacing w:after="0"/>
              <w:rPr>
                <w:sz w:val="20"/>
                <w:szCs w:val="20"/>
                <w:color w:val="auto"/>
              </w:rPr>
            </w:pPr>
            <w:r>
              <w:rPr>
                <w:rFonts w:ascii="Arial" w:cs="Arial" w:eastAsia="Arial" w:hAnsi="Arial"/>
                <w:sz w:val="16"/>
                <w:szCs w:val="16"/>
                <w:color w:val="auto"/>
              </w:rPr>
              <w:t>Merger &amp; integration</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6"/>
                <w:szCs w:val="16"/>
                <w:color w:val="auto"/>
              </w:rPr>
            </w:pPr>
          </w:p>
        </w:tc>
      </w:tr>
      <w:tr>
        <w:trPr>
          <w:trHeight w:val="18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Second quarter:</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6"/>
        </w:trPr>
        <w:tc>
          <w:tcPr>
            <w:tcW w:w="5760" w:type="dxa"/>
            <w:vAlign w:val="bottom"/>
          </w:tcPr>
          <w:p>
            <w:pPr>
              <w:ind w:left="200"/>
              <w:spacing w:after="0"/>
              <w:rPr>
                <w:sz w:val="20"/>
                <w:szCs w:val="20"/>
                <w:color w:val="auto"/>
              </w:rPr>
            </w:pPr>
            <w:r>
              <w:rPr>
                <w:rFonts w:ascii="Arial" w:cs="Arial" w:eastAsia="Arial" w:hAnsi="Arial"/>
                <w:sz w:val="16"/>
                <w:szCs w:val="16"/>
                <w:color w:val="auto"/>
              </w:rPr>
              <w:t>Workforce reductions</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6"/>
                <w:szCs w:val="16"/>
                <w:color w:val="auto"/>
              </w:rPr>
            </w:pPr>
          </w:p>
        </w:tc>
      </w:tr>
      <w:tr>
        <w:trPr>
          <w:trHeight w:val="186"/>
        </w:trPr>
        <w:tc>
          <w:tcPr>
            <w:tcW w:w="5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Merger &amp; integration</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FF0FC"/>
          </w:tcPr>
          <w:p>
            <w:pPr>
              <w:spacing w:after="0"/>
              <w:rPr>
                <w:sz w:val="16"/>
                <w:szCs w:val="16"/>
                <w:color w:val="auto"/>
              </w:rPr>
            </w:pPr>
          </w:p>
        </w:tc>
      </w:tr>
      <w:tr>
        <w:trPr>
          <w:trHeight w:val="186"/>
        </w:trPr>
        <w:tc>
          <w:tcPr>
            <w:tcW w:w="5760" w:type="dxa"/>
            <w:vAlign w:val="bottom"/>
          </w:tcPr>
          <w:p>
            <w:pPr>
              <w:ind w:left="20"/>
              <w:spacing w:after="0"/>
              <w:rPr>
                <w:sz w:val="20"/>
                <w:szCs w:val="20"/>
                <w:color w:val="auto"/>
              </w:rPr>
            </w:pPr>
            <w:r>
              <w:rPr>
                <w:rFonts w:ascii="Arial" w:cs="Arial" w:eastAsia="Arial" w:hAnsi="Arial"/>
                <w:sz w:val="16"/>
                <w:szCs w:val="16"/>
                <w:i w:val="1"/>
                <w:iCs w:val="1"/>
                <w:color w:val="auto"/>
              </w:rPr>
              <w:t>Third quarter</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186"/>
        </w:trPr>
        <w:tc>
          <w:tcPr>
            <w:tcW w:w="5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Workforce reductions</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FF0FC"/>
          </w:tcPr>
          <w:p>
            <w:pPr>
              <w:spacing w:after="0"/>
              <w:rPr>
                <w:sz w:val="16"/>
                <w:szCs w:val="16"/>
                <w:color w:val="auto"/>
              </w:rPr>
            </w:pPr>
          </w:p>
        </w:tc>
      </w:tr>
      <w:tr>
        <w:trPr>
          <w:trHeight w:val="186"/>
        </w:trPr>
        <w:tc>
          <w:tcPr>
            <w:tcW w:w="5760" w:type="dxa"/>
            <w:vAlign w:val="bottom"/>
          </w:tcPr>
          <w:p>
            <w:pPr>
              <w:ind w:left="200"/>
              <w:spacing w:after="0"/>
              <w:rPr>
                <w:sz w:val="20"/>
                <w:szCs w:val="20"/>
                <w:color w:val="auto"/>
              </w:rPr>
            </w:pPr>
            <w:r>
              <w:rPr>
                <w:rFonts w:ascii="Arial" w:cs="Arial" w:eastAsia="Arial" w:hAnsi="Arial"/>
                <w:sz w:val="16"/>
                <w:szCs w:val="16"/>
                <w:color w:val="auto"/>
              </w:rPr>
              <w:t>Merger &amp; integration</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6"/>
                <w:szCs w:val="16"/>
                <w:color w:val="auto"/>
              </w:rPr>
            </w:pPr>
          </w:p>
        </w:tc>
      </w:tr>
      <w:tr>
        <w:trPr>
          <w:trHeight w:val="18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Fourth quarter</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r>
      <w:tr>
        <w:trPr>
          <w:trHeight w:val="186"/>
        </w:trPr>
        <w:tc>
          <w:tcPr>
            <w:tcW w:w="5760" w:type="dxa"/>
            <w:vAlign w:val="bottom"/>
          </w:tcPr>
          <w:p>
            <w:pPr>
              <w:ind w:left="200"/>
              <w:spacing w:after="0"/>
              <w:rPr>
                <w:sz w:val="20"/>
                <w:szCs w:val="20"/>
                <w:color w:val="auto"/>
              </w:rPr>
            </w:pPr>
            <w:r>
              <w:rPr>
                <w:rFonts w:ascii="Arial" w:cs="Arial" w:eastAsia="Arial" w:hAnsi="Arial"/>
                <w:sz w:val="16"/>
                <w:szCs w:val="16"/>
                <w:color w:val="auto"/>
              </w:rPr>
              <w:t>Asset impairments</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6"/>
                <w:szCs w:val="16"/>
                <w:color w:val="auto"/>
              </w:rPr>
            </w:pPr>
          </w:p>
        </w:tc>
      </w:tr>
      <w:tr>
        <w:trPr>
          <w:trHeight w:val="186"/>
        </w:trPr>
        <w:tc>
          <w:tcPr>
            <w:tcW w:w="5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Merger &amp; integration</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FF0FC"/>
          </w:tcPr>
          <w:p>
            <w:pPr>
              <w:spacing w:after="0"/>
              <w:rPr>
                <w:sz w:val="16"/>
                <w:szCs w:val="16"/>
                <w:color w:val="auto"/>
              </w:rPr>
            </w:pPr>
          </w:p>
        </w:tc>
      </w:tr>
      <w:tr>
        <w:trPr>
          <w:trHeight w:val="186"/>
        </w:trPr>
        <w:tc>
          <w:tcPr>
            <w:tcW w:w="5760" w:type="dxa"/>
            <w:vAlign w:val="bottom"/>
          </w:tcPr>
          <w:p>
            <w:pPr>
              <w:ind w:left="200"/>
              <w:spacing w:after="0"/>
              <w:rPr>
                <w:sz w:val="20"/>
                <w:szCs w:val="20"/>
                <w:color w:val="auto"/>
              </w:rPr>
            </w:pPr>
            <w:r>
              <w:rPr>
                <w:rFonts w:ascii="Arial" w:cs="Arial" w:eastAsia="Arial" w:hAnsi="Arial"/>
                <w:sz w:val="16"/>
                <w:szCs w:val="16"/>
                <w:color w:val="auto"/>
              </w:rPr>
              <w:t>Workforce reductions</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6"/>
                <w:szCs w:val="16"/>
                <w:color w:val="auto"/>
              </w:rPr>
            </w:pPr>
          </w:p>
        </w:tc>
      </w:tr>
      <w:tr>
        <w:trPr>
          <w:trHeight w:val="186"/>
        </w:trPr>
        <w:tc>
          <w:tcPr>
            <w:tcW w:w="5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sale of investment</w:t>
            </w: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(24 )</w:t>
            </w: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(24 )</w:t>
            </w:r>
          </w:p>
        </w:tc>
      </w:tr>
      <w:tr>
        <w:trPr>
          <w:trHeight w:val="180"/>
        </w:trPr>
        <w:tc>
          <w:tcPr>
            <w:tcW w:w="576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20"/>
              <w:spacing w:after="0" w:line="180"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541</w:t>
            </w: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87</w:t>
            </w:r>
          </w:p>
        </w:tc>
        <w:tc>
          <w:tcPr>
            <w:tcW w:w="24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20"/>
              <w:spacing w:after="0" w:line="180"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27</w:t>
            </w: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80"/>
              <w:spacing w:after="0" w:line="180"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427</w:t>
            </w:r>
          </w:p>
        </w:tc>
        <w:tc>
          <w:tcPr>
            <w:tcW w:w="120" w:type="dxa"/>
            <w:vAlign w:val="bottom"/>
            <w:tcBorders>
              <w:top w:val="single" w:sz="8" w:color="CFF0FC"/>
            </w:tcBorders>
          </w:tcPr>
          <w:p>
            <w:pPr>
              <w:spacing w:after="0"/>
              <w:rPr>
                <w:sz w:val="15"/>
                <w:szCs w:val="15"/>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4391025</wp:posOffset>
            </wp:positionH>
            <wp:positionV relativeFrom="paragraph">
              <wp:posOffset>-151765</wp:posOffset>
            </wp:positionV>
            <wp:extent cx="673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5278755</wp:posOffset>
            </wp:positionH>
            <wp:positionV relativeFrom="paragraph">
              <wp:posOffset>-151765</wp:posOffset>
            </wp:positionV>
            <wp:extent cx="673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6166485</wp:posOffset>
            </wp:positionH>
            <wp:positionV relativeFrom="paragraph">
              <wp:posOffset>-151765</wp:posOffset>
            </wp:positionV>
            <wp:extent cx="673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7062470</wp:posOffset>
            </wp:positionH>
            <wp:positionV relativeFrom="paragraph">
              <wp:posOffset>-151765</wp:posOffset>
            </wp:positionV>
            <wp:extent cx="762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2023 charges and credits: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2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81"/>
        </w:trPr>
        <w:tc>
          <w:tcPr>
            <w:tcW w:w="2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6"/>
                <w:szCs w:val="16"/>
                <w:color w:val="auto"/>
              </w:rPr>
              <w:t>Pretax Charge</w:t>
            </w:r>
          </w:p>
        </w:tc>
        <w:tc>
          <w:tcPr>
            <w:tcW w:w="120" w:type="dxa"/>
            <w:vAlign w:val="bottom"/>
          </w:tcPr>
          <w:p>
            <w:pPr>
              <w:spacing w:after="0"/>
              <w:rPr>
                <w:sz w:val="24"/>
                <w:szCs w:val="24"/>
                <w:color w:val="auto"/>
              </w:rPr>
            </w:pPr>
          </w:p>
        </w:tc>
        <w:tc>
          <w:tcPr>
            <w:tcW w:w="1280" w:type="dxa"/>
            <w:vAlign w:val="bottom"/>
            <w:gridSpan w:val="3"/>
          </w:tcPr>
          <w:p>
            <w:pPr>
              <w:jc w:val="center"/>
              <w:ind w:right="440"/>
              <w:spacing w:after="0"/>
              <w:rPr>
                <w:sz w:val="20"/>
                <w:szCs w:val="20"/>
                <w:color w:val="auto"/>
              </w:rPr>
            </w:pPr>
            <w:r>
              <w:rPr>
                <w:rFonts w:ascii="Arial" w:cs="Arial" w:eastAsia="Arial" w:hAnsi="Arial"/>
                <w:sz w:val="16"/>
                <w:szCs w:val="16"/>
                <w:color w:val="auto"/>
                <w:w w:val="98"/>
              </w:rPr>
              <w:t>Tax Benefit</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4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(Credit)</w:t>
            </w:r>
          </w:p>
        </w:tc>
        <w:tc>
          <w:tcPr>
            <w:tcW w:w="120" w:type="dxa"/>
            <w:vAlign w:val="bottom"/>
          </w:tcPr>
          <w:p>
            <w:pPr>
              <w:spacing w:after="0"/>
              <w:rPr>
                <w:sz w:val="17"/>
                <w:szCs w:val="17"/>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6"/>
                <w:szCs w:val="16"/>
                <w:color w:val="auto"/>
              </w:rPr>
              <w:t>(Expense)</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Interests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180"/>
        </w:trPr>
        <w:tc>
          <w:tcPr>
            <w:tcW w:w="5760" w:type="dxa"/>
            <w:vAlign w:val="bottom"/>
            <w:gridSpan w:val="2"/>
            <w:shd w:val="clear" w:color="auto" w:fill="CFF0FC"/>
          </w:tcPr>
          <w:p>
            <w:pPr>
              <w:ind w:left="20"/>
              <w:spacing w:after="0" w:line="180" w:lineRule="exact"/>
              <w:rPr>
                <w:sz w:val="20"/>
                <w:szCs w:val="20"/>
                <w:color w:val="auto"/>
              </w:rPr>
            </w:pPr>
            <w:r>
              <w:rPr>
                <w:rFonts w:ascii="Arial" w:cs="Arial" w:eastAsia="Arial" w:hAnsi="Arial"/>
                <w:sz w:val="16"/>
                <w:szCs w:val="16"/>
                <w:i w:val="1"/>
                <w:iCs w:val="1"/>
                <w:color w:val="auto"/>
              </w:rPr>
              <w:t>First quarter:</w:t>
            </w:r>
          </w:p>
        </w:tc>
        <w:tc>
          <w:tcPr>
            <w:tcW w:w="20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760" w:type="dxa"/>
            <w:vAlign w:val="bottom"/>
            <w:gridSpan w:val="2"/>
          </w:tcPr>
          <w:p>
            <w:pPr>
              <w:ind w:left="200"/>
              <w:spacing w:after="0"/>
              <w:rPr>
                <w:sz w:val="20"/>
                <w:szCs w:val="20"/>
                <w:color w:val="auto"/>
              </w:rPr>
            </w:pPr>
            <w:r>
              <w:rPr>
                <w:rFonts w:ascii="Arial" w:cs="Arial" w:eastAsia="Arial" w:hAnsi="Arial"/>
                <w:sz w:val="16"/>
                <w:szCs w:val="16"/>
                <w:color w:val="auto"/>
              </w:rPr>
              <w:t>Gain on sale of Liberty shares</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(36 )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3"/>
          </w:tcPr>
          <w:p>
            <w:pPr>
              <w:jc w:val="right"/>
              <w:ind w:right="180"/>
              <w:spacing w:after="0"/>
              <w:rPr>
                <w:sz w:val="20"/>
                <w:szCs w:val="20"/>
                <w:color w:val="auto"/>
              </w:rPr>
            </w:pPr>
            <w:r>
              <w:rPr>
                <w:rFonts w:ascii="Arial" w:cs="Arial" w:eastAsia="Arial" w:hAnsi="Arial"/>
                <w:sz w:val="16"/>
                <w:szCs w:val="16"/>
                <w:color w:val="auto"/>
              </w:rPr>
              <w:t>(8 )</w:t>
            </w:r>
          </w:p>
        </w:tc>
        <w:tc>
          <w:tcPr>
            <w:tcW w:w="700" w:type="dxa"/>
            <w:vAlign w:val="bottom"/>
          </w:tcPr>
          <w:p>
            <w:pPr>
              <w:jc w:val="right"/>
              <w:ind w:right="520"/>
              <w:spacing w:after="0"/>
              <w:rPr>
                <w:sz w:val="20"/>
                <w:szCs w:val="20"/>
                <w:color w:val="auto"/>
              </w:rPr>
            </w:pPr>
            <w:r>
              <w:rPr>
                <w:rFonts w:ascii="Arial" w:cs="Arial" w:eastAsia="Arial" w:hAnsi="Arial"/>
                <w:sz w:val="16"/>
                <w:szCs w:val="16"/>
                <w:color w:val="auto"/>
                <w:w w:val="89"/>
              </w:rPr>
              <w:t>$</w:t>
            </w:r>
          </w:p>
        </w:tc>
        <w:tc>
          <w:tcPr>
            <w:tcW w:w="3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186"/>
        </w:trPr>
        <w:tc>
          <w:tcPr>
            <w:tcW w:w="5760" w:type="dxa"/>
            <w:vAlign w:val="bottom"/>
            <w:gridSpan w:val="2"/>
            <w:shd w:val="clear" w:color="auto" w:fill="CFF0FC"/>
          </w:tcPr>
          <w:p>
            <w:pPr>
              <w:ind w:left="20"/>
              <w:spacing w:after="0"/>
              <w:rPr>
                <w:sz w:val="20"/>
                <w:szCs w:val="20"/>
                <w:color w:val="auto"/>
              </w:rPr>
            </w:pPr>
            <w:r>
              <w:rPr>
                <w:rFonts w:ascii="Arial" w:cs="Arial" w:eastAsia="Arial" w:hAnsi="Arial"/>
                <w:sz w:val="16"/>
                <w:szCs w:val="16"/>
                <w:i w:val="1"/>
                <w:iCs w:val="1"/>
                <w:color w:val="auto"/>
              </w:rPr>
              <w:t>Fourth quarter:</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gridSpan w:val="2"/>
          </w:tcPr>
          <w:p>
            <w:pPr>
              <w:ind w:left="200"/>
              <w:spacing w:after="0"/>
              <w:rPr>
                <w:sz w:val="20"/>
                <w:szCs w:val="20"/>
                <w:color w:val="auto"/>
              </w:rPr>
            </w:pPr>
            <w:r>
              <w:rPr>
                <w:rFonts w:ascii="Arial" w:cs="Arial" w:eastAsia="Arial" w:hAnsi="Arial"/>
                <w:sz w:val="16"/>
                <w:szCs w:val="16"/>
                <w:color w:val="auto"/>
              </w:rPr>
              <w:t>Merger and integration</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Currency devaluation loss in Argentina</w:t>
            </w:r>
          </w:p>
        </w:tc>
        <w:tc>
          <w:tcPr>
            <w:tcW w:w="20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4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0" w:type="dxa"/>
            <w:vAlign w:val="bottom"/>
            <w:tcBorders>
              <w:bottom w:val="single" w:sz="8" w:color="auto"/>
            </w:tcBorders>
          </w:tcPr>
          <w:p>
            <w:pPr>
              <w:jc w:val="right"/>
              <w:ind w:right="20"/>
              <w:spacing w:after="0" w:line="180"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110</w:t>
            </w:r>
          </w:p>
        </w:tc>
        <w:tc>
          <w:tcPr>
            <w:tcW w:w="2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700" w:type="dxa"/>
            <w:vAlign w:val="bottom"/>
            <w:tcBorders>
              <w:bottom w:val="single" w:sz="8" w:color="auto"/>
            </w:tcBorders>
          </w:tcPr>
          <w:p>
            <w:pPr>
              <w:jc w:val="right"/>
              <w:ind w:right="520"/>
              <w:spacing w:after="0" w:line="180" w:lineRule="exact"/>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8</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line="180"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102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rPr>
                <w:sz w:val="20"/>
                <w:szCs w:val="20"/>
                <w:color w:val="auto"/>
              </w:rPr>
            </w:pPr>
            <w:r>
              <w:rPr>
                <w:rFonts w:ascii="Arial" w:cs="Arial" w:eastAsia="Arial" w:hAnsi="Arial"/>
                <w:sz w:val="16"/>
                <w:szCs w:val="16"/>
                <w:b w:val="1"/>
                <w:bCs w:val="1"/>
                <w:color w:val="auto"/>
                <w:w w:val="99"/>
              </w:rPr>
              <w:t>Liquidity and Capital Resources</w:t>
            </w:r>
          </w:p>
        </w:tc>
        <w:tc>
          <w:tcPr>
            <w:tcW w:w="3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440" w:type="dxa"/>
            <w:vAlign w:val="bottom"/>
            <w:tcBorders>
              <w:bottom w:val="single" w:sz="8" w:color="auto"/>
            </w:tcBorders>
            <w:vMerge w:val="continue"/>
          </w:tcPr>
          <w:p>
            <w:pPr>
              <w:spacing w:after="0"/>
              <w:rPr>
                <w:sz w:val="24"/>
                <w:szCs w:val="24"/>
                <w:color w:val="auto"/>
              </w:rPr>
            </w:pPr>
          </w:p>
        </w:tc>
        <w:tc>
          <w:tcPr>
            <w:tcW w:w="3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760" w:type="dxa"/>
            <w:vAlign w:val="bottom"/>
            <w:gridSpan w:val="2"/>
          </w:tcPr>
          <w:p>
            <w:pPr>
              <w:spacing w:after="0"/>
              <w:rPr>
                <w:sz w:val="20"/>
                <w:szCs w:val="20"/>
                <w:color w:val="auto"/>
              </w:rPr>
            </w:pPr>
            <w:r>
              <w:rPr>
                <w:rFonts w:ascii="Arial" w:cs="Arial" w:eastAsia="Arial" w:hAnsi="Arial"/>
                <w:sz w:val="16"/>
                <w:szCs w:val="16"/>
                <w:color w:val="auto"/>
              </w:rPr>
              <w:t>Details of the components of liquidity as well as changes in liquidity follow:</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4"/>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5"/>
        </w:trPr>
        <w:tc>
          <w:tcPr>
            <w:tcW w:w="2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gridSpan w:val="4"/>
          </w:tcPr>
          <w:p>
            <w:pPr>
              <w:jc w:val="right"/>
              <w:ind w:right="800"/>
              <w:spacing w:after="0"/>
              <w:rPr>
                <w:sz w:val="20"/>
                <w:szCs w:val="20"/>
                <w:color w:val="auto"/>
              </w:rPr>
            </w:pPr>
            <w:r>
              <w:rPr>
                <w:rFonts w:ascii="Arial" w:cs="Arial" w:eastAsia="Arial" w:hAnsi="Arial"/>
                <w:sz w:val="16"/>
                <w:szCs w:val="16"/>
                <w:b w:val="1"/>
                <w:bCs w:val="1"/>
                <w:color w:val="auto"/>
              </w:rPr>
              <w:t>Dec. 31,</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6"/>
                <w:szCs w:val="16"/>
                <w:color w:val="auto"/>
              </w:rPr>
              <w:t>Dec. 31,</w:t>
            </w:r>
          </w:p>
        </w:tc>
        <w:tc>
          <w:tcPr>
            <w:tcW w:w="0" w:type="dxa"/>
            <w:vAlign w:val="bottom"/>
          </w:tcPr>
          <w:p>
            <w:pPr>
              <w:spacing w:after="0"/>
              <w:rPr>
                <w:sz w:val="1"/>
                <w:szCs w:val="1"/>
                <w:color w:val="auto"/>
              </w:rPr>
            </w:pPr>
          </w:p>
        </w:tc>
      </w:tr>
      <w:tr>
        <w:trPr>
          <w:trHeight w:val="200"/>
        </w:trPr>
        <w:tc>
          <w:tcPr>
            <w:tcW w:w="5760" w:type="dxa"/>
            <w:vAlign w:val="bottom"/>
            <w:gridSpan w:val="2"/>
          </w:tcPr>
          <w:p>
            <w:pPr>
              <w:ind w:left="20"/>
              <w:spacing w:after="0"/>
              <w:rPr>
                <w:sz w:val="20"/>
                <w:szCs w:val="20"/>
                <w:color w:val="auto"/>
              </w:rPr>
            </w:pPr>
            <w:r>
              <w:rPr>
                <w:rFonts w:ascii="Arial" w:cs="Arial" w:eastAsia="Arial" w:hAnsi="Arial"/>
                <w:sz w:val="16"/>
                <w:szCs w:val="16"/>
                <w:b w:val="1"/>
                <w:bCs w:val="1"/>
                <w:color w:val="auto"/>
              </w:rPr>
              <w:t>Components of Liquidity:</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760" w:type="dxa"/>
            <w:vAlign w:val="bottom"/>
            <w:gridSpan w:val="2"/>
            <w:shd w:val="clear" w:color="auto" w:fill="CFF0FC"/>
          </w:tcPr>
          <w:p>
            <w:pPr>
              <w:ind w:left="20"/>
              <w:spacing w:after="0" w:line="180" w:lineRule="exact"/>
              <w:rPr>
                <w:sz w:val="20"/>
                <w:szCs w:val="20"/>
                <w:color w:val="auto"/>
              </w:rPr>
            </w:pPr>
            <w:r>
              <w:rPr>
                <w:rFonts w:ascii="Arial" w:cs="Arial" w:eastAsia="Arial" w:hAnsi="Arial"/>
                <w:sz w:val="16"/>
                <w:szCs w:val="16"/>
                <w:color w:val="auto"/>
              </w:rPr>
              <w:t>Cash</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center"/>
              <w:ind w:right="80"/>
              <w:spacing w:after="0" w:line="180" w:lineRule="exact"/>
              <w:rPr>
                <w:sz w:val="20"/>
                <w:szCs w:val="20"/>
                <w:color w:val="auto"/>
              </w:rPr>
            </w:pPr>
            <w:r>
              <w:rPr>
                <w:rFonts w:ascii="Arial" w:cs="Arial" w:eastAsia="Arial" w:hAnsi="Arial"/>
                <w:sz w:val="16"/>
                <w:szCs w:val="16"/>
                <w:b w:val="1"/>
                <w:bCs w:val="1"/>
                <w:color w:val="auto"/>
                <w:w w:val="89"/>
              </w:rPr>
              <w:t>$</w:t>
            </w: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3,544</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tcBorders>
              <w:right w:val="single" w:sz="8" w:color="CFF0FC"/>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2,900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1,125</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Short-term borrowings and current portion of long-term debt</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(1,051 )</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(1,123 )</w:t>
            </w:r>
          </w:p>
        </w:tc>
        <w:tc>
          <w:tcPr>
            <w:tcW w:w="0" w:type="dxa"/>
            <w:vAlign w:val="bottom"/>
          </w:tcPr>
          <w:p>
            <w:pPr>
              <w:spacing w:after="0"/>
              <w:rPr>
                <w:sz w:val="1"/>
                <w:szCs w:val="1"/>
                <w:color w:val="auto"/>
              </w:rPr>
            </w:pPr>
          </w:p>
        </w:tc>
      </w:tr>
      <w:tr>
        <w:trPr>
          <w:trHeight w:val="186"/>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(11,023 )</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(10,842 )</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760" w:type="dxa"/>
            <w:vAlign w:val="bottom"/>
            <w:gridSpan w:val="2"/>
            <w:shd w:val="clear" w:color="auto" w:fill="CFF0FC"/>
          </w:tcPr>
          <w:p>
            <w:pPr>
              <w:ind w:left="20"/>
              <w:spacing w:after="0" w:line="166" w:lineRule="exact"/>
              <w:rPr>
                <w:sz w:val="20"/>
                <w:szCs w:val="20"/>
                <w:color w:val="auto"/>
              </w:rPr>
            </w:pPr>
            <w:r>
              <w:rPr>
                <w:rFonts w:ascii="Arial" w:cs="Arial" w:eastAsia="Arial" w:hAnsi="Arial"/>
                <w:sz w:val="15"/>
                <w:szCs w:val="15"/>
                <w:color w:val="auto"/>
              </w:rPr>
              <w:t xml:space="preserve">Net debt </w:t>
            </w:r>
            <w:r>
              <w:rPr>
                <w:rFonts w:ascii="Arial" w:cs="Arial" w:eastAsia="Arial" w:hAnsi="Arial"/>
                <w:sz w:val="19"/>
                <w:szCs w:val="19"/>
                <w:color w:val="auto"/>
                <w:vertAlign w:val="superscript"/>
              </w:rPr>
              <w:t>(1)</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jc w:val="center"/>
              <w:ind w:right="460"/>
              <w:spacing w:after="0" w:line="167" w:lineRule="exact"/>
              <w:rPr>
                <w:sz w:val="20"/>
                <w:szCs w:val="20"/>
                <w:color w:val="auto"/>
              </w:rPr>
            </w:pPr>
            <w:r>
              <w:rPr>
                <w:rFonts w:ascii="Arial" w:cs="Arial" w:eastAsia="Arial" w:hAnsi="Arial"/>
                <w:sz w:val="16"/>
                <w:szCs w:val="16"/>
                <w:b w:val="1"/>
                <w:bCs w:val="1"/>
                <w:color w:val="auto"/>
                <w:w w:val="89"/>
              </w:rPr>
              <w:t>$</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line="167" w:lineRule="exact"/>
              <w:rPr>
                <w:sz w:val="20"/>
                <w:szCs w:val="20"/>
                <w:color w:val="auto"/>
              </w:rPr>
            </w:pPr>
            <w:r>
              <w:rPr>
                <w:rFonts w:ascii="Arial" w:cs="Arial" w:eastAsia="Arial" w:hAnsi="Arial"/>
                <w:sz w:val="16"/>
                <w:szCs w:val="16"/>
                <w:b w:val="1"/>
                <w:bCs w:val="1"/>
                <w:color w:val="auto"/>
              </w:rPr>
              <w:t>(7,405 )</w:t>
            </w:r>
          </w:p>
        </w:tc>
        <w:tc>
          <w:tcPr>
            <w:tcW w:w="160" w:type="dxa"/>
            <w:vAlign w:val="bottom"/>
            <w:shd w:val="clear" w:color="auto" w:fill="CFF0FC"/>
          </w:tcPr>
          <w:p>
            <w:pPr>
              <w:jc w:val="right"/>
              <w:spacing w:after="0" w:line="167" w:lineRule="exact"/>
              <w:rPr>
                <w:sz w:val="20"/>
                <w:szCs w:val="20"/>
                <w:color w:val="auto"/>
              </w:rPr>
            </w:pPr>
            <w:r>
              <w:rPr>
                <w:rFonts w:ascii="Arial" w:cs="Arial" w:eastAsia="Arial" w:hAnsi="Arial"/>
                <w:sz w:val="16"/>
                <w:szCs w:val="16"/>
                <w:color w:val="auto"/>
                <w:w w:val="89"/>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line="167" w:lineRule="exact"/>
              <w:rPr>
                <w:sz w:val="20"/>
                <w:szCs w:val="20"/>
                <w:color w:val="auto"/>
              </w:rPr>
            </w:pPr>
            <w:r>
              <w:rPr>
                <w:rFonts w:ascii="Arial" w:cs="Arial" w:eastAsia="Arial" w:hAnsi="Arial"/>
                <w:sz w:val="16"/>
                <w:szCs w:val="16"/>
                <w:color w:val="auto"/>
              </w:rPr>
              <w:t>(7,976 )</w:t>
            </w:r>
          </w:p>
        </w:tc>
        <w:tc>
          <w:tcPr>
            <w:tcW w:w="0" w:type="dxa"/>
            <w:vAlign w:val="bottom"/>
          </w:tcPr>
          <w:p>
            <w:pPr>
              <w:spacing w:after="0"/>
              <w:rPr>
                <w:sz w:val="1"/>
                <w:szCs w:val="1"/>
                <w:color w:val="auto"/>
              </w:rPr>
            </w:pPr>
          </w:p>
        </w:tc>
      </w:tr>
      <w:tr>
        <w:trPr>
          <w:trHeight w:val="353"/>
        </w:trPr>
        <w:tc>
          <w:tcPr>
            <w:tcW w:w="5760" w:type="dxa"/>
            <w:vAlign w:val="bottom"/>
            <w:tcBorders>
              <w:top w:val="single" w:sz="8" w:color="CFF0FC"/>
            </w:tcBorders>
            <w:gridSpan w:val="2"/>
          </w:tcPr>
          <w:p>
            <w:pPr>
              <w:ind w:left="20"/>
              <w:spacing w:after="0"/>
              <w:rPr>
                <w:sz w:val="20"/>
                <w:szCs w:val="20"/>
                <w:color w:val="auto"/>
              </w:rPr>
            </w:pPr>
            <w:r>
              <w:rPr>
                <w:rFonts w:ascii="Arial" w:cs="Arial" w:eastAsia="Arial" w:hAnsi="Arial"/>
                <w:sz w:val="16"/>
                <w:szCs w:val="16"/>
                <w:b w:val="1"/>
                <w:bCs w:val="1"/>
                <w:color w:val="auto"/>
              </w:rPr>
              <w:t>Changes in Liquidity:</w:t>
            </w:r>
          </w:p>
        </w:tc>
        <w:tc>
          <w:tcPr>
            <w:tcW w:w="20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1600" w:type="dxa"/>
            <w:vAlign w:val="bottom"/>
            <w:tcBorders>
              <w:top w:val="single" w:sz="8" w:color="auto"/>
              <w:bottom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top w:val="single" w:sz="8" w:color="CFF0FC"/>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760" w:type="dxa"/>
            <w:vAlign w:val="bottom"/>
            <w:gridSpan w:val="2"/>
            <w:shd w:val="clear" w:color="auto" w:fill="CFF0FC"/>
          </w:tcPr>
          <w:p>
            <w:pPr>
              <w:ind w:left="20"/>
              <w:spacing w:after="0" w:line="180" w:lineRule="exact"/>
              <w:rPr>
                <w:sz w:val="20"/>
                <w:szCs w:val="20"/>
                <w:color w:val="auto"/>
              </w:rPr>
            </w:pPr>
            <w:r>
              <w:rPr>
                <w:rFonts w:ascii="Arial" w:cs="Arial" w:eastAsia="Arial" w:hAnsi="Arial"/>
                <w:sz w:val="16"/>
                <w:szCs w:val="16"/>
                <w:color w:val="auto"/>
              </w:rPr>
              <w:t>Net income</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center"/>
              <w:ind w:right="80"/>
              <w:spacing w:after="0" w:line="180" w:lineRule="exact"/>
              <w:rPr>
                <w:sz w:val="20"/>
                <w:szCs w:val="20"/>
                <w:color w:val="auto"/>
              </w:rPr>
            </w:pPr>
            <w:r>
              <w:rPr>
                <w:rFonts w:ascii="Arial" w:cs="Arial" w:eastAsia="Arial" w:hAnsi="Arial"/>
                <w:sz w:val="16"/>
                <w:szCs w:val="16"/>
                <w:b w:val="1"/>
                <w:bCs w:val="1"/>
                <w:color w:val="auto"/>
                <w:w w:val="89"/>
              </w:rPr>
              <w:t>$</w:t>
            </w: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4,579</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tcBorders>
              <w:right w:val="single" w:sz="8" w:color="CFF0FC"/>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4,275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Charges and credits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541</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gridSpan w:val="2"/>
            <w:shd w:val="clear" w:color="auto" w:fill="CFF0FC"/>
          </w:tcPr>
          <w:p>
            <w:pPr>
              <w:ind w:left="20"/>
              <w:spacing w:after="0" w:line="187"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(2)</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2,519</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2,312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expense</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316</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293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Earnings of equity method investments, less dividends received</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(18 )</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(132 )</w:t>
            </w:r>
          </w:p>
        </w:tc>
        <w:tc>
          <w:tcPr>
            <w:tcW w:w="0" w:type="dxa"/>
            <w:vAlign w:val="bottom"/>
          </w:tcPr>
          <w:p>
            <w:pPr>
              <w:spacing w:after="0"/>
              <w:rPr>
                <w:sz w:val="1"/>
                <w:szCs w:val="1"/>
                <w:color w:val="auto"/>
              </w:rPr>
            </w:pPr>
          </w:p>
        </w:tc>
      </w:tr>
      <w:tr>
        <w:trPr>
          <w:trHeight w:val="186"/>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Increase in working capital</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(1,379 )</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(215 )</w:t>
            </w:r>
          </w:p>
        </w:tc>
        <w:tc>
          <w:tcPr>
            <w:tcW w:w="0" w:type="dxa"/>
            <w:vAlign w:val="bottom"/>
          </w:tcPr>
          <w:p>
            <w:pPr>
              <w:spacing w:after="0"/>
              <w:rPr>
                <w:sz w:val="1"/>
                <w:szCs w:val="1"/>
                <w:color w:val="auto"/>
              </w:rPr>
            </w:pPr>
          </w:p>
        </w:tc>
      </w:tr>
      <w:tr>
        <w:trPr>
          <w:trHeight w:val="186"/>
        </w:trPr>
        <w:tc>
          <w:tcPr>
            <w:tcW w:w="5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US federal tax refund</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44</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(91 )</w:t>
            </w:r>
          </w:p>
        </w:tc>
        <w:tc>
          <w:tcPr>
            <w:tcW w:w="0" w:type="dxa"/>
            <w:vAlign w:val="bottom"/>
          </w:tcPr>
          <w:p>
            <w:pPr>
              <w:spacing w:after="0"/>
              <w:rPr>
                <w:sz w:val="1"/>
                <w:szCs w:val="1"/>
                <w:color w:val="auto"/>
              </w:rPr>
            </w:pPr>
          </w:p>
        </w:tc>
      </w:tr>
      <w:tr>
        <w:trPr>
          <w:trHeight w:val="180"/>
        </w:trPr>
        <w:tc>
          <w:tcPr>
            <w:tcW w:w="5760" w:type="dxa"/>
            <w:vAlign w:val="bottom"/>
            <w:tcBorders>
              <w:bottom w:val="single" w:sz="8" w:color="CFF0FC"/>
            </w:tcBorders>
            <w:gridSpan w:val="2"/>
            <w:shd w:val="clear" w:color="auto" w:fill="CFF0FC"/>
          </w:tcPr>
          <w:p>
            <w:pPr>
              <w:ind w:left="20"/>
              <w:spacing w:after="0" w:line="180" w:lineRule="exact"/>
              <w:rPr>
                <w:sz w:val="20"/>
                <w:szCs w:val="20"/>
                <w:color w:val="auto"/>
              </w:rPr>
            </w:pPr>
            <w:r>
              <w:rPr>
                <w:rFonts w:ascii="Arial" w:cs="Arial" w:eastAsia="Arial" w:hAnsi="Arial"/>
                <w:sz w:val="16"/>
                <w:szCs w:val="16"/>
                <w:b w:val="1"/>
                <w:bCs w:val="1"/>
                <w:color w:val="auto"/>
              </w:rPr>
              <w:t>Cash flow from operations</w:t>
            </w:r>
          </w:p>
        </w:tc>
        <w:tc>
          <w:tcPr>
            <w:tcW w:w="20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70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6,602</w:t>
            </w:r>
          </w:p>
        </w:tc>
        <w:tc>
          <w:tcPr>
            <w:tcW w:w="3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right w:val="single" w:sz="8" w:color="CFF0FC"/>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6,637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60" w:type="dxa"/>
            <w:vAlign w:val="bottom"/>
            <w:gridSpan w:val="2"/>
          </w:tcPr>
          <w:p>
            <w:pPr>
              <w:ind w:left="20"/>
              <w:spacing w:after="0" w:line="180" w:lineRule="exact"/>
              <w:rPr>
                <w:sz w:val="20"/>
                <w:szCs w:val="20"/>
                <w:color w:val="auto"/>
              </w:rPr>
            </w:pPr>
            <w:r>
              <w:rPr>
                <w:rFonts w:ascii="Arial" w:cs="Arial" w:eastAsia="Arial" w:hAnsi="Arial"/>
                <w:sz w:val="16"/>
                <w:szCs w:val="16"/>
                <w:color w:val="auto"/>
              </w:rPr>
              <w:t>Capital expenditures</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240"/>
              <w:spacing w:after="0" w:line="180" w:lineRule="exact"/>
              <w:rPr>
                <w:sz w:val="20"/>
                <w:szCs w:val="20"/>
                <w:color w:val="auto"/>
              </w:rPr>
            </w:pPr>
            <w:r>
              <w:rPr>
                <w:rFonts w:ascii="Arial" w:cs="Arial" w:eastAsia="Arial" w:hAnsi="Arial"/>
                <w:sz w:val="16"/>
                <w:szCs w:val="16"/>
                <w:b w:val="1"/>
                <w:bCs w:val="1"/>
                <w:color w:val="auto"/>
              </w:rPr>
              <w:t>(1,931 )</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40"/>
              <w:spacing w:after="0" w:line="180" w:lineRule="exact"/>
              <w:rPr>
                <w:sz w:val="20"/>
                <w:szCs w:val="20"/>
                <w:color w:val="auto"/>
              </w:rPr>
            </w:pPr>
            <w:r>
              <w:rPr>
                <w:rFonts w:ascii="Arial" w:cs="Arial" w:eastAsia="Arial" w:hAnsi="Arial"/>
                <w:sz w:val="16"/>
                <w:szCs w:val="16"/>
                <w:b w:val="1"/>
                <w:bCs w:val="1"/>
                <w:color w:val="auto"/>
              </w:rPr>
              <w:t>(1,939 )</w:t>
            </w:r>
          </w:p>
        </w:tc>
        <w:tc>
          <w:tcPr>
            <w:tcW w:w="0" w:type="dxa"/>
            <w:vAlign w:val="bottom"/>
          </w:tcPr>
          <w:p>
            <w:pPr>
              <w:spacing w:after="0"/>
              <w:rPr>
                <w:sz w:val="1"/>
                <w:szCs w:val="1"/>
                <w:color w:val="auto"/>
              </w:rPr>
            </w:pPr>
          </w:p>
        </w:tc>
      </w:tr>
      <w:tr>
        <w:trPr>
          <w:trHeight w:val="186"/>
        </w:trPr>
        <w:tc>
          <w:tcPr>
            <w:tcW w:w="5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APS investments</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(483 )</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(507 )</w:t>
            </w:r>
          </w:p>
        </w:tc>
        <w:tc>
          <w:tcPr>
            <w:tcW w:w="0" w:type="dxa"/>
            <w:vAlign w:val="bottom"/>
          </w:tcPr>
          <w:p>
            <w:pPr>
              <w:spacing w:after="0"/>
              <w:rPr>
                <w:sz w:val="1"/>
                <w:szCs w:val="1"/>
                <w:color w:val="auto"/>
              </w:rPr>
            </w:pPr>
          </w:p>
        </w:tc>
      </w:tr>
      <w:tr>
        <w:trPr>
          <w:trHeight w:val="186"/>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Exploration data capitalized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(198 )</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(153 )</w:t>
            </w:r>
          </w:p>
        </w:tc>
        <w:tc>
          <w:tcPr>
            <w:tcW w:w="0" w:type="dxa"/>
            <w:vAlign w:val="bottom"/>
          </w:tcPr>
          <w:p>
            <w:pPr>
              <w:spacing w:after="0"/>
              <w:rPr>
                <w:sz w:val="1"/>
                <w:szCs w:val="1"/>
                <w:color w:val="auto"/>
              </w:rPr>
            </w:pPr>
          </w:p>
        </w:tc>
      </w:tr>
      <w:tr>
        <w:trPr>
          <w:trHeight w:val="180"/>
        </w:trPr>
        <w:tc>
          <w:tcPr>
            <w:tcW w:w="5760" w:type="dxa"/>
            <w:vAlign w:val="bottom"/>
            <w:tcBorders>
              <w:bottom w:val="single" w:sz="8" w:color="CFF0FC"/>
            </w:tcBorders>
            <w:gridSpan w:val="2"/>
            <w:shd w:val="clear" w:color="auto" w:fill="CFF0FC"/>
          </w:tcPr>
          <w:p>
            <w:pPr>
              <w:ind w:left="20"/>
              <w:spacing w:after="0" w:line="180" w:lineRule="exact"/>
              <w:rPr>
                <w:sz w:val="20"/>
                <w:szCs w:val="20"/>
                <w:color w:val="auto"/>
              </w:rPr>
            </w:pPr>
            <w:r>
              <w:rPr>
                <w:rFonts w:ascii="Arial" w:cs="Arial" w:eastAsia="Arial" w:hAnsi="Arial"/>
                <w:sz w:val="15"/>
                <w:szCs w:val="15"/>
                <w:b w:val="1"/>
                <w:bCs w:val="1"/>
                <w:color w:val="auto"/>
              </w:rPr>
              <w:t xml:space="preserve">Free cash flow </w:t>
            </w:r>
            <w:r>
              <w:rPr>
                <w:rFonts w:ascii="Arial" w:cs="Arial" w:eastAsia="Arial" w:hAnsi="Arial"/>
                <w:sz w:val="20"/>
                <w:szCs w:val="20"/>
                <w:b w:val="1"/>
                <w:bCs w:val="1"/>
                <w:color w:val="auto"/>
                <w:vertAlign w:val="superscript"/>
              </w:rPr>
              <w:t>(3)</w:t>
            </w:r>
          </w:p>
        </w:tc>
        <w:tc>
          <w:tcPr>
            <w:tcW w:w="20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70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3,990</w:t>
            </w:r>
          </w:p>
        </w:tc>
        <w:tc>
          <w:tcPr>
            <w:tcW w:w="3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right w:val="single" w:sz="8" w:color="CFF0FC"/>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4,038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60" w:type="dxa"/>
            <w:vAlign w:val="bottom"/>
            <w:gridSpan w:val="2"/>
          </w:tcPr>
          <w:p>
            <w:pPr>
              <w:ind w:left="20"/>
              <w:spacing w:after="0" w:line="180" w:lineRule="exact"/>
              <w:rPr>
                <w:sz w:val="20"/>
                <w:szCs w:val="20"/>
                <w:color w:val="auto"/>
              </w:rPr>
            </w:pPr>
            <w:r>
              <w:rPr>
                <w:rFonts w:ascii="Arial" w:cs="Arial" w:eastAsia="Arial" w:hAnsi="Arial"/>
                <w:sz w:val="16"/>
                <w:szCs w:val="16"/>
                <w:color w:val="auto"/>
              </w:rPr>
              <w:t>Dividends paid</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240"/>
              <w:spacing w:after="0" w:line="180" w:lineRule="exact"/>
              <w:rPr>
                <w:sz w:val="20"/>
                <w:szCs w:val="20"/>
                <w:color w:val="auto"/>
              </w:rPr>
            </w:pPr>
            <w:r>
              <w:rPr>
                <w:rFonts w:ascii="Arial" w:cs="Arial" w:eastAsia="Arial" w:hAnsi="Arial"/>
                <w:sz w:val="16"/>
                <w:szCs w:val="16"/>
                <w:b w:val="1"/>
                <w:bCs w:val="1"/>
                <w:color w:val="auto"/>
              </w:rPr>
              <w:t>(1,533 )</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40"/>
              <w:spacing w:after="0" w:line="180" w:lineRule="exact"/>
              <w:rPr>
                <w:sz w:val="20"/>
                <w:szCs w:val="20"/>
                <w:color w:val="auto"/>
              </w:rPr>
            </w:pPr>
            <w:r>
              <w:rPr>
                <w:rFonts w:ascii="Arial" w:cs="Arial" w:eastAsia="Arial" w:hAnsi="Arial"/>
                <w:sz w:val="16"/>
                <w:szCs w:val="16"/>
                <w:b w:val="1"/>
                <w:bCs w:val="1"/>
                <w:color w:val="auto"/>
              </w:rPr>
              <w:t>(1,317 )</w:t>
            </w:r>
          </w:p>
        </w:tc>
        <w:tc>
          <w:tcPr>
            <w:tcW w:w="0" w:type="dxa"/>
            <w:vAlign w:val="bottom"/>
          </w:tcPr>
          <w:p>
            <w:pPr>
              <w:spacing w:after="0"/>
              <w:rPr>
                <w:sz w:val="1"/>
                <w:szCs w:val="1"/>
                <w:color w:val="auto"/>
              </w:rPr>
            </w:pPr>
          </w:p>
        </w:tc>
      </w:tr>
      <w:tr>
        <w:trPr>
          <w:trHeight w:val="186"/>
        </w:trPr>
        <w:tc>
          <w:tcPr>
            <w:tcW w:w="5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Stock repurchase program</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(1,737 )</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(694 )</w:t>
            </w:r>
          </w:p>
        </w:tc>
        <w:tc>
          <w:tcPr>
            <w:tcW w:w="0" w:type="dxa"/>
            <w:vAlign w:val="bottom"/>
          </w:tcPr>
          <w:p>
            <w:pPr>
              <w:spacing w:after="0"/>
              <w:rPr>
                <w:sz w:val="1"/>
                <w:szCs w:val="1"/>
                <w:color w:val="auto"/>
              </w:rPr>
            </w:pPr>
          </w:p>
        </w:tc>
      </w:tr>
      <w:tr>
        <w:trPr>
          <w:trHeight w:val="186"/>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Proceeds from employee stock purchase plan</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219</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Taxes paid on net-settled stock-based compensation awards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(90 )</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(169 )</w:t>
            </w:r>
          </w:p>
        </w:tc>
        <w:tc>
          <w:tcPr>
            <w:tcW w:w="0" w:type="dxa"/>
            <w:vAlign w:val="bottom"/>
          </w:tcPr>
          <w:p>
            <w:pPr>
              <w:spacing w:after="0"/>
              <w:rPr>
                <w:sz w:val="1"/>
                <w:szCs w:val="1"/>
                <w:color w:val="auto"/>
              </w:rPr>
            </w:pPr>
          </w:p>
        </w:tc>
      </w:tr>
      <w:tr>
        <w:trPr>
          <w:trHeight w:val="186"/>
        </w:trPr>
        <w:tc>
          <w:tcPr>
            <w:tcW w:w="5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Business acquisitions and investments, net of cash acquired plus debt assumed</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(553 )</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(330 )</w:t>
            </w:r>
          </w:p>
        </w:tc>
        <w:tc>
          <w:tcPr>
            <w:tcW w:w="0" w:type="dxa"/>
            <w:vAlign w:val="bottom"/>
          </w:tcPr>
          <w:p>
            <w:pPr>
              <w:spacing w:after="0"/>
              <w:rPr>
                <w:sz w:val="1"/>
                <w:szCs w:val="1"/>
                <w:color w:val="auto"/>
              </w:rPr>
            </w:pPr>
          </w:p>
        </w:tc>
      </w:tr>
      <w:tr>
        <w:trPr>
          <w:trHeight w:val="186"/>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Proceeds from sale of Liberty shares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Purchases of Blue Chip Swap securities</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(207 )</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(185 )</w:t>
            </w:r>
          </w:p>
        </w:tc>
        <w:tc>
          <w:tcPr>
            <w:tcW w:w="0" w:type="dxa"/>
            <w:vAlign w:val="bottom"/>
          </w:tcPr>
          <w:p>
            <w:pPr>
              <w:spacing w:after="0"/>
              <w:rPr>
                <w:sz w:val="1"/>
                <w:szCs w:val="1"/>
                <w:color w:val="auto"/>
              </w:rPr>
            </w:pPr>
          </w:p>
        </w:tc>
      </w:tr>
      <w:tr>
        <w:trPr>
          <w:trHeight w:val="186"/>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Proceeds from sales of Blue Chip Swap securities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152</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53</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(195 )</w:t>
            </w:r>
          </w:p>
        </w:tc>
        <w:tc>
          <w:tcPr>
            <w:tcW w:w="0" w:type="dxa"/>
            <w:vAlign w:val="bottom"/>
          </w:tcPr>
          <w:p>
            <w:pPr>
              <w:spacing w:after="0"/>
              <w:rPr>
                <w:sz w:val="1"/>
                <w:szCs w:val="1"/>
                <w:color w:val="auto"/>
              </w:rPr>
            </w:pPr>
          </w:p>
        </w:tc>
      </w:tr>
      <w:tr>
        <w:trPr>
          <w:trHeight w:val="180"/>
        </w:trPr>
        <w:tc>
          <w:tcPr>
            <w:tcW w:w="5760" w:type="dxa"/>
            <w:vAlign w:val="bottom"/>
            <w:tcBorders>
              <w:top w:val="single" w:sz="8" w:color="CFF0FC"/>
            </w:tcBorders>
            <w:gridSpan w:val="2"/>
          </w:tcPr>
          <w:p>
            <w:pPr>
              <w:ind w:left="20"/>
              <w:spacing w:after="0" w:line="180" w:lineRule="exact"/>
              <w:rPr>
                <w:sz w:val="20"/>
                <w:szCs w:val="20"/>
                <w:color w:val="auto"/>
              </w:rPr>
            </w:pPr>
            <w:r>
              <w:rPr>
                <w:rFonts w:ascii="Arial" w:cs="Arial" w:eastAsia="Arial" w:hAnsi="Arial"/>
                <w:sz w:val="16"/>
                <w:szCs w:val="16"/>
                <w:b w:val="1"/>
                <w:bCs w:val="1"/>
                <w:color w:val="auto"/>
              </w:rPr>
              <w:t>Change in net debt before impact of changes in foreign exchange rates</w:t>
            </w:r>
          </w:p>
        </w:tc>
        <w:tc>
          <w:tcPr>
            <w:tcW w:w="200" w:type="dxa"/>
            <w:vAlign w:val="bottom"/>
            <w:tcBorders>
              <w:top w:val="single" w:sz="8" w:color="CFF0FC"/>
            </w:tcBorders>
          </w:tcPr>
          <w:p>
            <w:pPr>
              <w:spacing w:after="0"/>
              <w:rPr>
                <w:sz w:val="15"/>
                <w:szCs w:val="15"/>
                <w:color w:val="auto"/>
              </w:rPr>
            </w:pPr>
          </w:p>
        </w:tc>
        <w:tc>
          <w:tcPr>
            <w:tcW w:w="96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8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323</w:t>
            </w:r>
          </w:p>
        </w:tc>
        <w:tc>
          <w:tcPr>
            <w:tcW w:w="30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1,663</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Impact of changes in foreign exchange rates</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248</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(307 )</w:t>
            </w:r>
          </w:p>
        </w:tc>
        <w:tc>
          <w:tcPr>
            <w:tcW w:w="0" w:type="dxa"/>
            <w:vAlign w:val="bottom"/>
          </w:tcPr>
          <w:p>
            <w:pPr>
              <w:spacing w:after="0"/>
              <w:rPr>
                <w:sz w:val="1"/>
                <w:szCs w:val="1"/>
                <w:color w:val="auto"/>
              </w:rPr>
            </w:pPr>
          </w:p>
        </w:tc>
      </w:tr>
      <w:tr>
        <w:trPr>
          <w:trHeight w:val="180"/>
        </w:trPr>
        <w:tc>
          <w:tcPr>
            <w:tcW w:w="5760" w:type="dxa"/>
            <w:vAlign w:val="bottom"/>
            <w:tcBorders>
              <w:top w:val="single" w:sz="8" w:color="CFF0FC"/>
            </w:tcBorders>
            <w:gridSpan w:val="2"/>
          </w:tcPr>
          <w:p>
            <w:pPr>
              <w:ind w:left="20"/>
              <w:spacing w:after="0" w:line="180" w:lineRule="exact"/>
              <w:rPr>
                <w:sz w:val="20"/>
                <w:szCs w:val="20"/>
                <w:color w:val="auto"/>
              </w:rPr>
            </w:pPr>
            <w:r>
              <w:rPr>
                <w:rFonts w:ascii="Arial" w:cs="Arial" w:eastAsia="Arial" w:hAnsi="Arial"/>
                <w:sz w:val="16"/>
                <w:szCs w:val="16"/>
                <w:b w:val="1"/>
                <w:bCs w:val="1"/>
                <w:color w:val="auto"/>
              </w:rPr>
              <w:t>Decrease in Net Debt</w:t>
            </w:r>
          </w:p>
        </w:tc>
        <w:tc>
          <w:tcPr>
            <w:tcW w:w="200" w:type="dxa"/>
            <w:vAlign w:val="bottom"/>
            <w:tcBorders>
              <w:top w:val="single" w:sz="8" w:color="CFF0FC"/>
            </w:tcBorders>
          </w:tcPr>
          <w:p>
            <w:pPr>
              <w:spacing w:after="0"/>
              <w:rPr>
                <w:sz w:val="15"/>
                <w:szCs w:val="15"/>
                <w:color w:val="auto"/>
              </w:rPr>
            </w:pPr>
          </w:p>
        </w:tc>
        <w:tc>
          <w:tcPr>
            <w:tcW w:w="96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8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571</w:t>
            </w:r>
          </w:p>
        </w:tc>
        <w:tc>
          <w:tcPr>
            <w:tcW w:w="30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1,356</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Net Debt, Beginning of period</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(7,976 )</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(9,332 )</w:t>
            </w:r>
          </w:p>
        </w:tc>
        <w:tc>
          <w:tcPr>
            <w:tcW w:w="0" w:type="dxa"/>
            <w:vAlign w:val="bottom"/>
          </w:tcPr>
          <w:p>
            <w:pPr>
              <w:spacing w:after="0"/>
              <w:rPr>
                <w:sz w:val="1"/>
                <w:szCs w:val="1"/>
                <w:color w:val="auto"/>
              </w:rPr>
            </w:pPr>
          </w:p>
        </w:tc>
      </w:tr>
      <w:tr>
        <w:trPr>
          <w:trHeight w:val="20"/>
        </w:trPr>
        <w:tc>
          <w:tcPr>
            <w:tcW w:w="2440" w:type="dxa"/>
            <w:vAlign w:val="bottom"/>
            <w:shd w:val="clear" w:color="auto" w:fill="CFF0FC"/>
          </w:tcPr>
          <w:p>
            <w:pPr>
              <w:spacing w:after="0" w:line="20" w:lineRule="exact"/>
              <w:rPr>
                <w:sz w:val="1"/>
                <w:szCs w:val="1"/>
                <w:color w:val="auto"/>
              </w:rPr>
            </w:pPr>
          </w:p>
        </w:tc>
        <w:tc>
          <w:tcPr>
            <w:tcW w:w="33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60" w:type="dxa"/>
            <w:vAlign w:val="bottom"/>
            <w:gridSpan w:val="2"/>
          </w:tcPr>
          <w:p>
            <w:pPr>
              <w:ind w:left="20"/>
              <w:spacing w:after="0" w:line="167" w:lineRule="exact"/>
              <w:rPr>
                <w:sz w:val="20"/>
                <w:szCs w:val="20"/>
                <w:color w:val="auto"/>
              </w:rPr>
            </w:pPr>
            <w:r>
              <w:rPr>
                <w:rFonts w:ascii="Arial" w:cs="Arial" w:eastAsia="Arial" w:hAnsi="Arial"/>
                <w:sz w:val="16"/>
                <w:szCs w:val="16"/>
                <w:b w:val="1"/>
                <w:bCs w:val="1"/>
                <w:color w:val="auto"/>
              </w:rPr>
              <w:t>Net Debt, End of period</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jc w:val="center"/>
              <w:ind w:right="460"/>
              <w:spacing w:after="0" w:line="167" w:lineRule="exact"/>
              <w:rPr>
                <w:sz w:val="20"/>
                <w:szCs w:val="20"/>
                <w:color w:val="auto"/>
              </w:rPr>
            </w:pPr>
            <w:r>
              <w:rPr>
                <w:rFonts w:ascii="Arial" w:cs="Arial" w:eastAsia="Arial" w:hAnsi="Arial"/>
                <w:sz w:val="16"/>
                <w:szCs w:val="16"/>
                <w:b w:val="1"/>
                <w:bCs w:val="1"/>
                <w:color w:val="auto"/>
                <w:w w:val="89"/>
              </w:rPr>
              <w:t>$</w:t>
            </w:r>
          </w:p>
        </w:tc>
        <w:tc>
          <w:tcPr>
            <w:tcW w:w="240" w:type="dxa"/>
            <w:vAlign w:val="bottom"/>
          </w:tcPr>
          <w:p>
            <w:pPr>
              <w:spacing w:after="0"/>
              <w:rPr>
                <w:sz w:val="15"/>
                <w:szCs w:val="15"/>
                <w:color w:val="auto"/>
              </w:rPr>
            </w:pPr>
          </w:p>
        </w:tc>
        <w:tc>
          <w:tcPr>
            <w:tcW w:w="1000" w:type="dxa"/>
            <w:vAlign w:val="bottom"/>
            <w:gridSpan w:val="2"/>
          </w:tcPr>
          <w:p>
            <w:pPr>
              <w:jc w:val="right"/>
              <w:ind w:right="240"/>
              <w:spacing w:after="0" w:line="167" w:lineRule="exact"/>
              <w:rPr>
                <w:sz w:val="20"/>
                <w:szCs w:val="20"/>
                <w:color w:val="auto"/>
              </w:rPr>
            </w:pPr>
            <w:r>
              <w:rPr>
                <w:rFonts w:ascii="Arial" w:cs="Arial" w:eastAsia="Arial" w:hAnsi="Arial"/>
                <w:sz w:val="16"/>
                <w:szCs w:val="16"/>
                <w:b w:val="1"/>
                <w:bCs w:val="1"/>
                <w:color w:val="auto"/>
              </w:rPr>
              <w:t>(7,405 )</w:t>
            </w:r>
          </w:p>
        </w:tc>
        <w:tc>
          <w:tcPr>
            <w:tcW w:w="160" w:type="dxa"/>
            <w:vAlign w:val="bottom"/>
          </w:tcPr>
          <w:p>
            <w:pPr>
              <w:jc w:val="right"/>
              <w:spacing w:after="0" w:line="167" w:lineRule="exact"/>
              <w:rPr>
                <w:sz w:val="20"/>
                <w:szCs w:val="20"/>
                <w:color w:val="auto"/>
              </w:rPr>
            </w:pPr>
            <w:r>
              <w:rPr>
                <w:rFonts w:ascii="Arial" w:cs="Arial" w:eastAsia="Arial" w:hAnsi="Arial"/>
                <w:sz w:val="16"/>
                <w:szCs w:val="16"/>
                <w:b w:val="1"/>
                <w:bCs w:val="1"/>
                <w:color w:val="auto"/>
                <w:w w:val="89"/>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40"/>
              <w:spacing w:after="0" w:line="167" w:lineRule="exact"/>
              <w:rPr>
                <w:sz w:val="20"/>
                <w:szCs w:val="20"/>
                <w:color w:val="auto"/>
              </w:rPr>
            </w:pPr>
            <w:r>
              <w:rPr>
                <w:rFonts w:ascii="Arial" w:cs="Arial" w:eastAsia="Arial" w:hAnsi="Arial"/>
                <w:sz w:val="16"/>
                <w:szCs w:val="16"/>
                <w:b w:val="1"/>
                <w:bCs w:val="1"/>
                <w:color w:val="auto"/>
              </w:rPr>
              <w:t>(7,976 )</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-3667760</wp:posOffset>
            </wp:positionV>
            <wp:extent cx="673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-3651250</wp:posOffset>
            </wp:positionV>
            <wp:extent cx="673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-3667760</wp:posOffset>
            </wp:positionV>
            <wp:extent cx="673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-3651250</wp:posOffset>
            </wp:positionV>
            <wp:extent cx="673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-2324100</wp:posOffset>
            </wp:positionV>
            <wp:extent cx="673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-2324100</wp:posOffset>
            </wp:positionV>
            <wp:extent cx="673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-1833880</wp:posOffset>
            </wp:positionV>
            <wp:extent cx="673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-1833880</wp:posOffset>
            </wp:positionV>
            <wp:extent cx="673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-641985</wp:posOffset>
            </wp:positionV>
            <wp:extent cx="673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-641985</wp:posOffset>
            </wp:positionV>
            <wp:extent cx="673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-396875</wp:posOffset>
            </wp:positionV>
            <wp:extent cx="673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-396875</wp:posOffset>
            </wp:positionV>
            <wp:extent cx="673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-151765</wp:posOffset>
            </wp:positionV>
            <wp:extent cx="673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-151765</wp:posOffset>
            </wp:positionV>
            <wp:extent cx="673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197" w:lineRule="exact"/>
        <w:rPr>
          <w:sz w:val="20"/>
          <w:szCs w:val="20"/>
          <w:color w:val="auto"/>
        </w:rPr>
      </w:pPr>
    </w:p>
    <w:p>
      <w:pPr>
        <w:jc w:val="both"/>
        <w:ind w:left="380" w:hanging="374"/>
        <w:spacing w:after="0" w:line="224" w:lineRule="auto"/>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Arial" w:cs="Arial" w:eastAsia="Arial" w:hAnsi="Arial"/>
          <w:sz w:val="19"/>
          <w:szCs w:val="19"/>
          <w:color w:val="auto"/>
          <w:vertAlign w:val="superscript"/>
        </w:rPr>
      </w:pPr>
    </w:p>
    <w:p>
      <w:pPr>
        <w:ind w:left="380" w:hanging="374"/>
        <w:spacing w:after="0" w:line="204" w:lineRule="auto"/>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Includes depreciation of fixed assets and amortization of intangible assets, exploration data costs and APS investments.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22" w:name="page23"/>
    <w:bookmarkEnd w:id="22"/>
    <w:p>
      <w:pPr>
        <w:jc w:val="both"/>
        <w:ind w:left="380" w:hanging="374"/>
        <w:spacing w:after="0" w:line="229" w:lineRule="auto"/>
        <w:tabs>
          <w:tab w:leader="none" w:pos="38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Key liquidity events during 2024 and 2023 included:</w:t>
      </w:r>
    </w:p>
    <w:p>
      <w:pPr>
        <w:spacing w:after="0" w:line="122" w:lineRule="exact"/>
        <w:rPr>
          <w:sz w:val="20"/>
          <w:szCs w:val="20"/>
          <w:color w:val="auto"/>
        </w:rPr>
      </w:pPr>
    </w:p>
    <w:p>
      <w:pPr>
        <w:jc w:val="both"/>
        <w:ind w:left="760" w:hanging="379"/>
        <w:spacing w:after="0" w:line="244" w:lineRule="auto"/>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6"/>
          <w:szCs w:val="16"/>
          <w:color w:val="auto"/>
        </w:rPr>
        <w:t>In January 2024, SLB announced a 10% increase to its quarterly cash dividend from $0.25 per share of outstanding common stock to $0.275 per share, beginning with the dividend paid in April 2024. In January 2023, SLB announced a 43% increase to its quarterly cash dividend from $0.175 per share of outstanding common stock to $0.25 per share, beginning with the dividend paid in April 2023. Dividends paid during 2024 and 2023 were $1.5 billion and $1.3 billion, respectively.</w:t>
      </w:r>
    </w:p>
    <w:p>
      <w:pPr>
        <w:spacing w:after="0" w:line="80" w:lineRule="exact"/>
        <w:rPr>
          <w:rFonts w:ascii="Times New Roman" w:cs="Times New Roman" w:eastAsia="Times New Roman" w:hAnsi="Times New Roman"/>
          <w:sz w:val="18"/>
          <w:szCs w:val="18"/>
          <w:color w:val="auto"/>
        </w:rPr>
      </w:pPr>
    </w:p>
    <w:p>
      <w:pPr>
        <w:ind w:left="760" w:right="20"/>
        <w:spacing w:after="0" w:line="277" w:lineRule="auto"/>
        <w:rPr>
          <w:rFonts w:ascii="Times New Roman" w:cs="Times New Roman" w:eastAsia="Times New Roman" w:hAnsi="Times New Roman"/>
          <w:sz w:val="18"/>
          <w:szCs w:val="18"/>
          <w:color w:val="auto"/>
        </w:rPr>
      </w:pPr>
      <w:r>
        <w:rPr>
          <w:rFonts w:ascii="Arial" w:cs="Arial" w:eastAsia="Arial" w:hAnsi="Arial"/>
          <w:sz w:val="16"/>
          <w:szCs w:val="16"/>
          <w:color w:val="auto"/>
        </w:rPr>
        <w:t>In January 2025, SLB announced a 3.6% increase to its quarterly dividend from $0.275 per share of outstanding common stock to $0.285 per share, beginning with the dividend payable in April 2025.</w:t>
      </w:r>
    </w:p>
    <w:p>
      <w:pPr>
        <w:spacing w:after="0" w:line="67" w:lineRule="exact"/>
        <w:rPr>
          <w:rFonts w:ascii="Times New Roman" w:cs="Times New Roman" w:eastAsia="Times New Roman" w:hAnsi="Times New Roman"/>
          <w:sz w:val="18"/>
          <w:szCs w:val="18"/>
          <w:color w:val="auto"/>
        </w:rPr>
      </w:pPr>
    </w:p>
    <w:p>
      <w:pPr>
        <w:ind w:left="760" w:right="780" w:hanging="379"/>
        <w:spacing w:after="0" w:line="404" w:lineRule="auto"/>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6"/>
          <w:szCs w:val="16"/>
          <w:color w:val="auto"/>
        </w:rPr>
        <w:t>As of December 31, 2024, SLB cumulatively repurchased $3.5 billion of its common stock under its $10 billion share repurchase program. The following table summarizes the activity under the share repurchase program:</w:t>
      </w:r>
    </w:p>
    <w:p>
      <w:pPr>
        <w:spacing w:after="0" w:line="28"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20" w:type="dxa"/>
            <w:vAlign w:val="bottom"/>
            <w:gridSpan w:val="7"/>
          </w:tcPr>
          <w:p>
            <w:pPr>
              <w:jc w:val="right"/>
              <w:ind w:right="14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55"/>
        </w:trPr>
        <w:tc>
          <w:tcPr>
            <w:tcW w:w="5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60"/>
              <w:spacing w:after="0"/>
              <w:rPr>
                <w:sz w:val="20"/>
                <w:szCs w:val="20"/>
                <w:color w:val="auto"/>
              </w:rPr>
            </w:pPr>
            <w:r>
              <w:rPr>
                <w:rFonts w:ascii="Arial" w:cs="Arial" w:eastAsia="Arial" w:hAnsi="Arial"/>
                <w:sz w:val="16"/>
                <w:szCs w:val="16"/>
                <w:b w:val="1"/>
                <w:bCs w:val="1"/>
                <w:color w:val="auto"/>
                <w:w w:val="99"/>
              </w:rPr>
              <w:t>Total Cost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220" w:type="dxa"/>
            <w:vAlign w:val="bottom"/>
          </w:tcPr>
          <w:p>
            <w:pPr>
              <w:spacing w:after="0"/>
              <w:rPr>
                <w:sz w:val="24"/>
                <w:szCs w:val="24"/>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9"/>
              </w:rPr>
              <w:t>Average Price</w:t>
            </w:r>
          </w:p>
        </w:tc>
      </w:tr>
      <w:tr>
        <w:trPr>
          <w:trHeight w:val="186"/>
        </w:trPr>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0"/>
              <w:spacing w:after="0"/>
              <w:rPr>
                <w:sz w:val="20"/>
                <w:szCs w:val="20"/>
                <w:color w:val="auto"/>
              </w:rPr>
            </w:pPr>
            <w:r>
              <w:rPr>
                <w:rFonts w:ascii="Arial" w:cs="Arial" w:eastAsia="Arial" w:hAnsi="Arial"/>
                <w:sz w:val="16"/>
                <w:szCs w:val="16"/>
                <w:b w:val="1"/>
                <w:bCs w:val="1"/>
                <w:color w:val="auto"/>
              </w:rPr>
              <w:t>of Shares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8"/>
              </w:rPr>
              <w:t>of Shares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Paid per</w:t>
            </w:r>
          </w:p>
        </w:tc>
      </w:tr>
      <w:tr>
        <w:trPr>
          <w:trHeight w:val="200"/>
        </w:trPr>
        <w:tc>
          <w:tcPr>
            <w:tcW w:w="5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rPr>
              <w:t>Purchased</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Purchased</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8"/>
              </w:rPr>
              <w:t>Share</w:t>
            </w:r>
          </w:p>
        </w:tc>
        <w:tc>
          <w:tcPr>
            <w:tcW w:w="100" w:type="dxa"/>
            <w:vAlign w:val="bottom"/>
          </w:tcPr>
          <w:p>
            <w:pPr>
              <w:spacing w:after="0"/>
              <w:rPr>
                <w:sz w:val="17"/>
                <w:szCs w:val="17"/>
                <w:color w:val="auto"/>
              </w:rPr>
            </w:pPr>
          </w:p>
        </w:tc>
      </w:tr>
      <w:tr>
        <w:trPr>
          <w:trHeight w:val="180"/>
        </w:trPr>
        <w:tc>
          <w:tcPr>
            <w:tcW w:w="5900" w:type="dxa"/>
            <w:vAlign w:val="bottom"/>
            <w:shd w:val="clear" w:color="auto" w:fill="CFF0FC"/>
          </w:tcPr>
          <w:p>
            <w:pPr>
              <w:jc w:val="right"/>
              <w:ind w:right="5460"/>
              <w:spacing w:after="0" w:line="180" w:lineRule="exact"/>
              <w:rPr>
                <w:sz w:val="20"/>
                <w:szCs w:val="20"/>
                <w:color w:val="auto"/>
              </w:rPr>
            </w:pPr>
            <w:r>
              <w:rPr>
                <w:rFonts w:ascii="Arial" w:cs="Arial" w:eastAsia="Arial" w:hAnsi="Arial"/>
                <w:sz w:val="16"/>
                <w:szCs w:val="16"/>
                <w:b w:val="1"/>
                <w:bCs w:val="1"/>
                <w:color w:val="auto"/>
                <w:w w:val="95"/>
              </w:rPr>
              <w:t>2024</w:t>
            </w:r>
          </w:p>
        </w:tc>
        <w:tc>
          <w:tcPr>
            <w:tcW w:w="1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1,737</w:t>
            </w:r>
          </w:p>
        </w:tc>
        <w:tc>
          <w:tcPr>
            <w:tcW w:w="1460" w:type="dxa"/>
            <w:vAlign w:val="bottom"/>
            <w:gridSpan w:val="3"/>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38.4</w:t>
            </w:r>
          </w:p>
        </w:tc>
        <w:tc>
          <w:tcPr>
            <w:tcW w:w="42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45.29</w:t>
            </w:r>
          </w:p>
        </w:tc>
        <w:tc>
          <w:tcPr>
            <w:tcW w:w="100" w:type="dxa"/>
            <w:vAlign w:val="bottom"/>
            <w:shd w:val="clear" w:color="auto" w:fill="CFF0FC"/>
          </w:tcPr>
          <w:p>
            <w:pPr>
              <w:spacing w:after="0"/>
              <w:rPr>
                <w:sz w:val="15"/>
                <w:szCs w:val="15"/>
                <w:color w:val="auto"/>
              </w:rPr>
            </w:pPr>
          </w:p>
        </w:tc>
      </w:tr>
      <w:tr>
        <w:trPr>
          <w:trHeight w:val="211"/>
        </w:trPr>
        <w:tc>
          <w:tcPr>
            <w:tcW w:w="5900" w:type="dxa"/>
            <w:vAlign w:val="bottom"/>
          </w:tcPr>
          <w:p>
            <w:pPr>
              <w:jc w:val="right"/>
              <w:ind w:right="5460"/>
              <w:spacing w:after="0"/>
              <w:rPr>
                <w:sz w:val="20"/>
                <w:szCs w:val="20"/>
                <w:color w:val="auto"/>
              </w:rPr>
            </w:pPr>
            <w:r>
              <w:rPr>
                <w:rFonts w:ascii="Arial" w:cs="Arial" w:eastAsia="Arial" w:hAnsi="Arial"/>
                <w:sz w:val="16"/>
                <w:szCs w:val="16"/>
                <w:color w:val="auto"/>
                <w:w w:val="95"/>
              </w:rPr>
              <w:t>2023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694</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13.3</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52.05</w:t>
            </w:r>
          </w:p>
        </w:tc>
        <w:tc>
          <w:tcPr>
            <w:tcW w:w="100" w:type="dxa"/>
            <w:vAlign w:val="bottom"/>
          </w:tcPr>
          <w:p>
            <w:pPr>
              <w:spacing w:after="0"/>
              <w:rPr>
                <w:sz w:val="18"/>
                <w:szCs w:val="18"/>
                <w:color w:val="auto"/>
              </w:rPr>
            </w:pPr>
          </w:p>
        </w:tc>
      </w:tr>
    </w:tbl>
    <w:p>
      <w:pPr>
        <w:spacing w:after="0" w:line="255" w:lineRule="exact"/>
        <w:rPr>
          <w:sz w:val="20"/>
          <w:szCs w:val="20"/>
          <w:color w:val="auto"/>
        </w:rPr>
      </w:pPr>
    </w:p>
    <w:p>
      <w:pPr>
        <w:jc w:val="both"/>
        <w:ind w:left="760"/>
        <w:spacing w:after="0" w:line="250" w:lineRule="auto"/>
        <w:rPr>
          <w:sz w:val="20"/>
          <w:szCs w:val="20"/>
          <w:color w:val="auto"/>
        </w:rPr>
      </w:pPr>
      <w:r>
        <w:rPr>
          <w:rFonts w:ascii="Arial" w:cs="Arial" w:eastAsia="Arial" w:hAnsi="Arial"/>
          <w:sz w:val="16"/>
          <w:szCs w:val="16"/>
          <w:color w:val="auto"/>
        </w:rPr>
        <w:t>SLB has entered into accelerated share repurchase (“ASR”) transactions to repurchase $2.3 billion of its common stock. Under the terms of the ASR agreements, on January 13, 2025, SLB received an initial share delivery of approximately 80% of the shares to be repurchased, based on the closing price per share of its common stock on the preceding day. SLB expects the remainder of the shares to be delivered no later than the end of May 2025. Under certain circumstances, SLB may be required to deliver shares or pay cash, at its option, upon settlement of the ASR agreements. The total number of shares ultimately purchased under the ASR agreements will depend upon the final settlement and will be based on volume-weighted average prices of SLB’s common stock during the terms of the ASR transactions, less a discount.</w:t>
      </w:r>
    </w:p>
    <w:p>
      <w:pPr>
        <w:spacing w:after="0" w:line="88" w:lineRule="exact"/>
        <w:rPr>
          <w:sz w:val="20"/>
          <w:szCs w:val="20"/>
          <w:color w:val="auto"/>
        </w:rPr>
      </w:pPr>
    </w:p>
    <w:p>
      <w:pPr>
        <w:ind w:left="760" w:hanging="379"/>
        <w:spacing w:after="0" w:line="247" w:lineRule="auto"/>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6"/>
          <w:szCs w:val="16"/>
          <w:color w:val="auto"/>
        </w:rPr>
        <w:t>Capital investments (consisting of capital expenditures, APS investments, and exploration data capitalized) were $2.6 billion in both 2024 and 2023. Capital investments during 2025 are expected to be approximately $2.3 billion.</w:t>
      </w:r>
    </w:p>
    <w:p>
      <w:pPr>
        <w:spacing w:after="0" w:line="9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6"/>
          <w:szCs w:val="16"/>
          <w:color w:val="auto"/>
        </w:rPr>
        <w:t>During the fourth quarter of 2024, SLB repaid its €0.6 billion of 0.00% Notes that were outstanding.</w:t>
      </w:r>
    </w:p>
    <w:p>
      <w:pPr>
        <w:spacing w:after="0" w:line="112" w:lineRule="exact"/>
        <w:rPr>
          <w:rFonts w:ascii="Times New Roman" w:cs="Times New Roman" w:eastAsia="Times New Roman" w:hAnsi="Times New Roman"/>
          <w:sz w:val="18"/>
          <w:szCs w:val="18"/>
          <w:color w:val="auto"/>
        </w:rPr>
      </w:pPr>
    </w:p>
    <w:p>
      <w:pPr>
        <w:ind w:left="760" w:right="20" w:hanging="379"/>
        <w:spacing w:after="0" w:line="247" w:lineRule="auto"/>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6"/>
          <w:szCs w:val="16"/>
          <w:color w:val="auto"/>
        </w:rPr>
        <w:t>During the second quarter of 2024, SLB issued $500 million of 5.00% Senior Notes due 2027, $500 million of 5.00% Senior Notes due 2029, and $500 million of 5.00% Senior Notes due 2034.</w:t>
      </w:r>
    </w:p>
    <w:p>
      <w:pPr>
        <w:spacing w:after="0" w:line="90" w:lineRule="exact"/>
        <w:rPr>
          <w:rFonts w:ascii="Times New Roman" w:cs="Times New Roman" w:eastAsia="Times New Roman" w:hAnsi="Times New Roman"/>
          <w:sz w:val="18"/>
          <w:szCs w:val="18"/>
          <w:color w:val="auto"/>
        </w:rPr>
      </w:pPr>
    </w:p>
    <w:p>
      <w:pPr>
        <w:jc w:val="both"/>
        <w:ind w:left="760" w:hanging="379"/>
        <w:spacing w:after="0" w:line="244" w:lineRule="auto"/>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6"/>
          <w:szCs w:val="16"/>
          <w:color w:val="auto"/>
        </w:rPr>
        <w:t>During the second quarter of 2024, SLB and Aker Carbon Capture ASA (“ACC”) announced the closing of their previously announced joint venture. The new company, SLB Capturi, combines technology portfolios, expertise, and operation platforms to support accelerated carbon capture adoption for industrial decarbonization at scale. At closing, SLB paid NOK 4.1 billion ($0.4 billion) in cash to ACC for the purchase of 80% of the shares in Aker Carbon Capture Holdings AS (“ACCH”), which held the business of ACC. ACC is also entitled to performance-based payments of up to NOK 1.4 billion if certain targets are met over the period from 2025 to 2027.</w:t>
      </w:r>
    </w:p>
    <w:p>
      <w:pPr>
        <w:spacing w:after="0" w:line="159" w:lineRule="exact"/>
        <w:rPr>
          <w:rFonts w:ascii="Times New Roman" w:cs="Times New Roman" w:eastAsia="Times New Roman" w:hAnsi="Times New Roman"/>
          <w:sz w:val="18"/>
          <w:szCs w:val="18"/>
          <w:color w:val="auto"/>
        </w:rPr>
      </w:pPr>
    </w:p>
    <w:p>
      <w:pPr>
        <w:jc w:val="both"/>
        <w:ind w:left="760"/>
        <w:spacing w:after="0" w:line="254" w:lineRule="auto"/>
        <w:rPr>
          <w:rFonts w:ascii="Times New Roman" w:cs="Times New Roman" w:eastAsia="Times New Roman" w:hAnsi="Times New Roman"/>
          <w:sz w:val="18"/>
          <w:szCs w:val="18"/>
          <w:color w:val="auto"/>
        </w:rPr>
      </w:pPr>
      <w:r>
        <w:rPr>
          <w:rFonts w:ascii="Arial" w:cs="Arial" w:eastAsia="Arial" w:hAnsi="Arial"/>
          <w:sz w:val="16"/>
          <w:szCs w:val="16"/>
          <w:color w:val="auto"/>
        </w:rPr>
        <w:t>After a lock-up period of three years, ACC is entitled to sell its 20% interest in ACCH to SLB during a period of six months for a price based on the fair market value of the combined business subject to a floor of NOK 1.0 billion and a ceiling of NOK 2.1 billion (the “put option”). Additionally, after the expiration of the put option, SLB has the right to purchase ACC’s 20% interest in the combined business during the following six months for a price based on the fair market value of the combined business subject to a floor of NOK 1.5 billion and a ceiling of NOK 2.6 billion.</w:t>
      </w:r>
    </w:p>
    <w:p>
      <w:pPr>
        <w:spacing w:after="0" w:line="86" w:lineRule="exact"/>
        <w:rPr>
          <w:rFonts w:ascii="Times New Roman" w:cs="Times New Roman" w:eastAsia="Times New Roman" w:hAnsi="Times New Roman"/>
          <w:sz w:val="18"/>
          <w:szCs w:val="18"/>
          <w:color w:val="auto"/>
        </w:rPr>
      </w:pPr>
    </w:p>
    <w:p>
      <w:pPr>
        <w:ind w:left="760" w:hanging="379"/>
        <w:spacing w:after="0" w:line="247" w:lineRule="auto"/>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6"/>
          <w:szCs w:val="16"/>
          <w:color w:val="auto"/>
        </w:rPr>
        <w:t>During the first quarter of 2023, SLB sold all of its remaining approximately 9 million shares of Liberty and received net proceeds of $137 million. As a result, SLB recognized a gain of $36 million.</w:t>
      </w:r>
    </w:p>
    <w:p>
      <w:pPr>
        <w:spacing w:after="0" w:line="9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6"/>
          <w:szCs w:val="16"/>
          <w:color w:val="auto"/>
        </w:rPr>
        <w:t>During the second quarter of 2023, SLB issued $500 million of 4.50% Senior Notes due 2028 and $500 million of 4.85% Senior Notes due 2033.</w:t>
      </w:r>
    </w:p>
    <w:p>
      <w:pPr>
        <w:spacing w:after="0" w:line="112"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6"/>
          <w:szCs w:val="16"/>
          <w:color w:val="auto"/>
        </w:rPr>
        <w:t>During the fourth quarter of 2023, SLB repaid its $1.5 billion of 3.65% Senior Notes that were outstanding.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23" w:name="page24"/>
    <w:bookmarkEnd w:id="23"/>
    <w:p>
      <w:pPr>
        <w:jc w:val="both"/>
        <w:spacing w:after="0" w:line="260" w:lineRule="auto"/>
        <w:rPr>
          <w:sz w:val="20"/>
          <w:szCs w:val="20"/>
          <w:color w:val="auto"/>
        </w:rPr>
      </w:pPr>
      <w:r>
        <w:rPr>
          <w:rFonts w:ascii="Arial" w:cs="Arial" w:eastAsia="Arial" w:hAnsi="Arial"/>
          <w:sz w:val="16"/>
          <w:szCs w:val="16"/>
          <w:color w:val="auto"/>
        </w:rPr>
        <w:t>As of December 31, 2024, SLB had $4.67 billion of cash and short-term investments and committed credit facility agreements with commercial banks aggregating $5.0 billion, all of which was available. SLB believes these amounts, along with cash generated by ongoing operations, will be sufficient to meet future business requirements for the next 12 months and beyond.</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On October 17, 2024, SLB entered into a definitive agreement to sell its interest in the Palliser APS project in Canada. Under the terms of the agreement, SLB will receive cash proceeds of approximately $430 million, subject to closing adjustments that are typical for such a transaction. The transaction, which is subject to regulatory approval and other customary closing conditions, is expected to close in the first quarter of 2025. SLB recorded revenue of approximately $0.5 billion relating to this project during 2024.</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carrying amounts of SLB’s debt at December 31, 2024 by year of maturity: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5"/>
          </w:tcPr>
          <w:p>
            <w:pPr>
              <w:ind w:left="3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101"/>
              <w:spacing w:after="0"/>
              <w:rPr>
                <w:sz w:val="20"/>
                <w:szCs w:val="20"/>
                <w:color w:val="auto"/>
              </w:rPr>
            </w:pPr>
            <w:r>
              <w:rPr>
                <w:rFonts w:ascii="Arial" w:cs="Arial" w:eastAsia="Arial" w:hAnsi="Arial"/>
                <w:sz w:val="16"/>
                <w:szCs w:val="16"/>
                <w:color w:val="auto"/>
              </w:rPr>
              <w:t>After</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80"/>
              <w:spacing w:after="0"/>
              <w:rPr>
                <w:sz w:val="20"/>
                <w:szCs w:val="20"/>
                <w:color w:val="auto"/>
              </w:rPr>
            </w:pPr>
            <w:r>
              <w:rPr>
                <w:rFonts w:ascii="Arial" w:cs="Arial" w:eastAsia="Arial" w:hAnsi="Arial"/>
                <w:sz w:val="16"/>
                <w:szCs w:val="16"/>
                <w:color w:val="auto"/>
                <w:w w:val="95"/>
              </w:rPr>
              <w:t>2025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60"/>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ind w:right="80"/>
              <w:spacing w:after="0"/>
              <w:rPr>
                <w:sz w:val="20"/>
                <w:szCs w:val="20"/>
                <w:color w:val="auto"/>
              </w:rPr>
            </w:pPr>
            <w:r>
              <w:rPr>
                <w:rFonts w:ascii="Arial" w:cs="Arial" w:eastAsia="Arial" w:hAnsi="Arial"/>
                <w:sz w:val="16"/>
                <w:szCs w:val="16"/>
                <w:color w:val="auto"/>
              </w:rPr>
              <w:t>2027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ind w:right="80"/>
              <w:spacing w:after="0"/>
              <w:rPr>
                <w:sz w:val="20"/>
                <w:szCs w:val="20"/>
                <w:color w:val="auto"/>
              </w:rPr>
            </w:pPr>
            <w:r>
              <w:rPr>
                <w:rFonts w:ascii="Arial" w:cs="Arial" w:eastAsia="Arial" w:hAnsi="Arial"/>
                <w:sz w:val="16"/>
                <w:szCs w:val="16"/>
                <w:color w:val="auto"/>
              </w:rPr>
              <w:t>2028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80"/>
              <w:spacing w:after="0"/>
              <w:rPr>
                <w:sz w:val="20"/>
                <w:szCs w:val="20"/>
                <w:color w:val="auto"/>
              </w:rPr>
            </w:pPr>
            <w:r>
              <w:rPr>
                <w:rFonts w:ascii="Arial" w:cs="Arial" w:eastAsia="Arial" w:hAnsi="Arial"/>
                <w:sz w:val="16"/>
                <w:szCs w:val="16"/>
                <w:color w:val="auto"/>
                <w:w w:val="95"/>
              </w:rPr>
              <w:t>2029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2030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ind w:right="80"/>
              <w:spacing w:after="0"/>
              <w:rPr>
                <w:sz w:val="20"/>
                <w:szCs w:val="20"/>
                <w:color w:val="auto"/>
              </w:rPr>
            </w:pPr>
            <w:r>
              <w:rPr>
                <w:rFonts w:ascii="Arial" w:cs="Arial" w:eastAsia="Arial" w:hAnsi="Arial"/>
                <w:sz w:val="16"/>
                <w:szCs w:val="16"/>
                <w:color w:val="auto"/>
              </w:rPr>
              <w:t>2031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6"/>
                <w:szCs w:val="16"/>
                <w:color w:val="auto"/>
              </w:rPr>
              <w:t>2032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ind w:right="81"/>
              <w:spacing w:after="0"/>
              <w:rPr>
                <w:sz w:val="20"/>
                <w:szCs w:val="20"/>
                <w:color w:val="auto"/>
              </w:rPr>
            </w:pPr>
            <w:r>
              <w:rPr>
                <w:rFonts w:ascii="Arial" w:cs="Arial" w:eastAsia="Arial" w:hAnsi="Arial"/>
                <w:sz w:val="16"/>
                <w:szCs w:val="16"/>
                <w:color w:val="auto"/>
              </w:rPr>
              <w:t>2032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20" w:type="dxa"/>
            <w:vAlign w:val="bottom"/>
            <w:gridSpan w:val="2"/>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Fixed rate debt</w:t>
            </w:r>
          </w:p>
        </w:tc>
        <w:tc>
          <w:tcPr>
            <w:tcW w:w="14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4.00%</w:t>
            </w:r>
          </w:p>
        </w:tc>
        <w:tc>
          <w:tcPr>
            <w:tcW w:w="204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523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1.40%</w:t>
            </w:r>
          </w:p>
        </w:tc>
        <w:tc>
          <w:tcPr>
            <w:tcW w:w="2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w:t>
            </w: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auto"/>
              </w:rPr>
              <w:t>1.375% Guaranteed Notes</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1,040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1.00%</w:t>
            </w:r>
          </w:p>
        </w:tc>
        <w:tc>
          <w:tcPr>
            <w:tcW w:w="2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Guaranteed Notes</w:t>
            </w: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0.25%</w:t>
            </w:r>
          </w:p>
        </w:tc>
        <w:tc>
          <w:tcPr>
            <w:tcW w:w="2040" w:type="dxa"/>
            <w:vAlign w:val="bottom"/>
          </w:tcPr>
          <w:p>
            <w:pPr>
              <w:ind w:left="20"/>
              <w:spacing w:after="0"/>
              <w:rPr>
                <w:sz w:val="20"/>
                <w:szCs w:val="20"/>
                <w:color w:val="auto"/>
              </w:rPr>
            </w:pPr>
            <w:r>
              <w:rPr>
                <w:rFonts w:ascii="Arial" w:cs="Arial" w:eastAsia="Arial" w:hAnsi="Arial"/>
                <w:sz w:val="16"/>
                <w:szCs w:val="16"/>
                <w:color w:val="auto"/>
              </w:rPr>
              <w:t>Notes</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936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5.00%</w:t>
            </w:r>
          </w:p>
        </w:tc>
        <w:tc>
          <w:tcPr>
            <w:tcW w:w="2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w:t>
            </w: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3.90%</w:t>
            </w:r>
          </w:p>
        </w:tc>
        <w:tc>
          <w:tcPr>
            <w:tcW w:w="204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1,478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4.50%</w:t>
            </w:r>
          </w:p>
        </w:tc>
        <w:tc>
          <w:tcPr>
            <w:tcW w:w="2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w:t>
            </w: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4.30%</w:t>
            </w:r>
          </w:p>
        </w:tc>
        <w:tc>
          <w:tcPr>
            <w:tcW w:w="204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848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5.00%</w:t>
            </w:r>
          </w:p>
        </w:tc>
        <w:tc>
          <w:tcPr>
            <w:tcW w:w="2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w:t>
            </w: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2.65%</w:t>
            </w:r>
          </w:p>
        </w:tc>
        <w:tc>
          <w:tcPr>
            <w:tcW w:w="204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1,250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0.50%</w:t>
            </w:r>
          </w:p>
        </w:tc>
        <w:tc>
          <w:tcPr>
            <w:tcW w:w="2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w:t>
            </w: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2.00%</w:t>
            </w:r>
          </w:p>
        </w:tc>
        <w:tc>
          <w:tcPr>
            <w:tcW w:w="2040" w:type="dxa"/>
            <w:vAlign w:val="bottom"/>
          </w:tcPr>
          <w:p>
            <w:pPr>
              <w:ind w:left="20"/>
              <w:spacing w:after="0"/>
              <w:rPr>
                <w:sz w:val="20"/>
                <w:szCs w:val="20"/>
                <w:color w:val="auto"/>
              </w:rPr>
            </w:pPr>
            <w:r>
              <w:rPr>
                <w:rFonts w:ascii="Arial" w:cs="Arial" w:eastAsia="Arial" w:hAnsi="Arial"/>
                <w:sz w:val="16"/>
                <w:szCs w:val="16"/>
                <w:color w:val="auto"/>
              </w:rPr>
              <w:t>Guaranteed Notes</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3"/>
          </w:tcPr>
          <w:p>
            <w:pPr>
              <w:jc w:val="right"/>
              <w:ind w:right="20"/>
              <w:spacing w:after="0"/>
              <w:rPr>
                <w:sz w:val="20"/>
                <w:szCs w:val="20"/>
                <w:color w:val="auto"/>
              </w:rPr>
            </w:pPr>
            <w:r>
              <w:rPr>
                <w:rFonts w:ascii="Arial" w:cs="Arial" w:eastAsia="Arial" w:hAnsi="Arial"/>
                <w:sz w:val="16"/>
                <w:szCs w:val="16"/>
                <w:color w:val="auto"/>
              </w:rPr>
              <w:t>1,034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1,034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4.85%</w:t>
            </w:r>
          </w:p>
        </w:tc>
        <w:tc>
          <w:tcPr>
            <w:tcW w:w="2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w:t>
            </w: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5.00%</w:t>
            </w:r>
          </w:p>
        </w:tc>
        <w:tc>
          <w:tcPr>
            <w:tcW w:w="204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489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7.00%</w:t>
            </w:r>
          </w:p>
        </w:tc>
        <w:tc>
          <w:tcPr>
            <w:tcW w:w="2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w:t>
            </w: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5.95%</w:t>
            </w:r>
          </w:p>
        </w:tc>
        <w:tc>
          <w:tcPr>
            <w:tcW w:w="2040" w:type="dxa"/>
            <w:vAlign w:val="bottom"/>
          </w:tcPr>
          <w:p>
            <w:pPr>
              <w:ind w:left="20"/>
              <w:spacing w:after="0"/>
              <w:rPr>
                <w:sz w:val="20"/>
                <w:szCs w:val="20"/>
                <w:color w:val="auto"/>
              </w:rPr>
            </w:pPr>
            <w:r>
              <w:rPr>
                <w:rFonts w:ascii="Arial" w:cs="Arial" w:eastAsia="Arial" w:hAnsi="Arial"/>
                <w:sz w:val="16"/>
                <w:szCs w:val="16"/>
                <w:color w:val="auto"/>
              </w:rPr>
              <w:t>Notes</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5.13%</w:t>
            </w:r>
          </w:p>
        </w:tc>
        <w:tc>
          <w:tcPr>
            <w:tcW w:w="2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Notes</w:t>
            </w:r>
          </w:p>
        </w:tc>
        <w:tc>
          <w:tcPr>
            <w:tcW w:w="14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20" w:type="dxa"/>
            <w:vAlign w:val="bottom"/>
            <w:gridSpan w:val="2"/>
          </w:tcPr>
          <w:p>
            <w:pPr>
              <w:spacing w:after="0" w:line="180" w:lineRule="exact"/>
              <w:rPr>
                <w:sz w:val="20"/>
                <w:szCs w:val="20"/>
                <w:color w:val="auto"/>
              </w:rPr>
            </w:pPr>
            <w:r>
              <w:rPr>
                <w:rFonts w:ascii="Arial" w:cs="Arial" w:eastAsia="Arial" w:hAnsi="Arial"/>
                <w:sz w:val="16"/>
                <w:szCs w:val="16"/>
                <w:color w:val="auto"/>
              </w:rPr>
              <w:t>Total fixed rate debt</w:t>
            </w:r>
          </w:p>
        </w:tc>
        <w:tc>
          <w:tcPr>
            <w:tcW w:w="14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80" w:lineRule="exact"/>
              <w:rPr>
                <w:sz w:val="20"/>
                <w:szCs w:val="20"/>
                <w:color w:val="auto"/>
              </w:rPr>
            </w:pPr>
            <w:r>
              <w:rPr>
                <w:rFonts w:ascii="Arial" w:cs="Arial" w:eastAsia="Arial" w:hAnsi="Arial"/>
                <w:sz w:val="16"/>
                <w:szCs w:val="16"/>
                <w:color w:val="auto"/>
              </w:rPr>
              <w:t>1,023</w:t>
            </w:r>
          </w:p>
        </w:tc>
        <w:tc>
          <w:tcPr>
            <w:tcW w:w="34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80" w:lineRule="exact"/>
              <w:rPr>
                <w:sz w:val="20"/>
                <w:szCs w:val="20"/>
                <w:color w:val="auto"/>
              </w:rPr>
            </w:pPr>
            <w:r>
              <w:rPr>
                <w:rFonts w:ascii="Arial" w:cs="Arial" w:eastAsia="Arial" w:hAnsi="Arial"/>
                <w:sz w:val="16"/>
                <w:szCs w:val="16"/>
                <w:color w:val="auto"/>
              </w:rPr>
              <w:t>1,664</w:t>
            </w:r>
          </w:p>
        </w:tc>
        <w:tc>
          <w:tcPr>
            <w:tcW w:w="34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540" w:type="dxa"/>
            <w:vAlign w:val="bottom"/>
          </w:tcPr>
          <w:p>
            <w:pPr>
              <w:jc w:val="right"/>
              <w:spacing w:after="0" w:line="180" w:lineRule="exact"/>
              <w:rPr>
                <w:sz w:val="20"/>
                <w:szCs w:val="20"/>
                <w:color w:val="auto"/>
              </w:rPr>
            </w:pPr>
            <w:r>
              <w:rPr>
                <w:rFonts w:ascii="Arial" w:cs="Arial" w:eastAsia="Arial" w:hAnsi="Arial"/>
                <w:sz w:val="16"/>
                <w:szCs w:val="16"/>
                <w:color w:val="auto"/>
              </w:rPr>
              <w:t>1,431</w:t>
            </w:r>
          </w:p>
        </w:tc>
        <w:tc>
          <w:tcPr>
            <w:tcW w:w="20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line="180" w:lineRule="exact"/>
              <w:rPr>
                <w:sz w:val="20"/>
                <w:szCs w:val="20"/>
                <w:color w:val="auto"/>
              </w:rPr>
            </w:pPr>
            <w:r>
              <w:rPr>
                <w:rFonts w:ascii="Arial" w:cs="Arial" w:eastAsia="Arial" w:hAnsi="Arial"/>
                <w:sz w:val="16"/>
                <w:szCs w:val="16"/>
                <w:color w:val="auto"/>
              </w:rPr>
              <w:t>1,975</w:t>
            </w:r>
          </w:p>
        </w:tc>
        <w:tc>
          <w:tcPr>
            <w:tcW w:w="34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80" w:lineRule="exact"/>
              <w:rPr>
                <w:sz w:val="20"/>
                <w:szCs w:val="20"/>
                <w:color w:val="auto"/>
              </w:rPr>
            </w:pPr>
            <w:r>
              <w:rPr>
                <w:rFonts w:ascii="Arial" w:cs="Arial" w:eastAsia="Arial" w:hAnsi="Arial"/>
                <w:sz w:val="16"/>
                <w:szCs w:val="16"/>
                <w:color w:val="auto"/>
              </w:rPr>
              <w:t>1,341</w:t>
            </w:r>
          </w:p>
        </w:tc>
        <w:tc>
          <w:tcPr>
            <w:tcW w:w="34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54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1,250</w:t>
            </w:r>
          </w:p>
        </w:tc>
        <w:tc>
          <w:tcPr>
            <w:tcW w:w="34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540" w:type="dxa"/>
            <w:vAlign w:val="bottom"/>
          </w:tcPr>
          <w:p>
            <w:pPr>
              <w:jc w:val="right"/>
              <w:spacing w:after="0" w:line="180" w:lineRule="exact"/>
              <w:rPr>
                <w:sz w:val="20"/>
                <w:szCs w:val="20"/>
                <w:color w:val="auto"/>
              </w:rPr>
            </w:pPr>
            <w:r>
              <w:rPr>
                <w:rFonts w:ascii="Arial" w:cs="Arial" w:eastAsia="Arial" w:hAnsi="Arial"/>
                <w:sz w:val="16"/>
                <w:szCs w:val="16"/>
                <w:color w:val="auto"/>
              </w:rPr>
              <w:t>935</w:t>
            </w:r>
          </w:p>
        </w:tc>
        <w:tc>
          <w:tcPr>
            <w:tcW w:w="34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540" w:type="dxa"/>
            <w:vAlign w:val="bottom"/>
            <w:gridSpan w:val="3"/>
          </w:tcPr>
          <w:p>
            <w:pPr>
              <w:jc w:val="right"/>
              <w:ind w:right="20"/>
              <w:spacing w:after="0" w:line="180" w:lineRule="exact"/>
              <w:rPr>
                <w:sz w:val="20"/>
                <w:szCs w:val="20"/>
                <w:color w:val="auto"/>
              </w:rPr>
            </w:pPr>
            <w:r>
              <w:rPr>
                <w:rFonts w:ascii="Arial" w:cs="Arial" w:eastAsia="Arial" w:hAnsi="Arial"/>
                <w:sz w:val="16"/>
                <w:szCs w:val="16"/>
                <w:color w:val="auto"/>
              </w:rPr>
              <w:t>1,034</w:t>
            </w:r>
          </w:p>
        </w:tc>
        <w:tc>
          <w:tcPr>
            <w:tcW w:w="34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540" w:type="dxa"/>
            <w:vAlign w:val="bottom"/>
          </w:tcPr>
          <w:p>
            <w:pPr>
              <w:jc w:val="right"/>
              <w:spacing w:after="0" w:line="180" w:lineRule="exact"/>
              <w:rPr>
                <w:sz w:val="20"/>
                <w:szCs w:val="20"/>
                <w:color w:val="auto"/>
              </w:rPr>
            </w:pPr>
            <w:r>
              <w:rPr>
                <w:rFonts w:ascii="Arial" w:cs="Arial" w:eastAsia="Arial" w:hAnsi="Arial"/>
                <w:sz w:val="16"/>
                <w:szCs w:val="16"/>
                <w:color w:val="auto"/>
              </w:rPr>
              <w:t>1,393</w:t>
            </w:r>
          </w:p>
        </w:tc>
        <w:tc>
          <w:tcPr>
            <w:tcW w:w="36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80" w:lineRule="exact"/>
              <w:rPr>
                <w:sz w:val="20"/>
                <w:szCs w:val="20"/>
                <w:color w:val="auto"/>
              </w:rPr>
            </w:pPr>
            <w:r>
              <w:rPr>
                <w:rFonts w:ascii="Arial" w:cs="Arial" w:eastAsia="Arial" w:hAnsi="Arial"/>
                <w:sz w:val="16"/>
                <w:szCs w:val="16"/>
                <w:color w:val="auto"/>
              </w:rPr>
              <w:t>12,046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Variable rate debt</w:t>
            </w:r>
          </w:p>
        </w:tc>
        <w:tc>
          <w:tcPr>
            <w:tcW w:w="14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0" w:type="dxa"/>
            <w:vAlign w:val="bottom"/>
          </w:tcPr>
          <w:p>
            <w:pPr>
              <w:spacing w:after="0" w:line="167" w:lineRule="exact"/>
              <w:rPr>
                <w:sz w:val="20"/>
                <w:szCs w:val="20"/>
                <w:color w:val="auto"/>
              </w:rPr>
            </w:pPr>
            <w:r>
              <w:rPr>
                <w:rFonts w:ascii="Arial" w:cs="Arial" w:eastAsia="Arial" w:hAnsi="Arial"/>
                <w:sz w:val="16"/>
                <w:szCs w:val="16"/>
                <w:b w:val="1"/>
                <w:bCs w:val="1"/>
                <w:color w:val="auto"/>
              </w:rPr>
              <w:t>Total</w:t>
            </w:r>
          </w:p>
        </w:tc>
        <w:tc>
          <w:tcPr>
            <w:tcW w:w="204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1,051</w:t>
            </w:r>
          </w:p>
        </w:tc>
        <w:tc>
          <w:tcPr>
            <w:tcW w:w="2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1,664</w:t>
            </w:r>
          </w:p>
        </w:tc>
        <w:tc>
          <w:tcPr>
            <w:tcW w:w="2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1,431</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1,975</w:t>
            </w:r>
          </w:p>
        </w:tc>
        <w:tc>
          <w:tcPr>
            <w:tcW w:w="2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1,341</w:t>
            </w:r>
          </w:p>
        </w:tc>
        <w:tc>
          <w:tcPr>
            <w:tcW w:w="2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gridSpan w:val="2"/>
          </w:tcPr>
          <w:p>
            <w:pPr>
              <w:jc w:val="right"/>
              <w:spacing w:after="0" w:line="167" w:lineRule="exact"/>
              <w:rPr>
                <w:sz w:val="20"/>
                <w:szCs w:val="20"/>
                <w:color w:val="auto"/>
              </w:rPr>
            </w:pPr>
            <w:r>
              <w:rPr>
                <w:rFonts w:ascii="Arial" w:cs="Arial" w:eastAsia="Arial" w:hAnsi="Arial"/>
                <w:sz w:val="16"/>
                <w:szCs w:val="16"/>
                <w:color w:val="auto"/>
              </w:rPr>
              <w:t>1,250</w:t>
            </w:r>
          </w:p>
        </w:tc>
        <w:tc>
          <w:tcPr>
            <w:tcW w:w="2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935</w:t>
            </w:r>
          </w:p>
        </w:tc>
        <w:tc>
          <w:tcPr>
            <w:tcW w:w="2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gridSpan w:val="3"/>
          </w:tcPr>
          <w:p>
            <w:pPr>
              <w:jc w:val="right"/>
              <w:ind w:right="20"/>
              <w:spacing w:after="0" w:line="167" w:lineRule="exact"/>
              <w:rPr>
                <w:sz w:val="20"/>
                <w:szCs w:val="20"/>
                <w:color w:val="auto"/>
              </w:rPr>
            </w:pPr>
            <w:r>
              <w:rPr>
                <w:rFonts w:ascii="Arial" w:cs="Arial" w:eastAsia="Arial" w:hAnsi="Arial"/>
                <w:sz w:val="16"/>
                <w:szCs w:val="16"/>
                <w:color w:val="auto"/>
              </w:rPr>
              <w:t>1,034</w:t>
            </w:r>
          </w:p>
        </w:tc>
        <w:tc>
          <w:tcPr>
            <w:tcW w:w="2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1,393</w:t>
            </w:r>
          </w:p>
        </w:tc>
        <w:tc>
          <w:tcPr>
            <w:tcW w:w="20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12,074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gridSpan w:val="3"/>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5140" w:type="dxa"/>
            <w:vAlign w:val="bottom"/>
            <w:gridSpan w:val="12"/>
          </w:tcPr>
          <w:p>
            <w:pPr>
              <w:spacing w:after="0"/>
              <w:rPr>
                <w:sz w:val="20"/>
                <w:szCs w:val="20"/>
                <w:color w:val="auto"/>
              </w:rPr>
            </w:pPr>
            <w:r>
              <w:rPr>
                <w:rFonts w:ascii="Arial" w:cs="Arial" w:eastAsia="Arial" w:hAnsi="Arial"/>
                <w:sz w:val="16"/>
                <w:szCs w:val="16"/>
                <w:color w:val="auto"/>
              </w:rPr>
              <w:t>Interest payments on fixed rate debt obligations by year are as follows:</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8"/>
          </w:tcPr>
          <w:p>
            <w:pPr>
              <w:jc w:val="right"/>
              <w:ind w:right="420"/>
              <w:spacing w:after="0"/>
              <w:rPr>
                <w:sz w:val="20"/>
                <w:szCs w:val="20"/>
                <w:color w:val="auto"/>
              </w:rPr>
            </w:pPr>
            <w:r>
              <w:rPr>
                <w:rFonts w:ascii="Arial" w:cs="Arial" w:eastAsia="Arial" w:hAnsi="Arial"/>
                <w:sz w:val="14"/>
                <w:szCs w:val="14"/>
                <w:i w:val="1"/>
                <w:iCs w:val="1"/>
                <w:color w:val="auto"/>
              </w:rPr>
              <w:t>(Stated in millions)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2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421</w:t>
            </w:r>
          </w:p>
        </w:tc>
        <w:tc>
          <w:tcPr>
            <w:tcW w:w="80" w:type="dxa"/>
            <w:vAlign w:val="bottom"/>
            <w:shd w:val="clear" w:color="auto" w:fill="CFF0FC"/>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2026</w:t>
            </w:r>
          </w:p>
        </w:tc>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387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2027</w:t>
            </w:r>
          </w:p>
        </w:tc>
        <w:tc>
          <w:tcPr>
            <w:tcW w:w="2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341</w:t>
            </w:r>
          </w:p>
        </w:tc>
        <w:tc>
          <w:tcPr>
            <w:tcW w:w="80" w:type="dxa"/>
            <w:vAlign w:val="bottom"/>
            <w:shd w:val="clear" w:color="auto" w:fill="CFF0FC"/>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2028</w:t>
            </w:r>
          </w:p>
        </w:tc>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262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2029</w:t>
            </w:r>
          </w:p>
        </w:tc>
        <w:tc>
          <w:tcPr>
            <w:tcW w:w="2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192</w:t>
            </w:r>
          </w:p>
        </w:tc>
        <w:tc>
          <w:tcPr>
            <w:tcW w:w="80" w:type="dxa"/>
            <w:vAlign w:val="bottom"/>
            <w:shd w:val="clear" w:color="auto" w:fill="CFF0FC"/>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auto"/>
              </w:rPr>
              <w:t>Thereafter</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584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20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gridSpan w:val="3"/>
            <w:shd w:val="clear" w:color="auto" w:fill="CFF0FC"/>
          </w:tcPr>
          <w:p>
            <w:pPr>
              <w:jc w:val="right"/>
              <w:spacing w:after="0" w:line="180" w:lineRule="exact"/>
              <w:rPr>
                <w:sz w:val="20"/>
                <w:szCs w:val="20"/>
                <w:color w:val="auto"/>
              </w:rPr>
            </w:pPr>
            <w:r>
              <w:rPr>
                <w:rFonts w:ascii="Arial" w:cs="Arial" w:eastAsia="Arial" w:hAnsi="Arial"/>
                <w:sz w:val="16"/>
                <w:szCs w:val="16"/>
                <w:color w:val="auto"/>
              </w:rPr>
              <w:t>2,187</w:t>
            </w: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2032635</wp:posOffset>
            </wp:positionH>
            <wp:positionV relativeFrom="paragraph">
              <wp:posOffset>-1859280</wp:posOffset>
            </wp:positionV>
            <wp:extent cx="673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-1859280</wp:posOffset>
            </wp:positionV>
            <wp:extent cx="673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-1859280</wp:posOffset>
            </wp:positionV>
            <wp:extent cx="673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-1859280</wp:posOffset>
            </wp:positionV>
            <wp:extent cx="673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4230370</wp:posOffset>
            </wp:positionH>
            <wp:positionV relativeFrom="paragraph">
              <wp:posOffset>-1859280</wp:posOffset>
            </wp:positionV>
            <wp:extent cx="673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-1859280</wp:posOffset>
            </wp:positionV>
            <wp:extent cx="673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-1859280</wp:posOffset>
            </wp:positionV>
            <wp:extent cx="673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-1859280</wp:posOffset>
            </wp:positionV>
            <wp:extent cx="673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-1859280</wp:posOffset>
            </wp:positionV>
            <wp:extent cx="673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7062470</wp:posOffset>
            </wp:positionH>
            <wp:positionV relativeFrom="paragraph">
              <wp:posOffset>-1859280</wp:posOffset>
            </wp:positionV>
            <wp:extent cx="762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2032635</wp:posOffset>
            </wp:positionH>
            <wp:positionV relativeFrom="paragraph">
              <wp:posOffset>-1614170</wp:posOffset>
            </wp:positionV>
            <wp:extent cx="673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-1614170</wp:posOffset>
            </wp:positionV>
            <wp:extent cx="673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-1614170</wp:posOffset>
            </wp:positionV>
            <wp:extent cx="673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-1614170</wp:posOffset>
            </wp:positionV>
            <wp:extent cx="673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4230370</wp:posOffset>
            </wp:positionH>
            <wp:positionV relativeFrom="paragraph">
              <wp:posOffset>-1614170</wp:posOffset>
            </wp:positionV>
            <wp:extent cx="673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-1614170</wp:posOffset>
            </wp:positionV>
            <wp:extent cx="673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-1614170</wp:posOffset>
            </wp:positionV>
            <wp:extent cx="673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-1614170</wp:posOffset>
            </wp:positionV>
            <wp:extent cx="673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-1614170</wp:posOffset>
            </wp:positionV>
            <wp:extent cx="673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7062470</wp:posOffset>
            </wp:positionH>
            <wp:positionV relativeFrom="paragraph">
              <wp:posOffset>-1614170</wp:posOffset>
            </wp:positionV>
            <wp:extent cx="762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5659120</wp:posOffset>
            </wp:positionH>
            <wp:positionV relativeFrom="paragraph">
              <wp:posOffset>-24765</wp:posOffset>
            </wp:positionV>
            <wp:extent cx="508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5659120</wp:posOffset>
            </wp:positionH>
            <wp:positionV relativeFrom="paragraph">
              <wp:posOffset>-7620</wp:posOffset>
            </wp:positionV>
            <wp:extent cx="508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14, </w:t>
      </w:r>
      <w:r>
        <w:rPr>
          <w:rFonts w:ascii="Arial" w:cs="Arial" w:eastAsia="Arial" w:hAnsi="Arial"/>
          <w:sz w:val="16"/>
          <w:szCs w:val="16"/>
          <w:i w:val="1"/>
          <w:iCs w:val="1"/>
          <w:color w:val="auto"/>
        </w:rPr>
        <w:t>Leases</w:t>
      </w:r>
      <w:r>
        <w:rPr>
          <w:rFonts w:ascii="Arial" w:cs="Arial" w:eastAsia="Arial" w:hAnsi="Arial"/>
          <w:sz w:val="16"/>
          <w:szCs w:val="16"/>
          <w:color w:val="auto"/>
        </w:rPr>
        <w:t xml:space="preserve"> of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for details regarding SLB’s lease obligations.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SLB has outstanding letters of credit/guarantees that relate to business performance bonds, customs/excise tax commitments, facility lease/rental obligations, etc. These were entered into in the ordinary course of business and are customary practices in the various countries where SLB operates.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Critical Accounting Estimates</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preparation of financial statements and related disclosures in conformity with accounting principles generally accepted in the United States requires SLB to make estimates and assumptions that affect the reported amounts of assets and liabilities, the disclosure of contingent liabilities and the reported amounts of revenue and expenses. The following accounting policies involve “critical accounting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estimates” because they are particularly dependent on estimates and assumptions made by SLB about matters that are inherently uncertain.</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SLB bases its estimates on historical experience and on various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Allowance for Doubtful Accounts</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SLB maintains an allowance for doubtful accounts in order to record accounts receivable at their net realizable value. Judgment is involved in recording and making adjustments to this reserve. Allowances have been recorded for receivables believed to be uncollectible, including amounts for the resolution of potential credit and other collection issues such as disputed invoices. Adjustments to the allowance may be required in future periods depending on how such potential issues are resolved, or if the financial condition of SLB’s customers were to deteriorate resulting in an impairment of their ability to make payments.</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a large multinational company with a long history of operating in a cyclical industry, SLB has extensive experience in working with its customers during difficult times to manage its accounts receivable. During weak economic environments or when there is an extended period of weakness in oil and gas prices, SLB typically experiences delays in the payment of its receivables. However, except for a $469 million write-off during 2017 as a result of the political and economic conditions in Venezuela, SLB has not historically had material write-offs due to uncollectible accounts receivable. SLB has a global footprint in more than 100 countries. As of December 31, 2024, three of those countries individually accounted for greater than 5% of SLB’s net accounts receivable balance, of which only one (the United States) accounted for greater than 10% of such receivables.</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As of December 31, 2024, the United States represented 11% of SLB’s net accounts receivable balance. As of December 31, 2024, Mexico represented 9.7% of SLB's net accounts receivable balance. (See Note 10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SLB’s receivables from its primary customer in Mexico are not in dispute and SLB has not historically had any material write-offs due to uncollectible accounts receivable relating to this customer.</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 Intangible Assets and Long-Lived Assets</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SLB records the excess of purchase price over the fair value of the tangible and identifiable intangible assets acquired and liabilities assumed as goodwill. The goodwill relating to each of SLB’s reporting units is tested for impairment annually as well as when an event, or change in circumstances, indicates an impairment may have occurred.</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generally accepted accounting principles, SLB has the option to first assess qualitative factors to determine whether the existence of events or circumstances leads to a determination that it is more likely than not that the fair value of one or more of its reporting units is greater than its carrying amount. If, after assessing the totality of events or circumstances, SLB determines it is more likely than not that the fair value of a reporting unit is greater than its carrying amount, there is no need to perform any further testing. However, if SLB concludes otherwise, then it is required to perform a quantitative impairment test by calculating the fair value of the reporting unit and comparing the fair value with the carrying amount of the reporting unit. If the fair value of the reporting unit is less than its carrying value, an impairment loss is recorded based on that difference.</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SLB has the option to bypass the qualitative assessment for any reporting unit in any period and proceed directly to performing the quantitative goodwill impairment test.</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SLB elected to perform the qualitative assessment described above for purposes of its annual goodwill impairment test in 2024. Based on this assessment, SLB concluded it was more likely than not that the fair value of each of its reporting units was greater than its carrying amount. Accordingly, no further testing was required.</w:t>
      </w:r>
    </w:p>
    <w:p>
      <w:pPr>
        <w:spacing w:after="0" w:line="14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Long-lived assets, including fixed assets, intangible assets, and investments in APS projects,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involves significant estimates on the part of management. If there is a material change in economic conditions or other circumstances influencing the estimate of future cash flows or fair value, SLB could be required to recognize impairment charges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10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SLB conducts business in more than 100 tax jurisdictions, a number of which have tax laws that are not fully defined and are evolving. SLB’s tax filings are subject to regular audits by the tax authorities. These audits may result in assessments for additional taxes that are resolved with the authorities or, potentially, through the courts. SLB recognizes the impact of a tax position in its financial statements if that position is more likely than not of being sustained on audit, based on the technical merits of the position. Tax liabilities are recorded based on estimates of additional taxes that will be due upon the conclusion of these audits. Estimates of these tax liabilities are judgmental and are made based upon prior experience and are updated in light of changes in facts and circumstances. However, due to the uncertain and complex application of tax regulations, the ultimate resolution of audits may result in liabilities that could be materially different from these estimates. In such an event, SLB will record additional tax expense or tax benefit in the period in which such resolution occurs.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i w:val="1"/>
          <w:iCs w:val="1"/>
          <w:color w:val="auto"/>
        </w:rPr>
        <w:t>Revenue Recognition for Certain Long-term Construction-type Contracts</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SLB recognizes revenue for certain long-term construction-type contracts over time. These contracts involve significant design and engineering efforts in order to satisfy custom designs for customer-specific applications. Under this method, revenue is recognized as work progresses on each contract. Progress is measured by the ratio of actual costs incurred to date on the project in relation to total estimated project costs. Approximately 9% of SLB’s revenue in 2024, 6% in 2023, and 5% in 2022, was recognized under this method.</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estimate of total project costs has a significant impact on both the amount of revenue recognized as well as the related profit on a project. Revenue and profits on contracts can also be significantly affected by change orders and claims. Profits are recognized based on the estimated project profit multiplied by the percentage complete. Due to the nature of these projects, adjustments to estimates of contract revenue and total contract costs are often required as work progresses. Any expected losses on a project are recorded in full in the period in which they become probable.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Postretirement Benefits</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SLB’s pension and postretirement benefit obligations are described in detail in Note 17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The obligations and related costs are calculated using actuarial concepts, which include critical assumptions related to the discount rate and the expected rate of return on plan assets. These assumptions are important elements of expense and/or liability measurement and are updated on an annual basis, or upon the occurrence of significant events.</w:t>
      </w:r>
    </w:p>
    <w:p>
      <w:pPr>
        <w:spacing w:after="0" w:line="153"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discount rate that SLB uses reflects the prevailing market rate of a portfolio of high-quality debt instruments with maturities matching the expected timing of payment of the related benefit obligations. The following summarizes the discount rates utilized by SLB for its various pension and postretirement benefit plans:</w:t>
      </w:r>
    </w:p>
    <w:p>
      <w:pPr>
        <w:spacing w:after="0" w:line="44" w:lineRule="exact"/>
        <w:rPr>
          <w:sz w:val="20"/>
          <w:szCs w:val="20"/>
          <w:color w:val="auto"/>
        </w:rPr>
      </w:pPr>
    </w:p>
    <w:p>
      <w:pPr>
        <w:ind w:left="760" w:hanging="379"/>
        <w:spacing w:after="0" w:line="243" w:lineRule="auto"/>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6"/>
          <w:szCs w:val="16"/>
          <w:color w:val="auto"/>
        </w:rPr>
        <w:t>The discount rate utilized to determine the liability for SLB’s United States pension plans and postretirement medical plan was 5.70% at December 31, 2024 and 5.25% at December 31, 2023.</w:t>
      </w:r>
    </w:p>
    <w:p>
      <w:pPr>
        <w:spacing w:after="0" w:line="1" w:lineRule="exact"/>
        <w:rPr>
          <w:rFonts w:ascii="Times New Roman" w:cs="Times New Roman" w:eastAsia="Times New Roman" w:hAnsi="Times New Roman"/>
          <w:sz w:val="18"/>
          <w:szCs w:val="18"/>
          <w:color w:val="auto"/>
        </w:rPr>
      </w:pPr>
    </w:p>
    <w:p>
      <w:pPr>
        <w:ind w:left="760" w:hanging="379"/>
        <w:spacing w:after="0" w:line="236" w:lineRule="auto"/>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6"/>
          <w:szCs w:val="16"/>
          <w:color w:val="auto"/>
        </w:rPr>
        <w:t>The weighted-average discount rate utilized to determine the liability for SLB’s international pension plans was 5.67% at December 31, 2024 and 5.14% at December 31, 2023.</w:t>
      </w:r>
    </w:p>
    <w:p>
      <w:pPr>
        <w:spacing w:after="0" w:line="1" w:lineRule="exact"/>
        <w:rPr>
          <w:rFonts w:ascii="Times New Roman" w:cs="Times New Roman" w:eastAsia="Times New Roman" w:hAnsi="Times New Roman"/>
          <w:sz w:val="18"/>
          <w:szCs w:val="18"/>
          <w:color w:val="auto"/>
        </w:rPr>
      </w:pPr>
    </w:p>
    <w:p>
      <w:pPr>
        <w:ind w:left="760" w:hanging="379"/>
        <w:spacing w:after="0" w:line="236" w:lineRule="auto"/>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6"/>
          <w:szCs w:val="16"/>
          <w:color w:val="auto"/>
        </w:rPr>
        <w:t>The discount rate utilized to determine expense for SLB’s United States pension plans and postretirement medical plan was 5.25% in 2024 and 5.50% in 2023.</w:t>
      </w:r>
    </w:p>
    <w:p>
      <w:pPr>
        <w:spacing w:after="0" w:line="1" w:lineRule="exact"/>
        <w:rPr>
          <w:rFonts w:ascii="Times New Roman" w:cs="Times New Roman" w:eastAsia="Times New Roman" w:hAnsi="Times New Roman"/>
          <w:sz w:val="18"/>
          <w:szCs w:val="18"/>
          <w:color w:val="auto"/>
        </w:rPr>
      </w:pPr>
    </w:p>
    <w:p>
      <w:pPr>
        <w:ind w:left="760" w:hanging="379"/>
        <w:spacing w:after="0" w:line="231" w:lineRule="auto"/>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6"/>
          <w:szCs w:val="16"/>
          <w:color w:val="auto"/>
        </w:rPr>
        <w:t>The weighted-average discount rate utilized to determine expense for SLB’s international pension plans was 5.14% in 2024 and 5.41% in 2023.</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expected rate of return for SLB’s retirement benefit plans represents the long-term average rate of return expected to be earned on plan assets based on expectations regarding future rates of return for the portfolio considering the asset allocation and related historical rate of return. The average expected rate of return on plan assets for the United States pension plans was 6.00% in both 2024 and 2023. The weighted average expected rate of return on plan assets for the international pension plans was 5.91% in 2024 and 6.00% in 2023. A higher expected rate of return decreases pension expense.</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following illustrates the sensitivity to changes in certain assumptions, holding all other assumptions constant, for SLB’s United States and international pension plans: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i w:val="1"/>
                <w:iCs w:val="1"/>
                <w:color w:val="auto"/>
              </w:rPr>
              <w:t>(Stated in millions)</w:t>
            </w:r>
          </w:p>
        </w:tc>
      </w:tr>
      <w:tr>
        <w:trPr>
          <w:trHeight w:val="355"/>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8"/>
              </w:rPr>
              <w:t>Effect on</w:t>
            </w:r>
          </w:p>
        </w:tc>
      </w:tr>
      <w:tr>
        <w:trPr>
          <w:trHeight w:val="186"/>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700" w:type="dxa"/>
            <w:vAlign w:val="bottom"/>
          </w:tcPr>
          <w:p>
            <w:pPr>
              <w:jc w:val="right"/>
              <w:ind w:right="260"/>
              <w:spacing w:after="0"/>
              <w:rPr>
                <w:sz w:val="20"/>
                <w:szCs w:val="20"/>
                <w:color w:val="auto"/>
              </w:rPr>
            </w:pPr>
            <w:r>
              <w:rPr>
                <w:rFonts w:ascii="Arial" w:cs="Arial" w:eastAsia="Arial" w:hAnsi="Arial"/>
                <w:sz w:val="16"/>
                <w:szCs w:val="16"/>
                <w:color w:val="auto"/>
              </w:rPr>
              <w:t>Effect on 2024</w:t>
            </w:r>
          </w:p>
        </w:tc>
        <w:tc>
          <w:tcPr>
            <w:tcW w:w="2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8"/>
              </w:rPr>
              <w:t>Dec. 31, 2024</w:t>
            </w:r>
          </w:p>
        </w:tc>
      </w:tr>
      <w:tr>
        <w:trPr>
          <w:trHeight w:val="187"/>
        </w:trPr>
        <w:tc>
          <w:tcPr>
            <w:tcW w:w="7660" w:type="dxa"/>
            <w:vAlign w:val="bottom"/>
            <w:gridSpan w:val="3"/>
          </w:tcPr>
          <w:p>
            <w:pPr>
              <w:ind w:left="20"/>
              <w:spacing w:after="0"/>
              <w:rPr>
                <w:sz w:val="20"/>
                <w:szCs w:val="20"/>
                <w:color w:val="auto"/>
              </w:rPr>
            </w:pPr>
            <w:r>
              <w:rPr>
                <w:rFonts w:ascii="Arial" w:cs="Arial" w:eastAsia="Arial" w:hAnsi="Arial"/>
                <w:sz w:val="16"/>
                <w:szCs w:val="16"/>
                <w:b w:val="1"/>
                <w:bCs w:val="1"/>
                <w:color w:val="auto"/>
              </w:rPr>
              <w:t>Change in Assumption</w:t>
            </w:r>
          </w:p>
        </w:tc>
        <w:tc>
          <w:tcPr>
            <w:tcW w:w="1700" w:type="dxa"/>
            <w:vAlign w:val="bottom"/>
          </w:tcPr>
          <w:p>
            <w:pPr>
              <w:jc w:val="right"/>
              <w:ind w:right="200"/>
              <w:spacing w:after="0"/>
              <w:rPr>
                <w:sz w:val="20"/>
                <w:szCs w:val="20"/>
                <w:color w:val="auto"/>
              </w:rPr>
            </w:pPr>
            <w:r>
              <w:rPr>
                <w:rFonts w:ascii="Arial" w:cs="Arial" w:eastAsia="Arial" w:hAnsi="Arial"/>
                <w:sz w:val="16"/>
                <w:szCs w:val="16"/>
                <w:color w:val="auto"/>
              </w:rPr>
              <w:t>Pretax Expense</w:t>
            </w:r>
          </w:p>
        </w:tc>
        <w:tc>
          <w:tcPr>
            <w:tcW w:w="2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Obligation</w:t>
            </w:r>
          </w:p>
        </w:tc>
      </w:tr>
      <w:tr>
        <w:trPr>
          <w:trHeight w:val="27"/>
        </w:trPr>
        <w:tc>
          <w:tcPr>
            <w:tcW w:w="20" w:type="dxa"/>
            <w:vAlign w:val="bottom"/>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590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r>
      <w:tr>
        <w:trPr>
          <w:trHeight w:val="186"/>
        </w:trPr>
        <w:tc>
          <w:tcPr>
            <w:tcW w:w="7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25 basis point decrease in discount rate</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+$324</w:t>
            </w:r>
          </w:p>
        </w:tc>
      </w:tr>
      <w:tr>
        <w:trPr>
          <w:trHeight w:val="186"/>
        </w:trPr>
        <w:tc>
          <w:tcPr>
            <w:tcW w:w="7660" w:type="dxa"/>
            <w:vAlign w:val="bottom"/>
            <w:gridSpan w:val="3"/>
          </w:tcPr>
          <w:p>
            <w:pPr>
              <w:ind w:left="20"/>
              <w:spacing w:after="0"/>
              <w:rPr>
                <w:sz w:val="20"/>
                <w:szCs w:val="20"/>
                <w:color w:val="auto"/>
              </w:rPr>
            </w:pPr>
            <w:r>
              <w:rPr>
                <w:rFonts w:ascii="Arial" w:cs="Arial" w:eastAsia="Arial" w:hAnsi="Arial"/>
                <w:sz w:val="16"/>
                <w:szCs w:val="16"/>
                <w:color w:val="auto"/>
              </w:rPr>
              <w:t>25 basis point increase in discount rate</w:t>
            </w:r>
          </w:p>
        </w:tc>
        <w:tc>
          <w:tcPr>
            <w:tcW w:w="1700" w:type="dxa"/>
            <w:vAlign w:val="bottom"/>
          </w:tcPr>
          <w:p>
            <w:pPr>
              <w:jc w:val="right"/>
              <w:spacing w:after="0"/>
              <w:rPr>
                <w:sz w:val="20"/>
                <w:szCs w:val="20"/>
                <w:color w:val="auto"/>
              </w:rPr>
            </w:pPr>
            <w:r>
              <w:rPr>
                <w:rFonts w:ascii="Arial" w:cs="Arial" w:eastAsia="Arial" w:hAnsi="Arial"/>
                <w:sz w:val="16"/>
                <w:szCs w:val="16"/>
                <w:color w:val="auto"/>
              </w:rPr>
              <w:t>+$3</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-$308</w:t>
            </w:r>
          </w:p>
        </w:tc>
      </w:tr>
      <w:tr>
        <w:trPr>
          <w:trHeight w:val="186"/>
        </w:trPr>
        <w:tc>
          <w:tcPr>
            <w:tcW w:w="7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25 basis point decrease in expected return on plan assets</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660" w:type="dxa"/>
            <w:vAlign w:val="bottom"/>
            <w:gridSpan w:val="3"/>
          </w:tcPr>
          <w:p>
            <w:pPr>
              <w:ind w:left="20"/>
              <w:spacing w:after="0"/>
              <w:rPr>
                <w:sz w:val="20"/>
                <w:szCs w:val="20"/>
                <w:color w:val="auto"/>
              </w:rPr>
            </w:pPr>
            <w:r>
              <w:rPr>
                <w:rFonts w:ascii="Arial" w:cs="Arial" w:eastAsia="Arial" w:hAnsi="Arial"/>
                <w:sz w:val="16"/>
                <w:szCs w:val="16"/>
                <w:color w:val="auto"/>
              </w:rPr>
              <w:t>25 basis point increase in expected return on plan assets</w:t>
            </w:r>
          </w:p>
        </w:tc>
        <w:tc>
          <w:tcPr>
            <w:tcW w:w="1700" w:type="dxa"/>
            <w:vAlign w:val="bottom"/>
          </w:tcPr>
          <w:p>
            <w:pPr>
              <w:jc w:val="right"/>
              <w:spacing w:after="0"/>
              <w:rPr>
                <w:sz w:val="20"/>
                <w:szCs w:val="20"/>
                <w:color w:val="auto"/>
              </w:rPr>
            </w:pPr>
            <w:r>
              <w:rPr>
                <w:rFonts w:ascii="Arial" w:cs="Arial" w:eastAsia="Arial" w:hAnsi="Arial"/>
                <w:sz w:val="16"/>
                <w:szCs w:val="16"/>
                <w:color w:val="auto"/>
              </w:rPr>
              <w:t>-$31</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w:t>
            </w:r>
          </w:p>
        </w:tc>
      </w:tr>
    </w:tbl>
    <w:p>
      <w:pPr>
        <w:spacing w:after="0" w:line="33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following illustrates the sensitivity to changes in certain assumptions, holding all other assumptions constant, for SLB’s United States postretirement medical plans: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i w:val="1"/>
                <w:iCs w:val="1"/>
                <w:color w:val="auto"/>
              </w:rPr>
              <w:t>(Stated in millions)</w:t>
            </w:r>
          </w:p>
        </w:tc>
      </w:tr>
      <w:tr>
        <w:trPr>
          <w:trHeight w:val="355"/>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8"/>
              </w:rPr>
              <w:t>Effect on</w:t>
            </w:r>
          </w:p>
        </w:tc>
      </w:tr>
      <w:tr>
        <w:trPr>
          <w:trHeight w:val="186"/>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700" w:type="dxa"/>
            <w:vAlign w:val="bottom"/>
          </w:tcPr>
          <w:p>
            <w:pPr>
              <w:jc w:val="right"/>
              <w:ind w:right="260"/>
              <w:spacing w:after="0"/>
              <w:rPr>
                <w:sz w:val="20"/>
                <w:szCs w:val="20"/>
                <w:color w:val="auto"/>
              </w:rPr>
            </w:pPr>
            <w:r>
              <w:rPr>
                <w:rFonts w:ascii="Arial" w:cs="Arial" w:eastAsia="Arial" w:hAnsi="Arial"/>
                <w:sz w:val="16"/>
                <w:szCs w:val="16"/>
                <w:color w:val="auto"/>
              </w:rPr>
              <w:t>Effect on 2024</w:t>
            </w:r>
          </w:p>
        </w:tc>
        <w:tc>
          <w:tcPr>
            <w:tcW w:w="2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8"/>
              </w:rPr>
              <w:t>Dec. 31, 2024</w:t>
            </w:r>
          </w:p>
        </w:tc>
      </w:tr>
      <w:tr>
        <w:trPr>
          <w:trHeight w:val="187"/>
        </w:trPr>
        <w:tc>
          <w:tcPr>
            <w:tcW w:w="4180" w:type="dxa"/>
            <w:vAlign w:val="bottom"/>
            <w:gridSpan w:val="3"/>
          </w:tcPr>
          <w:p>
            <w:pPr>
              <w:ind w:left="20"/>
              <w:spacing w:after="0"/>
              <w:rPr>
                <w:sz w:val="20"/>
                <w:szCs w:val="20"/>
                <w:color w:val="auto"/>
              </w:rPr>
            </w:pPr>
            <w:r>
              <w:rPr>
                <w:rFonts w:ascii="Arial" w:cs="Arial" w:eastAsia="Arial" w:hAnsi="Arial"/>
                <w:sz w:val="16"/>
                <w:szCs w:val="16"/>
                <w:b w:val="1"/>
                <w:bCs w:val="1"/>
                <w:color w:val="auto"/>
              </w:rPr>
              <w:t>Change in Assumption</w:t>
            </w:r>
          </w:p>
        </w:tc>
        <w:tc>
          <w:tcPr>
            <w:tcW w:w="3480" w:type="dxa"/>
            <w:vAlign w:val="bottom"/>
          </w:tcPr>
          <w:p>
            <w:pPr>
              <w:spacing w:after="0"/>
              <w:rPr>
                <w:sz w:val="16"/>
                <w:szCs w:val="16"/>
                <w:color w:val="auto"/>
              </w:rPr>
            </w:pPr>
          </w:p>
        </w:tc>
        <w:tc>
          <w:tcPr>
            <w:tcW w:w="1700" w:type="dxa"/>
            <w:vAlign w:val="bottom"/>
          </w:tcPr>
          <w:p>
            <w:pPr>
              <w:jc w:val="right"/>
              <w:ind w:right="200"/>
              <w:spacing w:after="0"/>
              <w:rPr>
                <w:sz w:val="20"/>
                <w:szCs w:val="20"/>
                <w:color w:val="auto"/>
              </w:rPr>
            </w:pPr>
            <w:r>
              <w:rPr>
                <w:rFonts w:ascii="Arial" w:cs="Arial" w:eastAsia="Arial" w:hAnsi="Arial"/>
                <w:sz w:val="16"/>
                <w:szCs w:val="16"/>
                <w:color w:val="auto"/>
              </w:rPr>
              <w:t>Pretax Expense</w:t>
            </w:r>
          </w:p>
        </w:tc>
        <w:tc>
          <w:tcPr>
            <w:tcW w:w="2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7"/>
              </w:rPr>
              <w:t>Obligation</w:t>
            </w:r>
          </w:p>
        </w:tc>
      </w:tr>
      <w:tr>
        <w:trPr>
          <w:trHeight w:val="27"/>
        </w:trPr>
        <w:tc>
          <w:tcPr>
            <w:tcW w:w="20" w:type="dxa"/>
            <w:vAlign w:val="bottom"/>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2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r>
      <w:tr>
        <w:trPr>
          <w:trHeight w:val="186"/>
        </w:trPr>
        <w:tc>
          <w:tcPr>
            <w:tcW w:w="41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25 basis point decrease in discount rate</w:t>
            </w:r>
          </w:p>
        </w:tc>
        <w:tc>
          <w:tcPr>
            <w:tcW w:w="5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w:t>
            </w:r>
          </w:p>
        </w:tc>
      </w:tr>
      <w:tr>
        <w:trPr>
          <w:trHeight w:val="211"/>
        </w:trPr>
        <w:tc>
          <w:tcPr>
            <w:tcW w:w="4180" w:type="dxa"/>
            <w:vAlign w:val="bottom"/>
            <w:gridSpan w:val="3"/>
          </w:tcPr>
          <w:p>
            <w:pPr>
              <w:ind w:left="20"/>
              <w:spacing w:after="0"/>
              <w:rPr>
                <w:sz w:val="20"/>
                <w:szCs w:val="20"/>
                <w:color w:val="auto"/>
              </w:rPr>
            </w:pPr>
            <w:r>
              <w:rPr>
                <w:rFonts w:ascii="Arial" w:cs="Arial" w:eastAsia="Arial" w:hAnsi="Arial"/>
                <w:sz w:val="16"/>
                <w:szCs w:val="16"/>
                <w:color w:val="auto"/>
              </w:rPr>
              <w:t>25 basis point increase in discount rate</w:t>
            </w:r>
          </w:p>
        </w:tc>
        <w:tc>
          <w:tcPr>
            <w:tcW w:w="518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-$21</w:t>
            </w:r>
          </w:p>
        </w:tc>
      </w:tr>
      <w:tr>
        <w:trPr>
          <w:trHeight w:val="598"/>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480" w:type="dxa"/>
            <w:vAlign w:val="bottom"/>
          </w:tcPr>
          <w:p>
            <w:pPr>
              <w:jc w:val="right"/>
              <w:ind w:right="1860"/>
              <w:spacing w:after="0"/>
              <w:rPr>
                <w:sz w:val="20"/>
                <w:szCs w:val="20"/>
                <w:color w:val="auto"/>
              </w:rPr>
            </w:pPr>
            <w:r>
              <w:rPr>
                <w:rFonts w:ascii="Arial" w:cs="Arial" w:eastAsia="Arial" w:hAnsi="Arial"/>
                <w:sz w:val="16"/>
                <w:szCs w:val="16"/>
                <w:color w:val="auto"/>
              </w:rPr>
              <w:t>26</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42"/>
        </w:trPr>
        <w:tc>
          <w:tcPr>
            <w:tcW w:w="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auto"/>
        </w:rPr>
        <w:t>Item 7A. Quantitative and Qualitative Disclosures About Market Risk.</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SLB is subject to market risks primarily associated with changes in foreign currency exchange rates.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SLB’s functional currency is primarily the US dollar. Approximately 70% of SLB’s revenue in 2024 was denominated in US dollars. However, outside the United States, a significant portion of SLB’s expenses is incurred in foreign currencies. Therefore, when the US dollar weakens in relation to the foreign currencies of the countries in which SLB conducts business, the US dollar-reported expenses will increase.</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SLB is exposed to risks on future cash flows relating to its fixed rate debt denominated in currencies other than the functional currency. SLB uses cross-currency interest rate swaps to provide a hedge against these cash flow risks and effectively convert the debt to US-dollar denominated fixed rate debt.</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SLB maintains a foreign currency risk management strategy that uses derivative instruments to manage the impact of changes in foreign exchange rates on its earnings. SLB enters into foreign currency forward contracts to provide a hedge against currency fluctuations on certain monetary assets and liabilities, and certain expenses denominated in currencies other than the functional currency.</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 10% appreciation in the US dollar from the December 31, 2024 market rates would decrease the unrealized value of SLB’s forward contracts by $121 million. Conversely, a 10% depreciation in the US dollar from the December 31, 2024 market rates would increase the unrealized value of SLB’s forward contracts by $133 million. In either scenario, the gain or loss on the forward contract would be offset by the gain or loss on the underlying transaction, and therefore, would have no impact on future earnings.</w:t>
      </w:r>
    </w:p>
    <w:p>
      <w:pPr>
        <w:spacing w:after="0" w:line="153"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At December 31, 2024, forward contracts for the US dollar equivalent of $10.0 billion in various foreign currencies were outstanding, of which $4.5 billion related to hedges of debt balances denominated in currencies other than the functional currency.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10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This Form 10-K, as well as other statements we make, contains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SLB’s financial and performance targets and other forecasts or expectations regarding, or dependent on, its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the business strategies of SLB, including digital and “fit for basin,” as well as the strategies of SLB’s customers; SLB’s capital allocation plans, including dividend plans and share repurchase programs; SLB’s APS projects, joint ventures, and other alliances;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SLB’s customers and changes in the level of oil and natural gas exploration and development; the results of operations and financial condition of SLB’s customers and suppliers; SLB’s inability to achieve its financial and performance targets and other forecasts and expectations; SLB’s inability to achieve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SLB’s supply chain; production declines; the extent of future charges; SLB’s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Form 10-K and other filings that we make with the SEC.</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This Form 10-K also includes forward-looking statements relating to the proposed transaction between SLB and ChampionX, including statements regarding the benefits of the transaction and the anticipated timing of the transaction. Factors and risks that may impact future results and performance include, but are not limited to, and in each case as a possible result of the proposed transaction on each of SLB and ChampionX: the ultimate outcome of the proposed transaction between SLB and ChampionX;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the ability to secure government regulatory approvals on the terms expected, at all or in a timely manner; litigation and regulatory proceedings, including any proceedings that may be instituted against SLB or ChampionX related to the proposed transaction,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as well as the risk factors discussed in SLB’s and ChampionX’s most recent Forms 10-K, 10-Q, and 8-K filed with or furnished to the SEC.</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Form 10-K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 -related statements may be based on standards for measuring progress that are still developing, internal controls and processes that continue to evolve, and assumptions that are subject to change in the future. Statements in this Form 10-K are made as of January 22, 2025, and SLB disclaims any intention or obligation to update publicly or revise such statements, whether as a result of new information, future events or otherwise.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auto"/>
        </w:rPr>
        <w:t>Item 8. Financial Statements and Supplementary Data.</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SCHLUMBERGER LIMITED AND SUBSIDIARIES</w:t>
      </w:r>
    </w:p>
    <w:p>
      <w:pPr>
        <w:spacing w:after="0" w:line="10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STATEMENT OF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gridSpan w:val="6"/>
          </w:tcPr>
          <w:p>
            <w:pPr>
              <w:ind w:left="20"/>
              <w:spacing w:after="0"/>
              <w:rPr>
                <w:sz w:val="20"/>
                <w:szCs w:val="20"/>
                <w:color w:val="auto"/>
              </w:rPr>
            </w:pPr>
            <w:r>
              <w:rPr>
                <w:rFonts w:ascii="Arial" w:cs="Arial" w:eastAsia="Arial" w:hAnsi="Arial"/>
                <w:sz w:val="14"/>
                <w:szCs w:val="14"/>
                <w:i w:val="1"/>
                <w:iCs w:val="1"/>
                <w:color w:val="auto"/>
              </w:rPr>
              <w:t>(Stated in millions, except per share amounts</w:t>
            </w:r>
            <w:r>
              <w:rPr>
                <w:rFonts w:ascii="Arial" w:cs="Arial" w:eastAsia="Arial" w:hAnsi="Arial"/>
                <w:sz w:val="14"/>
                <w:szCs w:val="14"/>
                <w:color w:val="auto"/>
              </w:rPr>
              <w:t>)</w:t>
            </w:r>
          </w:p>
        </w:tc>
      </w:tr>
      <w:tr>
        <w:trPr>
          <w:trHeight w:val="369"/>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r>
      <w:tr>
        <w:trPr>
          <w:trHeight w:val="180"/>
        </w:trPr>
        <w:tc>
          <w:tcPr>
            <w:tcW w:w="65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i w:val="1"/>
                <w:iCs w:val="1"/>
                <w:color w:val="auto"/>
              </w:rPr>
              <w:t>Revenue</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6"/>
        </w:trPr>
        <w:tc>
          <w:tcPr>
            <w:tcW w:w="6560" w:type="dxa"/>
            <w:vAlign w:val="bottom"/>
          </w:tcPr>
          <w:p>
            <w:pPr>
              <w:ind w:left="200"/>
              <w:spacing w:after="0"/>
              <w:rPr>
                <w:sz w:val="20"/>
                <w:szCs w:val="20"/>
                <w:color w:val="auto"/>
              </w:rPr>
            </w:pPr>
            <w:r>
              <w:rPr>
                <w:rFonts w:ascii="Arial" w:cs="Arial" w:eastAsia="Arial" w:hAnsi="Arial"/>
                <w:sz w:val="16"/>
                <w:szCs w:val="16"/>
                <w:color w:val="auto"/>
              </w:rPr>
              <w:t>Services</w:t>
            </w:r>
          </w:p>
        </w:tc>
        <w:tc>
          <w:tcPr>
            <w:tcW w:w="300" w:type="dxa"/>
            <w:vAlign w:val="bottom"/>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23,297</w:t>
            </w:r>
          </w:p>
        </w:tc>
        <w:tc>
          <w:tcPr>
            <w:tcW w:w="5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22,439</w:t>
            </w: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19,552</w:t>
            </w:r>
          </w:p>
        </w:tc>
        <w:tc>
          <w:tcPr>
            <w:tcW w:w="100" w:type="dxa"/>
            <w:vAlign w:val="bottom"/>
          </w:tcPr>
          <w:p>
            <w:pPr>
              <w:spacing w:after="0"/>
              <w:rPr>
                <w:sz w:val="16"/>
                <w:szCs w:val="16"/>
                <w:color w:val="auto"/>
              </w:rPr>
            </w:pPr>
          </w:p>
        </w:tc>
      </w:tr>
      <w:tr>
        <w:trPr>
          <w:trHeight w:val="186"/>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Product sales</w:t>
            </w:r>
          </w:p>
        </w:tc>
        <w:tc>
          <w:tcPr>
            <w:tcW w:w="3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12,992</w:t>
            </w:r>
          </w:p>
        </w:tc>
        <w:tc>
          <w:tcPr>
            <w:tcW w:w="2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10,696</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8,539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0"/>
        </w:trPr>
        <w:tc>
          <w:tcPr>
            <w:tcW w:w="6560" w:type="dxa"/>
            <w:vAlign w:val="bottom"/>
          </w:tcPr>
          <w:p>
            <w:pPr>
              <w:ind w:left="20"/>
              <w:spacing w:after="0" w:line="180" w:lineRule="exact"/>
              <w:rPr>
                <w:sz w:val="20"/>
                <w:szCs w:val="20"/>
                <w:color w:val="auto"/>
              </w:rPr>
            </w:pPr>
            <w:r>
              <w:rPr>
                <w:rFonts w:ascii="Arial" w:cs="Arial" w:eastAsia="Arial" w:hAnsi="Arial"/>
                <w:sz w:val="16"/>
                <w:szCs w:val="16"/>
                <w:i w:val="1"/>
                <w:iCs w:val="1"/>
                <w:color w:val="auto"/>
              </w:rPr>
              <w:t>Total Revenue</w:t>
            </w:r>
          </w:p>
        </w:tc>
        <w:tc>
          <w:tcPr>
            <w:tcW w:w="3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36,289</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33,135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28,091</w:t>
            </w:r>
          </w:p>
        </w:tc>
        <w:tc>
          <w:tcPr>
            <w:tcW w:w="100" w:type="dxa"/>
            <w:vAlign w:val="bottom"/>
          </w:tcPr>
          <w:p>
            <w:pPr>
              <w:spacing w:after="0"/>
              <w:rPr>
                <w:sz w:val="15"/>
                <w:szCs w:val="15"/>
                <w:color w:val="auto"/>
              </w:rPr>
            </w:pPr>
          </w:p>
        </w:tc>
      </w:tr>
      <w:tr>
        <w:trPr>
          <w:trHeight w:val="186"/>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Interest &amp; other income, net</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380</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w:t>
            </w:r>
          </w:p>
        </w:tc>
        <w:tc>
          <w:tcPr>
            <w:tcW w:w="100" w:type="dxa"/>
            <w:vAlign w:val="bottom"/>
            <w:shd w:val="clear" w:color="auto" w:fill="CFF0FC"/>
          </w:tcPr>
          <w:p>
            <w:pPr>
              <w:spacing w:after="0"/>
              <w:rPr>
                <w:sz w:val="16"/>
                <w:szCs w:val="16"/>
                <w:color w:val="auto"/>
              </w:rPr>
            </w:pPr>
          </w:p>
        </w:tc>
      </w:tr>
      <w:tr>
        <w:trPr>
          <w:trHeight w:val="186"/>
        </w:trPr>
        <w:tc>
          <w:tcPr>
            <w:tcW w:w="6560" w:type="dxa"/>
            <w:vAlign w:val="bottom"/>
          </w:tcPr>
          <w:p>
            <w:pPr>
              <w:ind w:left="20"/>
              <w:spacing w:after="0"/>
              <w:rPr>
                <w:sz w:val="20"/>
                <w:szCs w:val="20"/>
                <w:color w:val="auto"/>
              </w:rPr>
            </w:pPr>
            <w:r>
              <w:rPr>
                <w:rFonts w:ascii="Arial" w:cs="Arial" w:eastAsia="Arial" w:hAnsi="Arial"/>
                <w:sz w:val="16"/>
                <w:szCs w:val="16"/>
                <w:i w:val="1"/>
                <w:iCs w:val="1"/>
                <w:color w:val="auto"/>
              </w:rPr>
              <w:t>Expenses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 of services</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17,847</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17,231</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15,233</w:t>
            </w:r>
          </w:p>
        </w:tc>
        <w:tc>
          <w:tcPr>
            <w:tcW w:w="100" w:type="dxa"/>
            <w:vAlign w:val="bottom"/>
            <w:shd w:val="clear" w:color="auto" w:fill="CFF0FC"/>
          </w:tcPr>
          <w:p>
            <w:pPr>
              <w:spacing w:after="0"/>
              <w:rPr>
                <w:sz w:val="16"/>
                <w:szCs w:val="16"/>
                <w:color w:val="auto"/>
              </w:rPr>
            </w:pPr>
          </w:p>
        </w:tc>
      </w:tr>
      <w:tr>
        <w:trPr>
          <w:trHeight w:val="186"/>
        </w:trPr>
        <w:tc>
          <w:tcPr>
            <w:tcW w:w="6560" w:type="dxa"/>
            <w:vAlign w:val="bottom"/>
          </w:tcPr>
          <w:p>
            <w:pPr>
              <w:ind w:left="200"/>
              <w:spacing w:after="0"/>
              <w:rPr>
                <w:sz w:val="20"/>
                <w:szCs w:val="20"/>
                <w:color w:val="auto"/>
              </w:rPr>
            </w:pPr>
            <w:r>
              <w:rPr>
                <w:rFonts w:ascii="Arial" w:cs="Arial" w:eastAsia="Arial" w:hAnsi="Arial"/>
                <w:sz w:val="16"/>
                <w:szCs w:val="16"/>
                <w:color w:val="auto"/>
              </w:rPr>
              <w:t>Cost of sales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10,982</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9,341</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7,697</w:t>
            </w:r>
          </w:p>
        </w:tc>
        <w:tc>
          <w:tcPr>
            <w:tcW w:w="100" w:type="dxa"/>
            <w:vAlign w:val="bottom"/>
          </w:tcPr>
          <w:p>
            <w:pPr>
              <w:spacing w:after="0"/>
              <w:rPr>
                <w:sz w:val="16"/>
                <w:szCs w:val="16"/>
                <w:color w:val="auto"/>
              </w:rPr>
            </w:pPr>
          </w:p>
        </w:tc>
      </w:tr>
      <w:tr>
        <w:trPr>
          <w:trHeight w:val="186"/>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Research &amp; engineering</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749</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711</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w:t>
            </w:r>
          </w:p>
        </w:tc>
        <w:tc>
          <w:tcPr>
            <w:tcW w:w="100" w:type="dxa"/>
            <w:vAlign w:val="bottom"/>
            <w:shd w:val="clear" w:color="auto" w:fill="CFF0FC"/>
          </w:tcPr>
          <w:p>
            <w:pPr>
              <w:spacing w:after="0"/>
              <w:rPr>
                <w:sz w:val="16"/>
                <w:szCs w:val="16"/>
                <w:color w:val="auto"/>
              </w:rPr>
            </w:pPr>
          </w:p>
        </w:tc>
      </w:tr>
      <w:tr>
        <w:trPr>
          <w:trHeight w:val="186"/>
        </w:trPr>
        <w:tc>
          <w:tcPr>
            <w:tcW w:w="6560" w:type="dxa"/>
            <w:vAlign w:val="bottom"/>
          </w:tcPr>
          <w:p>
            <w:pPr>
              <w:ind w:left="200"/>
              <w:spacing w:after="0"/>
              <w:rPr>
                <w:sz w:val="20"/>
                <w:szCs w:val="20"/>
                <w:color w:val="auto"/>
              </w:rPr>
            </w:pPr>
            <w:r>
              <w:rPr>
                <w:rFonts w:ascii="Arial" w:cs="Arial" w:eastAsia="Arial" w:hAnsi="Arial"/>
                <w:sz w:val="16"/>
                <w:szCs w:val="16"/>
                <w:color w:val="auto"/>
              </w:rPr>
              <w:t>General &amp; administrative</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385</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364</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16"/>
                <w:szCs w:val="16"/>
                <w:color w:val="auto"/>
              </w:rPr>
            </w:pPr>
          </w:p>
        </w:tc>
      </w:tr>
      <w:tr>
        <w:trPr>
          <w:trHeight w:val="186"/>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Restructuring &amp; other</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399</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r>
      <w:tr>
        <w:trPr>
          <w:trHeight w:val="186"/>
        </w:trPr>
        <w:tc>
          <w:tcPr>
            <w:tcW w:w="6560" w:type="dxa"/>
            <w:vAlign w:val="bottom"/>
          </w:tcPr>
          <w:p>
            <w:pPr>
              <w:ind w:left="200"/>
              <w:spacing w:after="0"/>
              <w:rPr>
                <w:sz w:val="20"/>
                <w:szCs w:val="20"/>
                <w:color w:val="auto"/>
              </w:rPr>
            </w:pPr>
            <w:r>
              <w:rPr>
                <w:rFonts w:ascii="Arial" w:cs="Arial" w:eastAsia="Arial" w:hAnsi="Arial"/>
                <w:sz w:val="16"/>
                <w:szCs w:val="16"/>
                <w:color w:val="auto"/>
              </w:rPr>
              <w:t>Merger &amp; integration</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123</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86"/>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Interest</w:t>
            </w:r>
          </w:p>
        </w:tc>
        <w:tc>
          <w:tcPr>
            <w:tcW w:w="3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512</w:t>
            </w:r>
          </w:p>
        </w:tc>
        <w:tc>
          <w:tcPr>
            <w:tcW w:w="2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503</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0"/>
        </w:trPr>
        <w:tc>
          <w:tcPr>
            <w:tcW w:w="6560" w:type="dxa"/>
            <w:vAlign w:val="bottom"/>
          </w:tcPr>
          <w:p>
            <w:pPr>
              <w:ind w:left="20"/>
              <w:spacing w:after="0" w:line="180" w:lineRule="exact"/>
              <w:rPr>
                <w:sz w:val="20"/>
                <w:szCs w:val="20"/>
                <w:color w:val="auto"/>
              </w:rPr>
            </w:pPr>
            <w:r>
              <w:rPr>
                <w:rFonts w:ascii="Arial" w:cs="Arial" w:eastAsia="Arial" w:hAnsi="Arial"/>
                <w:sz w:val="16"/>
                <w:szCs w:val="16"/>
                <w:i w:val="1"/>
                <w:iCs w:val="1"/>
                <w:color w:val="auto"/>
              </w:rPr>
              <w:t>Income before taxes</w:t>
            </w:r>
          </w:p>
        </w:tc>
        <w:tc>
          <w:tcPr>
            <w:tcW w:w="3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5,672</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5,282</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4,271</w:t>
            </w:r>
          </w:p>
        </w:tc>
        <w:tc>
          <w:tcPr>
            <w:tcW w:w="100" w:type="dxa"/>
            <w:vAlign w:val="bottom"/>
          </w:tcPr>
          <w:p>
            <w:pPr>
              <w:spacing w:after="0"/>
              <w:rPr>
                <w:sz w:val="15"/>
                <w:szCs w:val="15"/>
                <w:color w:val="auto"/>
              </w:rPr>
            </w:pPr>
          </w:p>
        </w:tc>
      </w:tr>
      <w:tr>
        <w:trPr>
          <w:trHeight w:val="186"/>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Tax expense</w:t>
            </w:r>
          </w:p>
        </w:tc>
        <w:tc>
          <w:tcPr>
            <w:tcW w:w="3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1,093</w:t>
            </w:r>
          </w:p>
        </w:tc>
        <w:tc>
          <w:tcPr>
            <w:tcW w:w="2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1,007</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0"/>
        </w:trPr>
        <w:tc>
          <w:tcPr>
            <w:tcW w:w="6560" w:type="dxa"/>
            <w:vAlign w:val="bottom"/>
          </w:tcPr>
          <w:p>
            <w:pPr>
              <w:ind w:left="20"/>
              <w:spacing w:after="0" w:line="180" w:lineRule="exact"/>
              <w:rPr>
                <w:sz w:val="20"/>
                <w:szCs w:val="20"/>
                <w:color w:val="auto"/>
              </w:rPr>
            </w:pPr>
            <w:r>
              <w:rPr>
                <w:rFonts w:ascii="Arial" w:cs="Arial" w:eastAsia="Arial" w:hAnsi="Arial"/>
                <w:sz w:val="16"/>
                <w:szCs w:val="16"/>
                <w:i w:val="1"/>
                <w:iCs w:val="1"/>
                <w:color w:val="auto"/>
              </w:rPr>
              <w:t>Net income</w:t>
            </w:r>
          </w:p>
        </w:tc>
        <w:tc>
          <w:tcPr>
            <w:tcW w:w="3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4,579</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4,275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3,492</w:t>
            </w:r>
          </w:p>
        </w:tc>
        <w:tc>
          <w:tcPr>
            <w:tcW w:w="100" w:type="dxa"/>
            <w:vAlign w:val="bottom"/>
          </w:tcPr>
          <w:p>
            <w:pPr>
              <w:spacing w:after="0"/>
              <w:rPr>
                <w:sz w:val="15"/>
                <w:szCs w:val="15"/>
                <w:color w:val="auto"/>
              </w:rPr>
            </w:pPr>
          </w:p>
        </w:tc>
      </w:tr>
      <w:tr>
        <w:trPr>
          <w:trHeight w:val="186"/>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Net income attributable to noncontrolling interests</w:t>
            </w:r>
          </w:p>
        </w:tc>
        <w:tc>
          <w:tcPr>
            <w:tcW w:w="3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118</w:t>
            </w:r>
          </w:p>
        </w:tc>
        <w:tc>
          <w:tcPr>
            <w:tcW w:w="2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0"/>
        </w:trPr>
        <w:tc>
          <w:tcPr>
            <w:tcW w:w="6560" w:type="dxa"/>
            <w:vAlign w:val="bottom"/>
          </w:tcPr>
          <w:p>
            <w:pPr>
              <w:ind w:left="20"/>
              <w:spacing w:after="0" w:line="167" w:lineRule="exact"/>
              <w:rPr>
                <w:sz w:val="20"/>
                <w:szCs w:val="20"/>
                <w:color w:val="auto"/>
              </w:rPr>
            </w:pPr>
            <w:r>
              <w:rPr>
                <w:rFonts w:ascii="Arial" w:cs="Arial" w:eastAsia="Arial" w:hAnsi="Arial"/>
                <w:sz w:val="16"/>
                <w:szCs w:val="16"/>
                <w:i w:val="1"/>
                <w:iCs w:val="1"/>
                <w:color w:val="auto"/>
              </w:rPr>
              <w:t>Net income attributable to SLB</w:t>
            </w:r>
          </w:p>
        </w:tc>
        <w:tc>
          <w:tcPr>
            <w:tcW w:w="300" w:type="dxa"/>
            <w:vAlign w:val="bottom"/>
          </w:tcPr>
          <w:p>
            <w:pPr>
              <w:jc w:val="right"/>
              <w:ind w:right="120"/>
              <w:spacing w:after="0" w:line="167" w:lineRule="exact"/>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line="167" w:lineRule="exact"/>
              <w:rPr>
                <w:sz w:val="20"/>
                <w:szCs w:val="20"/>
                <w:color w:val="auto"/>
              </w:rPr>
            </w:pPr>
            <w:r>
              <w:rPr>
                <w:rFonts w:ascii="Arial" w:cs="Arial" w:eastAsia="Arial" w:hAnsi="Arial"/>
                <w:sz w:val="16"/>
                <w:szCs w:val="16"/>
                <w:b w:val="1"/>
                <w:bCs w:val="1"/>
                <w:color w:val="auto"/>
              </w:rPr>
              <w:t>4,461</w:t>
            </w:r>
          </w:p>
        </w:tc>
        <w:tc>
          <w:tcPr>
            <w:tcW w:w="560" w:type="dxa"/>
            <w:vAlign w:val="bottom"/>
            <w:gridSpan w:val="2"/>
          </w:tcPr>
          <w:p>
            <w:pPr>
              <w:ind w:left="280"/>
              <w:spacing w:after="0" w:line="167"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67" w:lineRule="exact"/>
              <w:rPr>
                <w:sz w:val="20"/>
                <w:szCs w:val="20"/>
                <w:color w:val="auto"/>
              </w:rPr>
            </w:pPr>
            <w:r>
              <w:rPr>
                <w:rFonts w:ascii="Arial" w:cs="Arial" w:eastAsia="Arial" w:hAnsi="Arial"/>
                <w:sz w:val="16"/>
                <w:szCs w:val="16"/>
                <w:color w:val="auto"/>
              </w:rPr>
              <w:t>4,203</w:t>
            </w:r>
          </w:p>
        </w:tc>
        <w:tc>
          <w:tcPr>
            <w:tcW w:w="540" w:type="dxa"/>
            <w:vAlign w:val="bottom"/>
            <w:gridSpan w:val="2"/>
          </w:tcPr>
          <w:p>
            <w:pPr>
              <w:jc w:val="right"/>
              <w:ind w:right="180"/>
              <w:spacing w:after="0" w:line="167"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67" w:lineRule="exact"/>
              <w:rPr>
                <w:sz w:val="20"/>
                <w:szCs w:val="20"/>
                <w:color w:val="auto"/>
              </w:rPr>
            </w:pPr>
            <w:r>
              <w:rPr>
                <w:rFonts w:ascii="Arial" w:cs="Arial" w:eastAsia="Arial" w:hAnsi="Arial"/>
                <w:sz w:val="16"/>
                <w:szCs w:val="16"/>
                <w:color w:val="auto"/>
              </w:rPr>
              <w:t>3,441</w:t>
            </w:r>
          </w:p>
        </w:tc>
        <w:tc>
          <w:tcPr>
            <w:tcW w:w="100" w:type="dxa"/>
            <w:vAlign w:val="bottom"/>
          </w:tcPr>
          <w:p>
            <w:pPr>
              <w:spacing w:after="0"/>
              <w:rPr>
                <w:sz w:val="15"/>
                <w:szCs w:val="15"/>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6"/>
        </w:trPr>
        <w:tc>
          <w:tcPr>
            <w:tcW w:w="6560" w:type="dxa"/>
            <w:vAlign w:val="bottom"/>
          </w:tcPr>
          <w:p>
            <w:pPr>
              <w:ind w:left="20"/>
              <w:spacing w:after="0" w:line="167" w:lineRule="exact"/>
              <w:rPr>
                <w:sz w:val="20"/>
                <w:szCs w:val="20"/>
                <w:color w:val="auto"/>
              </w:rPr>
            </w:pPr>
            <w:r>
              <w:rPr>
                <w:rFonts w:ascii="Arial" w:cs="Arial" w:eastAsia="Arial" w:hAnsi="Arial"/>
                <w:sz w:val="16"/>
                <w:szCs w:val="16"/>
                <w:b w:val="1"/>
                <w:bCs w:val="1"/>
                <w:color w:val="auto"/>
              </w:rPr>
              <w:t>Basic earnings per share of SLB</w:t>
            </w:r>
          </w:p>
        </w:tc>
        <w:tc>
          <w:tcPr>
            <w:tcW w:w="300" w:type="dxa"/>
            <w:vAlign w:val="bottom"/>
          </w:tcPr>
          <w:p>
            <w:pPr>
              <w:jc w:val="right"/>
              <w:ind w:right="120"/>
              <w:spacing w:after="0" w:line="167" w:lineRule="exact"/>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line="167" w:lineRule="exact"/>
              <w:rPr>
                <w:sz w:val="20"/>
                <w:szCs w:val="20"/>
                <w:color w:val="auto"/>
              </w:rPr>
            </w:pPr>
            <w:r>
              <w:rPr>
                <w:rFonts w:ascii="Arial" w:cs="Arial" w:eastAsia="Arial" w:hAnsi="Arial"/>
                <w:sz w:val="16"/>
                <w:szCs w:val="16"/>
                <w:b w:val="1"/>
                <w:bCs w:val="1"/>
                <w:color w:val="auto"/>
              </w:rPr>
              <w:t>3.14</w:t>
            </w:r>
          </w:p>
        </w:tc>
        <w:tc>
          <w:tcPr>
            <w:tcW w:w="560" w:type="dxa"/>
            <w:vAlign w:val="bottom"/>
            <w:gridSpan w:val="2"/>
          </w:tcPr>
          <w:p>
            <w:pPr>
              <w:ind w:left="280"/>
              <w:spacing w:after="0" w:line="167"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67" w:lineRule="exact"/>
              <w:rPr>
                <w:sz w:val="20"/>
                <w:szCs w:val="20"/>
                <w:color w:val="auto"/>
              </w:rPr>
            </w:pPr>
            <w:r>
              <w:rPr>
                <w:rFonts w:ascii="Arial" w:cs="Arial" w:eastAsia="Arial" w:hAnsi="Arial"/>
                <w:sz w:val="16"/>
                <w:szCs w:val="16"/>
                <w:color w:val="auto"/>
              </w:rPr>
              <w:t>2.95</w:t>
            </w:r>
          </w:p>
        </w:tc>
        <w:tc>
          <w:tcPr>
            <w:tcW w:w="540" w:type="dxa"/>
            <w:vAlign w:val="bottom"/>
            <w:gridSpan w:val="2"/>
          </w:tcPr>
          <w:p>
            <w:pPr>
              <w:jc w:val="right"/>
              <w:ind w:right="180"/>
              <w:spacing w:after="0" w:line="167"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67" w:lineRule="exact"/>
              <w:rPr>
                <w:sz w:val="20"/>
                <w:szCs w:val="20"/>
                <w:color w:val="auto"/>
              </w:rPr>
            </w:pPr>
            <w:r>
              <w:rPr>
                <w:rFonts w:ascii="Arial" w:cs="Arial" w:eastAsia="Arial" w:hAnsi="Arial"/>
                <w:sz w:val="16"/>
                <w:szCs w:val="16"/>
                <w:color w:val="auto"/>
              </w:rPr>
              <w:t>2.43</w:t>
            </w:r>
          </w:p>
        </w:tc>
        <w:tc>
          <w:tcPr>
            <w:tcW w:w="100" w:type="dxa"/>
            <w:vAlign w:val="bottom"/>
          </w:tcPr>
          <w:p>
            <w:pPr>
              <w:spacing w:after="0"/>
              <w:rPr>
                <w:sz w:val="16"/>
                <w:szCs w:val="16"/>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6"/>
        </w:trPr>
        <w:tc>
          <w:tcPr>
            <w:tcW w:w="6560" w:type="dxa"/>
            <w:vAlign w:val="bottom"/>
          </w:tcPr>
          <w:p>
            <w:pPr>
              <w:ind w:left="20"/>
              <w:spacing w:after="0" w:line="167" w:lineRule="exact"/>
              <w:rPr>
                <w:sz w:val="20"/>
                <w:szCs w:val="20"/>
                <w:color w:val="auto"/>
              </w:rPr>
            </w:pPr>
            <w:r>
              <w:rPr>
                <w:rFonts w:ascii="Arial" w:cs="Arial" w:eastAsia="Arial" w:hAnsi="Arial"/>
                <w:sz w:val="16"/>
                <w:szCs w:val="16"/>
                <w:b w:val="1"/>
                <w:bCs w:val="1"/>
                <w:color w:val="auto"/>
              </w:rPr>
              <w:t>Diluted earnings per share of SLB</w:t>
            </w:r>
          </w:p>
        </w:tc>
        <w:tc>
          <w:tcPr>
            <w:tcW w:w="300" w:type="dxa"/>
            <w:vAlign w:val="bottom"/>
          </w:tcPr>
          <w:p>
            <w:pPr>
              <w:jc w:val="right"/>
              <w:ind w:right="120"/>
              <w:spacing w:after="0" w:line="167" w:lineRule="exact"/>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line="167" w:lineRule="exact"/>
              <w:rPr>
                <w:sz w:val="20"/>
                <w:szCs w:val="20"/>
                <w:color w:val="auto"/>
              </w:rPr>
            </w:pPr>
            <w:r>
              <w:rPr>
                <w:rFonts w:ascii="Arial" w:cs="Arial" w:eastAsia="Arial" w:hAnsi="Arial"/>
                <w:sz w:val="16"/>
                <w:szCs w:val="16"/>
                <w:b w:val="1"/>
                <w:bCs w:val="1"/>
                <w:color w:val="auto"/>
              </w:rPr>
              <w:t>3.11</w:t>
            </w:r>
          </w:p>
        </w:tc>
        <w:tc>
          <w:tcPr>
            <w:tcW w:w="560" w:type="dxa"/>
            <w:vAlign w:val="bottom"/>
            <w:gridSpan w:val="2"/>
          </w:tcPr>
          <w:p>
            <w:pPr>
              <w:ind w:left="280"/>
              <w:spacing w:after="0" w:line="167"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67" w:lineRule="exact"/>
              <w:rPr>
                <w:sz w:val="20"/>
                <w:szCs w:val="20"/>
                <w:color w:val="auto"/>
              </w:rPr>
            </w:pPr>
            <w:r>
              <w:rPr>
                <w:rFonts w:ascii="Arial" w:cs="Arial" w:eastAsia="Arial" w:hAnsi="Arial"/>
                <w:sz w:val="16"/>
                <w:szCs w:val="16"/>
                <w:color w:val="auto"/>
              </w:rPr>
              <w:t>2.91</w:t>
            </w:r>
          </w:p>
        </w:tc>
        <w:tc>
          <w:tcPr>
            <w:tcW w:w="540" w:type="dxa"/>
            <w:vAlign w:val="bottom"/>
            <w:gridSpan w:val="2"/>
          </w:tcPr>
          <w:p>
            <w:pPr>
              <w:jc w:val="right"/>
              <w:ind w:right="180"/>
              <w:spacing w:after="0" w:line="167"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67" w:lineRule="exact"/>
              <w:rPr>
                <w:sz w:val="20"/>
                <w:szCs w:val="20"/>
                <w:color w:val="auto"/>
              </w:rPr>
            </w:pPr>
            <w:r>
              <w:rPr>
                <w:rFonts w:ascii="Arial" w:cs="Arial" w:eastAsia="Arial" w:hAnsi="Arial"/>
                <w:sz w:val="16"/>
                <w:szCs w:val="16"/>
                <w:color w:val="auto"/>
              </w:rPr>
              <w:t>2.39</w:t>
            </w:r>
          </w:p>
        </w:tc>
        <w:tc>
          <w:tcPr>
            <w:tcW w:w="100" w:type="dxa"/>
            <w:vAlign w:val="bottom"/>
          </w:tcPr>
          <w:p>
            <w:pPr>
              <w:spacing w:after="0"/>
              <w:rPr>
                <w:sz w:val="16"/>
                <w:szCs w:val="16"/>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6"/>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Average shares outstanding:</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1,421</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1,425</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1,416</w:t>
            </w:r>
          </w:p>
        </w:tc>
        <w:tc>
          <w:tcPr>
            <w:tcW w:w="100" w:type="dxa"/>
            <w:vAlign w:val="bottom"/>
            <w:shd w:val="clear" w:color="auto" w:fill="CFF0FC"/>
          </w:tcPr>
          <w:p>
            <w:pPr>
              <w:spacing w:after="0"/>
              <w:rPr>
                <w:sz w:val="16"/>
                <w:szCs w:val="16"/>
                <w:color w:val="auto"/>
              </w:rPr>
            </w:pPr>
          </w:p>
        </w:tc>
      </w:tr>
      <w:tr>
        <w:trPr>
          <w:trHeight w:val="219"/>
        </w:trPr>
        <w:tc>
          <w:tcPr>
            <w:tcW w:w="6560" w:type="dxa"/>
            <w:vAlign w:val="bottom"/>
          </w:tcPr>
          <w:p>
            <w:pPr>
              <w:ind w:left="200"/>
              <w:spacing w:after="0"/>
              <w:rPr>
                <w:sz w:val="20"/>
                <w:szCs w:val="20"/>
                <w:color w:val="auto"/>
              </w:rPr>
            </w:pPr>
            <w:r>
              <w:rPr>
                <w:rFonts w:ascii="Arial" w:cs="Arial" w:eastAsia="Arial" w:hAnsi="Arial"/>
                <w:sz w:val="16"/>
                <w:szCs w:val="16"/>
                <w:color w:val="auto"/>
              </w:rPr>
              <w:t>Assuming dilution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1,436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1,443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5033645</wp:posOffset>
            </wp:positionH>
            <wp:positionV relativeFrom="paragraph">
              <wp:posOffset>-2851785</wp:posOffset>
            </wp:positionV>
            <wp:extent cx="762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6056630</wp:posOffset>
            </wp:positionH>
            <wp:positionV relativeFrom="paragraph">
              <wp:posOffset>-2851785</wp:posOffset>
            </wp:positionV>
            <wp:extent cx="673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-2851785</wp:posOffset>
            </wp:positionV>
            <wp:extent cx="673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5033645</wp:posOffset>
            </wp:positionH>
            <wp:positionV relativeFrom="paragraph">
              <wp:posOffset>-1659890</wp:posOffset>
            </wp:positionV>
            <wp:extent cx="762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6056630</wp:posOffset>
            </wp:positionH>
            <wp:positionV relativeFrom="paragraph">
              <wp:posOffset>-1659890</wp:posOffset>
            </wp:positionV>
            <wp:extent cx="673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-1659890</wp:posOffset>
            </wp:positionV>
            <wp:extent cx="673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5033645</wp:posOffset>
            </wp:positionH>
            <wp:positionV relativeFrom="paragraph">
              <wp:posOffset>-1414780</wp:posOffset>
            </wp:positionV>
            <wp:extent cx="762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6056630</wp:posOffset>
            </wp:positionH>
            <wp:positionV relativeFrom="paragraph">
              <wp:posOffset>-1414780</wp:posOffset>
            </wp:positionV>
            <wp:extent cx="673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-1414780</wp:posOffset>
            </wp:positionV>
            <wp:extent cx="673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5033645</wp:posOffset>
            </wp:positionH>
            <wp:positionV relativeFrom="paragraph">
              <wp:posOffset>-1169670</wp:posOffset>
            </wp:positionV>
            <wp:extent cx="762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6056630</wp:posOffset>
            </wp:positionH>
            <wp:positionV relativeFrom="paragraph">
              <wp:posOffset>-1169670</wp:posOffset>
            </wp:positionV>
            <wp:extent cx="673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-1169670</wp:posOffset>
            </wp:positionV>
            <wp:extent cx="673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the Notes to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9" w:name="page30"/>
    <w:bookmarkEnd w:id="29"/>
    <w:p>
      <w:pPr>
        <w:jc w:val="center"/>
        <w:ind w:right="40"/>
        <w:spacing w:after="0"/>
        <w:rPr>
          <w:sz w:val="20"/>
          <w:szCs w:val="20"/>
          <w:color w:val="auto"/>
        </w:rPr>
      </w:pPr>
      <w:r>
        <w:rPr>
          <w:rFonts w:ascii="Arial" w:cs="Arial" w:eastAsia="Arial" w:hAnsi="Arial"/>
          <w:sz w:val="16"/>
          <w:szCs w:val="16"/>
          <w:b w:val="1"/>
          <w:bCs w:val="1"/>
          <w:color w:val="auto"/>
        </w:rPr>
        <w:t>SCHLUMBERGER LIMITED AND SUBSIDIARIES</w:t>
      </w:r>
    </w:p>
    <w:p>
      <w:pPr>
        <w:spacing w:after="0" w:line="10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STATEMENT OF COMPREHENSIVE INCOME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69"/>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r>
      <w:tr>
        <w:trPr>
          <w:trHeight w:val="180"/>
        </w:trPr>
        <w:tc>
          <w:tcPr>
            <w:tcW w:w="65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i w:val="1"/>
                <w:iCs w:val="1"/>
                <w:color w:val="auto"/>
              </w:rPr>
              <w:t>Net income</w:t>
            </w:r>
          </w:p>
        </w:tc>
        <w:tc>
          <w:tcPr>
            <w:tcW w:w="300" w:type="dxa"/>
            <w:vAlign w:val="bottom"/>
            <w:shd w:val="clear" w:color="auto" w:fill="CFF0FC"/>
          </w:tcPr>
          <w:p>
            <w:pPr>
              <w:jc w:val="right"/>
              <w:ind w:right="120"/>
              <w:spacing w:after="0" w:line="180" w:lineRule="exact"/>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4,579</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0"/>
              <w:spacing w:after="0" w:line="180" w:lineRule="exact"/>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4,275</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3,492</w:t>
            </w:r>
          </w:p>
        </w:tc>
        <w:tc>
          <w:tcPr>
            <w:tcW w:w="100" w:type="dxa"/>
            <w:vAlign w:val="bottom"/>
            <w:shd w:val="clear" w:color="auto" w:fill="CFF0FC"/>
          </w:tcPr>
          <w:p>
            <w:pPr>
              <w:spacing w:after="0"/>
              <w:rPr>
                <w:sz w:val="15"/>
                <w:szCs w:val="15"/>
                <w:color w:val="auto"/>
              </w:rPr>
            </w:pPr>
          </w:p>
        </w:tc>
      </w:tr>
      <w:tr>
        <w:trPr>
          <w:trHeight w:val="186"/>
        </w:trPr>
        <w:tc>
          <w:tcPr>
            <w:tcW w:w="6560" w:type="dxa"/>
            <w:vAlign w:val="bottom"/>
          </w:tcPr>
          <w:p>
            <w:pPr>
              <w:ind w:left="20"/>
              <w:spacing w:after="0"/>
              <w:rPr>
                <w:sz w:val="20"/>
                <w:szCs w:val="20"/>
                <w:color w:val="auto"/>
              </w:rPr>
            </w:pPr>
            <w:r>
              <w:rPr>
                <w:rFonts w:ascii="Arial" w:cs="Arial" w:eastAsia="Arial" w:hAnsi="Arial"/>
                <w:sz w:val="16"/>
                <w:szCs w:val="16"/>
                <w:color w:val="auto"/>
              </w:rPr>
              <w:t>Currency translation adjustments: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change arising during the period</w:t>
            </w:r>
          </w:p>
        </w:tc>
        <w:tc>
          <w:tcPr>
            <w:tcW w:w="3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(138 )</w:t>
            </w:r>
          </w:p>
        </w:tc>
        <w:tc>
          <w:tcPr>
            <w:tcW w:w="2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(113 )</w:t>
            </w: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(26 )</w:t>
            </w:r>
          </w:p>
        </w:tc>
      </w:tr>
      <w:tr>
        <w:trPr>
          <w:trHeight w:val="186"/>
        </w:trPr>
        <w:tc>
          <w:tcPr>
            <w:tcW w:w="656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gain (loss) on cash flow hedges</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(148 )</w:t>
            </w:r>
          </w:p>
        </w:tc>
      </w:tr>
      <w:tr>
        <w:trPr>
          <w:trHeight w:val="186"/>
        </w:trPr>
        <w:tc>
          <w:tcPr>
            <w:tcW w:w="6560" w:type="dxa"/>
            <w:vAlign w:val="bottom"/>
          </w:tcPr>
          <w:p>
            <w:pPr>
              <w:ind w:left="200"/>
              <w:spacing w:after="0"/>
              <w:rPr>
                <w:sz w:val="20"/>
                <w:szCs w:val="20"/>
                <w:color w:val="auto"/>
              </w:rPr>
            </w:pPr>
            <w:r>
              <w:rPr>
                <w:rFonts w:ascii="Arial" w:cs="Arial" w:eastAsia="Arial" w:hAnsi="Arial"/>
                <w:sz w:val="16"/>
                <w:szCs w:val="16"/>
                <w:color w:val="auto"/>
              </w:rPr>
              <w:t>Reclassification to net income of net realized (gain) loss</w:t>
            </w:r>
          </w:p>
        </w:tc>
        <w:tc>
          <w:tcPr>
            <w:tcW w:w="30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(4 )</w:t>
            </w:r>
          </w:p>
        </w:tc>
        <w:tc>
          <w:tcPr>
            <w:tcW w:w="28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(19 )</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6"/>
                <w:szCs w:val="16"/>
                <w:color w:val="auto"/>
              </w:rPr>
            </w:pPr>
          </w:p>
        </w:tc>
      </w:tr>
      <w:tr>
        <w:trPr>
          <w:trHeight w:val="186"/>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Pension and other postretirement benefit plans:</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6"/>
        </w:trPr>
        <w:tc>
          <w:tcPr>
            <w:tcW w:w="6560" w:type="dxa"/>
            <w:vAlign w:val="bottom"/>
          </w:tcPr>
          <w:p>
            <w:pPr>
              <w:ind w:left="200"/>
              <w:spacing w:after="0"/>
              <w:rPr>
                <w:sz w:val="20"/>
                <w:szCs w:val="20"/>
                <w:color w:val="auto"/>
              </w:rPr>
            </w:pPr>
            <w:r>
              <w:rPr>
                <w:rFonts w:ascii="Arial" w:cs="Arial" w:eastAsia="Arial" w:hAnsi="Arial"/>
                <w:sz w:val="16"/>
                <w:szCs w:val="16"/>
                <w:color w:val="auto"/>
              </w:rPr>
              <w:t>Actuarial loss arising during the period</w:t>
            </w:r>
          </w:p>
        </w:tc>
        <w:tc>
          <w:tcPr>
            <w:tcW w:w="30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(582 )</w:t>
            </w:r>
          </w:p>
        </w:tc>
        <w:tc>
          <w:tcPr>
            <w:tcW w:w="28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(437 )</w:t>
            </w:r>
          </w:p>
        </w:tc>
        <w:tc>
          <w:tcPr>
            <w:tcW w:w="12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(305 )</w:t>
            </w:r>
          </w:p>
        </w:tc>
      </w:tr>
      <w:tr>
        <w:trPr>
          <w:trHeight w:val="186"/>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to net income of net actuarial losses</w:t>
            </w:r>
          </w:p>
        </w:tc>
        <w:tc>
          <w:tcPr>
            <w:tcW w:w="3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(3 )</w:t>
            </w:r>
          </w:p>
        </w:tc>
        <w:tc>
          <w:tcPr>
            <w:tcW w:w="2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(12 )</w:t>
            </w: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FF0FC"/>
          </w:tcPr>
          <w:p>
            <w:pPr>
              <w:spacing w:after="0"/>
              <w:rPr>
                <w:sz w:val="16"/>
                <w:szCs w:val="16"/>
                <w:color w:val="auto"/>
              </w:rPr>
            </w:pPr>
          </w:p>
        </w:tc>
      </w:tr>
      <w:tr>
        <w:trPr>
          <w:trHeight w:val="186"/>
        </w:trPr>
        <w:tc>
          <w:tcPr>
            <w:tcW w:w="6560" w:type="dxa"/>
            <w:vAlign w:val="bottom"/>
          </w:tcPr>
          <w:p>
            <w:pPr>
              <w:ind w:left="200"/>
              <w:spacing w:after="0"/>
              <w:rPr>
                <w:sz w:val="20"/>
                <w:szCs w:val="20"/>
                <w:color w:val="auto"/>
              </w:rPr>
            </w:pPr>
            <w:r>
              <w:rPr>
                <w:rFonts w:ascii="Arial" w:cs="Arial" w:eastAsia="Arial" w:hAnsi="Arial"/>
                <w:sz w:val="16"/>
                <w:szCs w:val="16"/>
                <w:color w:val="auto"/>
              </w:rPr>
              <w:t>Amortization to net income of net prior service credit</w:t>
            </w:r>
          </w:p>
        </w:tc>
        <w:tc>
          <w:tcPr>
            <w:tcW w:w="30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(23 )</w:t>
            </w:r>
          </w:p>
        </w:tc>
        <w:tc>
          <w:tcPr>
            <w:tcW w:w="28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(23 )</w:t>
            </w:r>
          </w:p>
        </w:tc>
        <w:tc>
          <w:tcPr>
            <w:tcW w:w="12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(23 )</w:t>
            </w:r>
          </w:p>
        </w:tc>
      </w:tr>
      <w:tr>
        <w:trPr>
          <w:trHeight w:val="186"/>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taxes on pension and other postretirement benefit plans</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42</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FF0FC"/>
          </w:tcPr>
          <w:p>
            <w:pPr>
              <w:spacing w:after="0"/>
              <w:rPr>
                <w:sz w:val="16"/>
                <w:szCs w:val="16"/>
                <w:color w:val="auto"/>
              </w:rPr>
            </w:pPr>
          </w:p>
        </w:tc>
      </w:tr>
      <w:tr>
        <w:trPr>
          <w:trHeight w:val="186"/>
        </w:trPr>
        <w:tc>
          <w:tcPr>
            <w:tcW w:w="656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(30 )</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r>
      <w:tr>
        <w:trPr>
          <w:trHeight w:val="180"/>
        </w:trPr>
        <w:tc>
          <w:tcPr>
            <w:tcW w:w="65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Comprehensive income</w:t>
            </w:r>
          </w:p>
        </w:tc>
        <w:tc>
          <w:tcPr>
            <w:tcW w:w="30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3,883</w:t>
            </w:r>
          </w:p>
        </w:tc>
        <w:tc>
          <w:tcPr>
            <w:tcW w:w="280" w:type="dxa"/>
            <w:vAlign w:val="bottom"/>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3,876</w:t>
            </w:r>
          </w:p>
        </w:tc>
        <w:tc>
          <w:tcPr>
            <w:tcW w:w="2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22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3,207</w:t>
            </w:r>
          </w:p>
        </w:tc>
        <w:tc>
          <w:tcPr>
            <w:tcW w:w="100" w:type="dxa"/>
            <w:vAlign w:val="bottom"/>
            <w:shd w:val="clear" w:color="auto" w:fill="CFF0FC"/>
          </w:tcPr>
          <w:p>
            <w:pPr>
              <w:spacing w:after="0"/>
              <w:rPr>
                <w:sz w:val="15"/>
                <w:szCs w:val="15"/>
                <w:color w:val="auto"/>
              </w:rPr>
            </w:pPr>
          </w:p>
        </w:tc>
      </w:tr>
      <w:tr>
        <w:trPr>
          <w:trHeight w:val="186"/>
        </w:trPr>
        <w:tc>
          <w:tcPr>
            <w:tcW w:w="6560" w:type="dxa"/>
            <w:vAlign w:val="bottom"/>
          </w:tcPr>
          <w:p>
            <w:pPr>
              <w:ind w:left="200"/>
              <w:spacing w:after="0"/>
              <w:rPr>
                <w:sz w:val="20"/>
                <w:szCs w:val="20"/>
                <w:color w:val="auto"/>
              </w:rPr>
            </w:pPr>
            <w:r>
              <w:rPr>
                <w:rFonts w:ascii="Arial" w:cs="Arial" w:eastAsia="Arial" w:hAnsi="Arial"/>
                <w:sz w:val="16"/>
                <w:szCs w:val="16"/>
                <w:color w:val="auto"/>
              </w:rPr>
              <w:t>Comprehensive income attributable to noncontrolling interests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6"/>
                <w:szCs w:val="16"/>
                <w:color w:val="auto"/>
              </w:rPr>
            </w:pPr>
          </w:p>
        </w:tc>
      </w:tr>
      <w:tr>
        <w:trPr>
          <w:trHeight w:val="220"/>
        </w:trPr>
        <w:tc>
          <w:tcPr>
            <w:tcW w:w="6560" w:type="dxa"/>
            <w:vAlign w:val="bottom"/>
            <w:tcBorders>
              <w:bottom w:val="single" w:sz="8" w:color="CFF0FC"/>
            </w:tcBorders>
            <w:shd w:val="clear" w:color="auto" w:fill="CFF0FC"/>
          </w:tcPr>
          <w:p>
            <w:pPr>
              <w:ind w:left="20"/>
              <w:spacing w:after="0" w:line="167" w:lineRule="exact"/>
              <w:rPr>
                <w:sz w:val="20"/>
                <w:szCs w:val="20"/>
                <w:color w:val="auto"/>
              </w:rPr>
            </w:pPr>
            <w:r>
              <w:rPr>
                <w:rFonts w:ascii="Arial" w:cs="Arial" w:eastAsia="Arial" w:hAnsi="Arial"/>
                <w:sz w:val="16"/>
                <w:szCs w:val="16"/>
                <w:i w:val="1"/>
                <w:iCs w:val="1"/>
                <w:color w:val="auto"/>
              </w:rPr>
              <w:t>Comprehensive income attributable to SLB</w:t>
            </w:r>
          </w:p>
        </w:tc>
        <w:tc>
          <w:tcPr>
            <w:tcW w:w="300" w:type="dxa"/>
            <w:vAlign w:val="bottom"/>
            <w:tcBorders>
              <w:bottom w:val="single" w:sz="8" w:color="auto"/>
            </w:tcBorders>
            <w:shd w:val="clear" w:color="auto" w:fill="CFF0FC"/>
          </w:tcPr>
          <w:p>
            <w:pPr>
              <w:jc w:val="right"/>
              <w:ind w:right="120"/>
              <w:spacing w:after="0" w:line="167" w:lineRule="exact"/>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6"/>
                <w:szCs w:val="16"/>
                <w:b w:val="1"/>
                <w:bCs w:val="1"/>
                <w:color w:val="auto"/>
              </w:rPr>
              <w:t>3,765</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00"/>
              <w:spacing w:after="0" w:line="167"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6"/>
                <w:szCs w:val="16"/>
                <w:color w:val="auto"/>
              </w:rPr>
              <w:t>3,804</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6"/>
                <w:szCs w:val="16"/>
                <w:color w:val="auto"/>
              </w:rPr>
              <w:t>3,156</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5033645</wp:posOffset>
            </wp:positionH>
            <wp:positionV relativeFrom="paragraph">
              <wp:posOffset>-24765</wp:posOffset>
            </wp:positionV>
            <wp:extent cx="762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5033645</wp:posOffset>
            </wp:positionH>
            <wp:positionV relativeFrom="paragraph">
              <wp:posOffset>-7620</wp:posOffset>
            </wp:positionV>
            <wp:extent cx="762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6056630</wp:posOffset>
            </wp:positionH>
            <wp:positionV relativeFrom="paragraph">
              <wp:posOffset>-24765</wp:posOffset>
            </wp:positionV>
            <wp:extent cx="673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6056630</wp:posOffset>
            </wp:positionH>
            <wp:positionV relativeFrom="paragraph">
              <wp:posOffset>-7620</wp:posOffset>
            </wp:positionV>
            <wp:extent cx="673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-24765</wp:posOffset>
            </wp:positionV>
            <wp:extent cx="673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-7620</wp:posOffset>
            </wp:positionV>
            <wp:extent cx="673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the Notes to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0" w:name="page31"/>
    <w:bookmarkEnd w:id="30"/>
    <w:p>
      <w:pPr>
        <w:jc w:val="center"/>
        <w:ind w:right="40"/>
        <w:spacing w:after="0"/>
        <w:rPr>
          <w:sz w:val="20"/>
          <w:szCs w:val="20"/>
          <w:color w:val="auto"/>
        </w:rPr>
      </w:pPr>
      <w:r>
        <w:rPr>
          <w:rFonts w:ascii="Arial" w:cs="Arial" w:eastAsia="Arial" w:hAnsi="Arial"/>
          <w:sz w:val="16"/>
          <w:szCs w:val="16"/>
          <w:b w:val="1"/>
          <w:bCs w:val="1"/>
          <w:color w:val="auto"/>
        </w:rPr>
        <w:t>SCHLUMBERGER LIMITED AND SUBSIDIARIES</w:t>
      </w:r>
    </w:p>
    <w:p>
      <w:pPr>
        <w:spacing w:after="0" w:line="10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BALANCE SHEET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69"/>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4"/>
                <w:szCs w:val="24"/>
                <w:color w:val="auto"/>
              </w:rPr>
            </w:pPr>
          </w:p>
        </w:tc>
      </w:tr>
      <w:tr>
        <w:trPr>
          <w:trHeight w:val="180"/>
        </w:trPr>
        <w:tc>
          <w:tcPr>
            <w:tcW w:w="774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b w:val="1"/>
                <w:bCs w:val="1"/>
                <w:i w:val="1"/>
                <w:iCs w:val="1"/>
                <w:color w:val="auto"/>
              </w:rPr>
              <w:t>ASSETS</w:t>
            </w: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6"/>
        </w:trPr>
        <w:tc>
          <w:tcPr>
            <w:tcW w:w="7740" w:type="dxa"/>
            <w:vAlign w:val="bottom"/>
          </w:tcPr>
          <w:p>
            <w:pPr>
              <w:ind w:left="20"/>
              <w:spacing w:after="0"/>
              <w:rPr>
                <w:sz w:val="20"/>
                <w:szCs w:val="20"/>
                <w:color w:val="auto"/>
              </w:rPr>
            </w:pPr>
            <w:r>
              <w:rPr>
                <w:rFonts w:ascii="Arial" w:cs="Arial" w:eastAsia="Arial" w:hAnsi="Arial"/>
                <w:sz w:val="16"/>
                <w:szCs w:val="16"/>
                <w:i w:val="1"/>
                <w:iCs w:val="1"/>
                <w:color w:val="auto"/>
              </w:rPr>
              <w:t>Current Assets</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w:t>
            </w:r>
          </w:p>
        </w:tc>
        <w:tc>
          <w:tcPr>
            <w:tcW w:w="340" w:type="dxa"/>
            <w:vAlign w:val="bottom"/>
            <w:shd w:val="clear" w:color="auto" w:fill="CFF0FC"/>
          </w:tcPr>
          <w:p>
            <w:pPr>
              <w:jc w:val="right"/>
              <w:ind w:right="160"/>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3,544</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2,900</w:t>
            </w:r>
          </w:p>
        </w:tc>
        <w:tc>
          <w:tcPr>
            <w:tcW w:w="100" w:type="dxa"/>
            <w:vAlign w:val="bottom"/>
            <w:shd w:val="clear" w:color="auto" w:fill="CFF0FC"/>
          </w:tcPr>
          <w:p>
            <w:pPr>
              <w:spacing w:after="0"/>
              <w:rPr>
                <w:sz w:val="16"/>
                <w:szCs w:val="16"/>
                <w:color w:val="auto"/>
              </w:rPr>
            </w:pPr>
          </w:p>
        </w:tc>
      </w:tr>
      <w:tr>
        <w:trPr>
          <w:trHeight w:val="186"/>
        </w:trPr>
        <w:tc>
          <w:tcPr>
            <w:tcW w:w="774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1,125</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1,089</w:t>
            </w:r>
          </w:p>
        </w:tc>
        <w:tc>
          <w:tcPr>
            <w:tcW w:w="100" w:type="dxa"/>
            <w:vAlign w:val="bottom"/>
          </w:tcPr>
          <w:p>
            <w:pPr>
              <w:spacing w:after="0"/>
              <w:rPr>
                <w:sz w:val="16"/>
                <w:szCs w:val="16"/>
                <w:color w:val="auto"/>
              </w:rPr>
            </w:pPr>
          </w:p>
        </w:tc>
      </w:tr>
      <w:tr>
        <w:trPr>
          <w:trHeight w:val="186"/>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Receivables less allowance for doubtful accounts (2024 - $325; 2023 - $337)</w:t>
            </w: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8,011</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7,812</w:t>
            </w:r>
          </w:p>
        </w:tc>
        <w:tc>
          <w:tcPr>
            <w:tcW w:w="100" w:type="dxa"/>
            <w:vAlign w:val="bottom"/>
            <w:shd w:val="clear" w:color="auto" w:fill="CFF0FC"/>
          </w:tcPr>
          <w:p>
            <w:pPr>
              <w:spacing w:after="0"/>
              <w:rPr>
                <w:sz w:val="16"/>
                <w:szCs w:val="16"/>
                <w:color w:val="auto"/>
              </w:rPr>
            </w:pPr>
          </w:p>
        </w:tc>
      </w:tr>
      <w:tr>
        <w:trPr>
          <w:trHeight w:val="186"/>
        </w:trPr>
        <w:tc>
          <w:tcPr>
            <w:tcW w:w="774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4,375</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4,387</w:t>
            </w:r>
          </w:p>
        </w:tc>
        <w:tc>
          <w:tcPr>
            <w:tcW w:w="100" w:type="dxa"/>
            <w:vAlign w:val="bottom"/>
          </w:tcPr>
          <w:p>
            <w:pPr>
              <w:spacing w:after="0"/>
              <w:rPr>
                <w:sz w:val="16"/>
                <w:szCs w:val="16"/>
                <w:color w:val="auto"/>
              </w:rPr>
            </w:pPr>
          </w:p>
        </w:tc>
      </w:tr>
      <w:tr>
        <w:trPr>
          <w:trHeight w:val="186"/>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current assets</w:t>
            </w:r>
          </w:p>
        </w:tc>
        <w:tc>
          <w:tcPr>
            <w:tcW w:w="34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1,515</w:t>
            </w: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0"/>
        </w:trPr>
        <w:tc>
          <w:tcPr>
            <w:tcW w:w="7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18,570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Arial" w:cs="Arial" w:eastAsia="Arial" w:hAnsi="Arial"/>
                <w:sz w:val="16"/>
                <w:szCs w:val="16"/>
                <w:color w:val="auto"/>
              </w:rPr>
              <w:t>17,718</w:t>
            </w:r>
          </w:p>
        </w:tc>
        <w:tc>
          <w:tcPr>
            <w:tcW w:w="100" w:type="dxa"/>
            <w:vAlign w:val="bottom"/>
          </w:tcPr>
          <w:p>
            <w:pPr>
              <w:spacing w:after="0"/>
              <w:rPr>
                <w:sz w:val="15"/>
                <w:szCs w:val="15"/>
                <w:color w:val="auto"/>
              </w:rPr>
            </w:pPr>
          </w:p>
        </w:tc>
      </w:tr>
      <w:tr>
        <w:trPr>
          <w:trHeight w:val="186"/>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Investments in Affiliated Companies</w:t>
            </w: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1,635</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1,624</w:t>
            </w:r>
          </w:p>
        </w:tc>
        <w:tc>
          <w:tcPr>
            <w:tcW w:w="100" w:type="dxa"/>
            <w:vAlign w:val="bottom"/>
            <w:shd w:val="clear" w:color="auto" w:fill="CFF0FC"/>
          </w:tcPr>
          <w:p>
            <w:pPr>
              <w:spacing w:after="0"/>
              <w:rPr>
                <w:sz w:val="16"/>
                <w:szCs w:val="16"/>
                <w:color w:val="auto"/>
              </w:rPr>
            </w:pPr>
          </w:p>
        </w:tc>
      </w:tr>
      <w:tr>
        <w:trPr>
          <w:trHeight w:val="186"/>
        </w:trPr>
        <w:tc>
          <w:tcPr>
            <w:tcW w:w="7740" w:type="dxa"/>
            <w:vAlign w:val="bottom"/>
          </w:tcPr>
          <w:p>
            <w:pPr>
              <w:ind w:left="20"/>
              <w:spacing w:after="0"/>
              <w:rPr>
                <w:sz w:val="20"/>
                <w:szCs w:val="20"/>
                <w:color w:val="auto"/>
              </w:rPr>
            </w:pPr>
            <w:r>
              <w:rPr>
                <w:rFonts w:ascii="Arial" w:cs="Arial" w:eastAsia="Arial" w:hAnsi="Arial"/>
                <w:sz w:val="16"/>
                <w:szCs w:val="16"/>
                <w:i w:val="1"/>
                <w:iCs w:val="1"/>
                <w:color w:val="auto"/>
              </w:rPr>
              <w:t>Fixed Assets less accumulated depreciation</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7,359</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7,240</w:t>
            </w:r>
          </w:p>
        </w:tc>
        <w:tc>
          <w:tcPr>
            <w:tcW w:w="100" w:type="dxa"/>
            <w:vAlign w:val="bottom"/>
          </w:tcPr>
          <w:p>
            <w:pPr>
              <w:spacing w:after="0"/>
              <w:rPr>
                <w:sz w:val="16"/>
                <w:szCs w:val="16"/>
                <w:color w:val="auto"/>
              </w:rPr>
            </w:pPr>
          </w:p>
        </w:tc>
      </w:tr>
      <w:tr>
        <w:trPr>
          <w:trHeight w:val="186"/>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Goodwill</w:t>
            </w: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14,593</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14,084</w:t>
            </w:r>
          </w:p>
        </w:tc>
        <w:tc>
          <w:tcPr>
            <w:tcW w:w="100" w:type="dxa"/>
            <w:vAlign w:val="bottom"/>
            <w:shd w:val="clear" w:color="auto" w:fill="CFF0FC"/>
          </w:tcPr>
          <w:p>
            <w:pPr>
              <w:spacing w:after="0"/>
              <w:rPr>
                <w:sz w:val="16"/>
                <w:szCs w:val="16"/>
                <w:color w:val="auto"/>
              </w:rPr>
            </w:pPr>
          </w:p>
        </w:tc>
      </w:tr>
      <w:tr>
        <w:trPr>
          <w:trHeight w:val="186"/>
        </w:trPr>
        <w:tc>
          <w:tcPr>
            <w:tcW w:w="7740" w:type="dxa"/>
            <w:vAlign w:val="bottom"/>
          </w:tcPr>
          <w:p>
            <w:pPr>
              <w:ind w:left="20"/>
              <w:spacing w:after="0"/>
              <w:rPr>
                <w:sz w:val="20"/>
                <w:szCs w:val="20"/>
                <w:color w:val="auto"/>
              </w:rPr>
            </w:pPr>
            <w:r>
              <w:rPr>
                <w:rFonts w:ascii="Arial" w:cs="Arial" w:eastAsia="Arial" w:hAnsi="Arial"/>
                <w:sz w:val="16"/>
                <w:szCs w:val="16"/>
                <w:i w:val="1"/>
                <w:iCs w:val="1"/>
                <w:color w:val="auto"/>
              </w:rPr>
              <w:t>Intangible Assets</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3,012</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3,239</w:t>
            </w:r>
          </w:p>
        </w:tc>
        <w:tc>
          <w:tcPr>
            <w:tcW w:w="100" w:type="dxa"/>
            <w:vAlign w:val="bottom"/>
          </w:tcPr>
          <w:p>
            <w:pPr>
              <w:spacing w:after="0"/>
              <w:rPr>
                <w:sz w:val="16"/>
                <w:szCs w:val="16"/>
                <w:color w:val="auto"/>
              </w:rPr>
            </w:pPr>
          </w:p>
        </w:tc>
      </w:tr>
      <w:tr>
        <w:trPr>
          <w:trHeight w:val="18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i w:val="1"/>
                <w:iCs w:val="1"/>
                <w:color w:val="auto"/>
              </w:rPr>
              <w:t>Other Assets</w:t>
            </w:r>
          </w:p>
        </w:tc>
        <w:tc>
          <w:tcPr>
            <w:tcW w:w="34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3,766</w:t>
            </w: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4,052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0"/>
        </w:trPr>
        <w:tc>
          <w:tcPr>
            <w:tcW w:w="7740" w:type="dxa"/>
            <w:vAlign w:val="bottom"/>
          </w:tcPr>
          <w:p>
            <w:pPr>
              <w:spacing w:after="0"/>
              <w:rPr>
                <w:sz w:val="15"/>
                <w:szCs w:val="15"/>
                <w:color w:val="auto"/>
              </w:rPr>
            </w:pPr>
          </w:p>
        </w:tc>
        <w:tc>
          <w:tcPr>
            <w:tcW w:w="340" w:type="dxa"/>
            <w:vAlign w:val="bottom"/>
            <w:tcBorders>
              <w:bottom w:val="single" w:sz="8" w:color="auto"/>
            </w:tcBorders>
          </w:tcPr>
          <w:p>
            <w:pPr>
              <w:jc w:val="right"/>
              <w:ind w:right="160"/>
              <w:spacing w:after="0" w:line="180" w:lineRule="exact"/>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48,935</w:t>
            </w:r>
          </w:p>
        </w:tc>
        <w:tc>
          <w:tcPr>
            <w:tcW w:w="280" w:type="dxa"/>
            <w:vAlign w:val="bottom"/>
          </w:tcPr>
          <w:p>
            <w:pPr>
              <w:spacing w:after="0"/>
              <w:rPr>
                <w:sz w:val="15"/>
                <w:szCs w:val="15"/>
                <w:color w:val="auto"/>
              </w:rPr>
            </w:pPr>
          </w:p>
        </w:tc>
        <w:tc>
          <w:tcPr>
            <w:tcW w:w="240" w:type="dxa"/>
            <w:vAlign w:val="bottom"/>
            <w:tcBorders>
              <w:bottom w:val="single" w:sz="8" w:color="auto"/>
            </w:tcBorders>
          </w:tcPr>
          <w:p>
            <w:pPr>
              <w:jc w:val="right"/>
              <w:ind w:right="60"/>
              <w:spacing w:after="0" w:line="180"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47,957</w:t>
            </w:r>
          </w:p>
        </w:tc>
        <w:tc>
          <w:tcPr>
            <w:tcW w:w="100" w:type="dxa"/>
            <w:vAlign w:val="bottom"/>
          </w:tcPr>
          <w:p>
            <w:pPr>
              <w:spacing w:after="0"/>
              <w:rPr>
                <w:sz w:val="15"/>
                <w:szCs w:val="15"/>
                <w:color w:val="auto"/>
              </w:rPr>
            </w:pPr>
          </w:p>
        </w:tc>
      </w:tr>
      <w:tr>
        <w:trPr>
          <w:trHeight w:val="20"/>
        </w:trPr>
        <w:tc>
          <w:tcPr>
            <w:tcW w:w="7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740" w:type="dxa"/>
            <w:vAlign w:val="bottom"/>
            <w:shd w:val="clear" w:color="auto" w:fill="CFF0FC"/>
          </w:tcPr>
          <w:p>
            <w:pPr>
              <w:ind w:left="20"/>
              <w:spacing w:after="0" w:line="166" w:lineRule="exact"/>
              <w:rPr>
                <w:sz w:val="20"/>
                <w:szCs w:val="20"/>
                <w:color w:val="auto"/>
              </w:rPr>
            </w:pPr>
            <w:r>
              <w:rPr>
                <w:rFonts w:ascii="Arial" w:cs="Arial" w:eastAsia="Arial" w:hAnsi="Arial"/>
                <w:sz w:val="16"/>
                <w:szCs w:val="16"/>
                <w:b w:val="1"/>
                <w:bCs w:val="1"/>
                <w:i w:val="1"/>
                <w:iCs w:val="1"/>
                <w:color w:val="auto"/>
              </w:rPr>
              <w:t>LIABILITIES AND EQUITY</w:t>
            </w:r>
          </w:p>
        </w:tc>
        <w:tc>
          <w:tcPr>
            <w:tcW w:w="3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6"/>
        </w:trPr>
        <w:tc>
          <w:tcPr>
            <w:tcW w:w="7740" w:type="dxa"/>
            <w:vAlign w:val="bottom"/>
          </w:tcPr>
          <w:p>
            <w:pPr>
              <w:ind w:left="20"/>
              <w:spacing w:after="0"/>
              <w:rPr>
                <w:sz w:val="20"/>
                <w:szCs w:val="20"/>
                <w:color w:val="auto"/>
              </w:rPr>
            </w:pPr>
            <w:r>
              <w:rPr>
                <w:rFonts w:ascii="Arial" w:cs="Arial" w:eastAsia="Arial" w:hAnsi="Arial"/>
                <w:sz w:val="16"/>
                <w:szCs w:val="16"/>
                <w:i w:val="1"/>
                <w:iCs w:val="1"/>
                <w:color w:val="auto"/>
              </w:rPr>
              <w:t>Current Liabilities</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10,375</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10,904</w:t>
            </w:r>
          </w:p>
        </w:tc>
        <w:tc>
          <w:tcPr>
            <w:tcW w:w="100" w:type="dxa"/>
            <w:vAlign w:val="bottom"/>
            <w:shd w:val="clear" w:color="auto" w:fill="CFF0FC"/>
          </w:tcPr>
          <w:p>
            <w:pPr>
              <w:spacing w:after="0"/>
              <w:rPr>
                <w:sz w:val="16"/>
                <w:szCs w:val="16"/>
                <w:color w:val="auto"/>
              </w:rPr>
            </w:pPr>
          </w:p>
        </w:tc>
      </w:tr>
      <w:tr>
        <w:trPr>
          <w:trHeight w:val="186"/>
        </w:trPr>
        <w:tc>
          <w:tcPr>
            <w:tcW w:w="7740" w:type="dxa"/>
            <w:vAlign w:val="bottom"/>
          </w:tcPr>
          <w:p>
            <w:pPr>
              <w:ind w:left="200"/>
              <w:spacing w:after="0"/>
              <w:rPr>
                <w:sz w:val="20"/>
                <w:szCs w:val="20"/>
                <w:color w:val="auto"/>
              </w:rPr>
            </w:pPr>
            <w:r>
              <w:rPr>
                <w:rFonts w:ascii="Arial" w:cs="Arial" w:eastAsia="Arial" w:hAnsi="Arial"/>
                <w:sz w:val="16"/>
                <w:szCs w:val="16"/>
                <w:color w:val="auto"/>
              </w:rPr>
              <w:t>Estimated liability for taxes on income</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982</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16"/>
                <w:szCs w:val="16"/>
                <w:color w:val="auto"/>
              </w:rPr>
            </w:pPr>
          </w:p>
        </w:tc>
      </w:tr>
      <w:tr>
        <w:trPr>
          <w:trHeight w:val="186"/>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Short-term borrowings and current portion of long-term debt</w:t>
            </w: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1,051</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1,123</w:t>
            </w:r>
          </w:p>
        </w:tc>
        <w:tc>
          <w:tcPr>
            <w:tcW w:w="100" w:type="dxa"/>
            <w:vAlign w:val="bottom"/>
            <w:shd w:val="clear" w:color="auto" w:fill="CFF0FC"/>
          </w:tcPr>
          <w:p>
            <w:pPr>
              <w:spacing w:after="0"/>
              <w:rPr>
                <w:sz w:val="16"/>
                <w:szCs w:val="16"/>
                <w:color w:val="auto"/>
              </w:rPr>
            </w:pPr>
          </w:p>
        </w:tc>
      </w:tr>
      <w:tr>
        <w:trPr>
          <w:trHeight w:val="186"/>
        </w:trPr>
        <w:tc>
          <w:tcPr>
            <w:tcW w:w="7740" w:type="dxa"/>
            <w:vAlign w:val="bottom"/>
          </w:tcPr>
          <w:p>
            <w:pPr>
              <w:ind w:left="200"/>
              <w:spacing w:after="0"/>
              <w:rPr>
                <w:sz w:val="20"/>
                <w:szCs w:val="20"/>
                <w:color w:val="auto"/>
              </w:rPr>
            </w:pPr>
            <w:r>
              <w:rPr>
                <w:rFonts w:ascii="Arial" w:cs="Arial" w:eastAsia="Arial" w:hAnsi="Arial"/>
                <w:sz w:val="16"/>
                <w:szCs w:val="16"/>
                <w:color w:val="auto"/>
              </w:rPr>
              <w:t>Dividends payable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403</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6"/>
                <w:szCs w:val="16"/>
                <w:color w:val="auto"/>
              </w:rPr>
            </w:pPr>
          </w:p>
        </w:tc>
      </w:tr>
      <w:tr>
        <w:trPr>
          <w:trHeight w:val="180"/>
        </w:trPr>
        <w:tc>
          <w:tcPr>
            <w:tcW w:w="77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12,811</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13,395</w:t>
            </w:r>
          </w:p>
        </w:tc>
        <w:tc>
          <w:tcPr>
            <w:tcW w:w="100" w:type="dxa"/>
            <w:vAlign w:val="bottom"/>
            <w:shd w:val="clear" w:color="auto" w:fill="CFF0FC"/>
          </w:tcPr>
          <w:p>
            <w:pPr>
              <w:spacing w:after="0"/>
              <w:rPr>
                <w:sz w:val="15"/>
                <w:szCs w:val="15"/>
                <w:color w:val="auto"/>
              </w:rPr>
            </w:pPr>
          </w:p>
        </w:tc>
      </w:tr>
      <w:tr>
        <w:trPr>
          <w:trHeight w:val="186"/>
        </w:trPr>
        <w:tc>
          <w:tcPr>
            <w:tcW w:w="7740" w:type="dxa"/>
            <w:vAlign w:val="bottom"/>
          </w:tcPr>
          <w:p>
            <w:pPr>
              <w:ind w:left="20"/>
              <w:spacing w:after="0"/>
              <w:rPr>
                <w:sz w:val="20"/>
                <w:szCs w:val="20"/>
                <w:color w:val="auto"/>
              </w:rPr>
            </w:pPr>
            <w:r>
              <w:rPr>
                <w:rFonts w:ascii="Arial" w:cs="Arial" w:eastAsia="Arial" w:hAnsi="Arial"/>
                <w:sz w:val="16"/>
                <w:szCs w:val="16"/>
                <w:i w:val="1"/>
                <w:iCs w:val="1"/>
                <w:color w:val="auto"/>
              </w:rPr>
              <w:t>Long-term Debt</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11,023</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10,842</w:t>
            </w:r>
          </w:p>
        </w:tc>
        <w:tc>
          <w:tcPr>
            <w:tcW w:w="100" w:type="dxa"/>
            <w:vAlign w:val="bottom"/>
          </w:tcPr>
          <w:p>
            <w:pPr>
              <w:spacing w:after="0"/>
              <w:rPr>
                <w:sz w:val="16"/>
                <w:szCs w:val="16"/>
                <w:color w:val="auto"/>
              </w:rPr>
            </w:pPr>
          </w:p>
        </w:tc>
      </w:tr>
      <w:tr>
        <w:trPr>
          <w:trHeight w:val="186"/>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Postretirement Benefits</w:t>
            </w: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512</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FF0FC"/>
          </w:tcPr>
          <w:p>
            <w:pPr>
              <w:spacing w:after="0"/>
              <w:rPr>
                <w:sz w:val="16"/>
                <w:szCs w:val="16"/>
                <w:color w:val="auto"/>
              </w:rPr>
            </w:pPr>
          </w:p>
        </w:tc>
      </w:tr>
      <w:tr>
        <w:trPr>
          <w:trHeight w:val="186"/>
        </w:trPr>
        <w:tc>
          <w:tcPr>
            <w:tcW w:w="7740" w:type="dxa"/>
            <w:vAlign w:val="bottom"/>
          </w:tcPr>
          <w:p>
            <w:pPr>
              <w:ind w:left="20"/>
              <w:spacing w:after="0"/>
              <w:rPr>
                <w:sz w:val="20"/>
                <w:szCs w:val="20"/>
                <w:color w:val="auto"/>
              </w:rPr>
            </w:pPr>
            <w:r>
              <w:rPr>
                <w:rFonts w:ascii="Arial" w:cs="Arial" w:eastAsia="Arial" w:hAnsi="Arial"/>
                <w:sz w:val="16"/>
                <w:szCs w:val="16"/>
                <w:i w:val="1"/>
                <w:iCs w:val="1"/>
                <w:color w:val="auto"/>
              </w:rPr>
              <w:t>Deferred Taxes</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67</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6"/>
                <w:szCs w:val="16"/>
                <w:color w:val="auto"/>
              </w:rPr>
            </w:pPr>
          </w:p>
        </w:tc>
      </w:tr>
      <w:tr>
        <w:trPr>
          <w:trHeight w:val="18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i w:val="1"/>
                <w:iCs w:val="1"/>
                <w:color w:val="auto"/>
              </w:rPr>
              <w:t>Other Liabilities</w:t>
            </w:r>
          </w:p>
        </w:tc>
        <w:tc>
          <w:tcPr>
            <w:tcW w:w="34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2,172</w:t>
            </w: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0"/>
        </w:trPr>
        <w:tc>
          <w:tcPr>
            <w:tcW w:w="77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26,585</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26,598</w:t>
            </w:r>
          </w:p>
        </w:tc>
        <w:tc>
          <w:tcPr>
            <w:tcW w:w="100" w:type="dxa"/>
            <w:vAlign w:val="bottom"/>
          </w:tcPr>
          <w:p>
            <w:pPr>
              <w:spacing w:after="0"/>
              <w:rPr>
                <w:sz w:val="15"/>
                <w:szCs w:val="15"/>
                <w:color w:val="auto"/>
              </w:rPr>
            </w:pPr>
          </w:p>
        </w:tc>
      </w:tr>
      <w:tr>
        <w:trPr>
          <w:trHeight w:val="180"/>
        </w:trPr>
        <w:tc>
          <w:tcPr>
            <w:tcW w:w="774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i w:val="1"/>
                <w:iCs w:val="1"/>
                <w:color w:val="auto"/>
              </w:rPr>
              <w:t>Equity</w:t>
            </w: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6"/>
        </w:trPr>
        <w:tc>
          <w:tcPr>
            <w:tcW w:w="774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11,458</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11,624</w:t>
            </w:r>
          </w:p>
        </w:tc>
        <w:tc>
          <w:tcPr>
            <w:tcW w:w="100" w:type="dxa"/>
            <w:vAlign w:val="bottom"/>
          </w:tcPr>
          <w:p>
            <w:pPr>
              <w:spacing w:after="0"/>
              <w:rPr>
                <w:sz w:val="16"/>
                <w:szCs w:val="16"/>
                <w:color w:val="auto"/>
              </w:rPr>
            </w:pPr>
          </w:p>
        </w:tc>
      </w:tr>
      <w:tr>
        <w:trPr>
          <w:trHeight w:val="186"/>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Treasury stock</w:t>
            </w:r>
          </w:p>
        </w:tc>
        <w:tc>
          <w:tcPr>
            <w:tcW w:w="34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(1,773 )</w:t>
            </w:r>
          </w:p>
        </w:tc>
        <w:tc>
          <w:tcPr>
            <w:tcW w:w="24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(678 )</w:t>
            </w:r>
          </w:p>
        </w:tc>
      </w:tr>
      <w:tr>
        <w:trPr>
          <w:trHeight w:val="186"/>
        </w:trPr>
        <w:tc>
          <w:tcPr>
            <w:tcW w:w="774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16,395</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13,497</w:t>
            </w:r>
          </w:p>
        </w:tc>
        <w:tc>
          <w:tcPr>
            <w:tcW w:w="100" w:type="dxa"/>
            <w:vAlign w:val="bottom"/>
          </w:tcPr>
          <w:p>
            <w:pPr>
              <w:spacing w:after="0"/>
              <w:rPr>
                <w:sz w:val="16"/>
                <w:szCs w:val="16"/>
                <w:color w:val="auto"/>
              </w:rPr>
            </w:pPr>
          </w:p>
        </w:tc>
      </w:tr>
      <w:tr>
        <w:trPr>
          <w:trHeight w:val="186"/>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(4,950 )</w:t>
            </w:r>
          </w:p>
        </w:tc>
        <w:tc>
          <w:tcPr>
            <w:tcW w:w="24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(4,254 )</w:t>
            </w:r>
          </w:p>
        </w:tc>
      </w:tr>
      <w:tr>
        <w:trPr>
          <w:trHeight w:val="180"/>
        </w:trPr>
        <w:tc>
          <w:tcPr>
            <w:tcW w:w="7740" w:type="dxa"/>
            <w:vAlign w:val="bottom"/>
            <w:tcBorders>
              <w:top w:val="single" w:sz="8" w:color="CFF0FC"/>
            </w:tcBorders>
          </w:tcPr>
          <w:p>
            <w:pPr>
              <w:ind w:left="200"/>
              <w:spacing w:after="0" w:line="180" w:lineRule="exact"/>
              <w:rPr>
                <w:sz w:val="20"/>
                <w:szCs w:val="20"/>
                <w:color w:val="auto"/>
              </w:rPr>
            </w:pPr>
            <w:r>
              <w:rPr>
                <w:rFonts w:ascii="Arial" w:cs="Arial" w:eastAsia="Arial" w:hAnsi="Arial"/>
                <w:sz w:val="16"/>
                <w:szCs w:val="16"/>
                <w:color w:val="auto"/>
              </w:rPr>
              <w:t>SLB stockholders' equity</w:t>
            </w: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21,130</w:t>
            </w:r>
          </w:p>
        </w:tc>
        <w:tc>
          <w:tcPr>
            <w:tcW w:w="28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20,189</w:t>
            </w:r>
          </w:p>
        </w:tc>
        <w:tc>
          <w:tcPr>
            <w:tcW w:w="100" w:type="dxa"/>
            <w:vAlign w:val="bottom"/>
            <w:tcBorders>
              <w:top w:val="single" w:sz="8" w:color="CFF0FC"/>
            </w:tcBorders>
          </w:tcPr>
          <w:p>
            <w:pPr>
              <w:spacing w:after="0"/>
              <w:rPr>
                <w:sz w:val="15"/>
                <w:szCs w:val="15"/>
                <w:color w:val="auto"/>
              </w:rPr>
            </w:pPr>
          </w:p>
        </w:tc>
      </w:tr>
      <w:tr>
        <w:trPr>
          <w:trHeight w:val="186"/>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1,220</w:t>
            </w: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0"/>
        </w:trPr>
        <w:tc>
          <w:tcPr>
            <w:tcW w:w="77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22,350</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21,359</w:t>
            </w:r>
          </w:p>
        </w:tc>
        <w:tc>
          <w:tcPr>
            <w:tcW w:w="100" w:type="dxa"/>
            <w:vAlign w:val="bottom"/>
          </w:tcPr>
          <w:p>
            <w:pPr>
              <w:spacing w:after="0"/>
              <w:rPr>
                <w:sz w:val="15"/>
                <w:szCs w:val="15"/>
                <w:color w:val="auto"/>
              </w:rPr>
            </w:pPr>
          </w:p>
        </w:tc>
      </w:tr>
      <w:tr>
        <w:trPr>
          <w:trHeight w:val="220"/>
        </w:trPr>
        <w:tc>
          <w:tcPr>
            <w:tcW w:w="77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60"/>
              <w:spacing w:after="0" w:line="180" w:lineRule="exact"/>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48,935</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47,957</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-3431540</wp:posOffset>
            </wp:positionV>
            <wp:extent cx="673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-3431540</wp:posOffset>
            </wp:positionV>
            <wp:extent cx="6731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-2712720</wp:posOffset>
            </wp:positionV>
            <wp:extent cx="673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-2712720</wp:posOffset>
            </wp:positionV>
            <wp:extent cx="673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-1250315</wp:posOffset>
            </wp:positionV>
            <wp:extent cx="673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-1250315</wp:posOffset>
            </wp:positionV>
            <wp:extent cx="673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-523240</wp:posOffset>
            </wp:positionV>
            <wp:extent cx="673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-523240</wp:posOffset>
            </wp:positionV>
            <wp:extent cx="673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-278130</wp:posOffset>
            </wp:positionV>
            <wp:extent cx="673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-278130</wp:posOffset>
            </wp:positionV>
            <wp:extent cx="673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73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73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-24765</wp:posOffset>
            </wp:positionV>
            <wp:extent cx="673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-7620</wp:posOffset>
            </wp:positionV>
            <wp:extent cx="673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the Notes to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1" w:name="page32"/>
    <w:bookmarkEnd w:id="31"/>
    <w:p>
      <w:pPr>
        <w:ind w:left="3800"/>
        <w:spacing w:after="0"/>
        <w:rPr>
          <w:sz w:val="20"/>
          <w:szCs w:val="20"/>
          <w:color w:val="auto"/>
        </w:rPr>
      </w:pPr>
      <w:r>
        <w:rPr>
          <w:rFonts w:ascii="Arial" w:cs="Arial" w:eastAsia="Arial" w:hAnsi="Arial"/>
          <w:sz w:val="16"/>
          <w:szCs w:val="16"/>
          <w:b w:val="1"/>
          <w:bCs w:val="1"/>
          <w:color w:val="auto"/>
        </w:rPr>
        <w:t>SCHLUMBERGER LIMITED AND SUBSIDIARIES</w:t>
      </w:r>
    </w:p>
    <w:p>
      <w:pPr>
        <w:spacing w:after="0" w:line="109"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CONSOLIDATED STATEMENT OF CASH FLOWS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i w:val="1"/>
                <w:iCs w:val="1"/>
                <w:color w:val="auto"/>
              </w:rPr>
              <w:t>(Stated in millions)</w:t>
            </w:r>
          </w:p>
        </w:tc>
      </w:tr>
      <w:tr>
        <w:trPr>
          <w:trHeight w:val="302"/>
        </w:trPr>
        <w:tc>
          <w:tcPr>
            <w:tcW w:w="690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2023</w:t>
            </w: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24"/>
                <w:szCs w:val="24"/>
                <w:color w:val="auto"/>
              </w:rPr>
            </w:pPr>
          </w:p>
        </w:tc>
      </w:tr>
      <w:tr>
        <w:trPr>
          <w:trHeight w:val="153"/>
        </w:trPr>
        <w:tc>
          <w:tcPr>
            <w:tcW w:w="690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Cash flows from operating activities:</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0"/>
        </w:trPr>
        <w:tc>
          <w:tcPr>
            <w:tcW w:w="6900" w:type="dxa"/>
            <w:vAlign w:val="bottom"/>
          </w:tcPr>
          <w:p>
            <w:pPr>
              <w:ind w:left="200"/>
              <w:spacing w:after="0" w:line="160" w:lineRule="exact"/>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9"/>
              <w:spacing w:after="0" w:line="160"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4,579</w:t>
            </w:r>
          </w:p>
        </w:tc>
        <w:tc>
          <w:tcPr>
            <w:tcW w:w="280" w:type="dxa"/>
            <w:vAlign w:val="bottom"/>
          </w:tcPr>
          <w:p>
            <w:pPr>
              <w:spacing w:after="0"/>
              <w:rPr>
                <w:sz w:val="13"/>
                <w:szCs w:val="13"/>
                <w:color w:val="auto"/>
              </w:rPr>
            </w:pPr>
          </w:p>
        </w:tc>
        <w:tc>
          <w:tcPr>
            <w:tcW w:w="260" w:type="dxa"/>
            <w:vAlign w:val="bottom"/>
          </w:tcPr>
          <w:p>
            <w:pPr>
              <w:jc w:val="right"/>
              <w:ind w:right="109"/>
              <w:spacing w:after="0" w:line="160"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60" w:lineRule="exact"/>
              <w:rPr>
                <w:sz w:val="20"/>
                <w:szCs w:val="20"/>
                <w:color w:val="auto"/>
              </w:rPr>
            </w:pPr>
            <w:r>
              <w:rPr>
                <w:rFonts w:ascii="Arial" w:cs="Arial" w:eastAsia="Arial" w:hAnsi="Arial"/>
                <w:sz w:val="14"/>
                <w:szCs w:val="14"/>
                <w:color w:val="auto"/>
              </w:rPr>
              <w:t>4,275</w:t>
            </w:r>
          </w:p>
        </w:tc>
        <w:tc>
          <w:tcPr>
            <w:tcW w:w="260" w:type="dxa"/>
            <w:vAlign w:val="bottom"/>
          </w:tcPr>
          <w:p>
            <w:pPr>
              <w:spacing w:after="0"/>
              <w:rPr>
                <w:sz w:val="13"/>
                <w:szCs w:val="13"/>
                <w:color w:val="auto"/>
              </w:rPr>
            </w:pPr>
          </w:p>
        </w:tc>
        <w:tc>
          <w:tcPr>
            <w:tcW w:w="260" w:type="dxa"/>
            <w:vAlign w:val="bottom"/>
          </w:tcPr>
          <w:p>
            <w:pPr>
              <w:spacing w:after="0" w:line="160"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60" w:lineRule="exact"/>
              <w:rPr>
                <w:sz w:val="20"/>
                <w:szCs w:val="20"/>
                <w:color w:val="auto"/>
              </w:rPr>
            </w:pPr>
            <w:r>
              <w:rPr>
                <w:rFonts w:ascii="Arial" w:cs="Arial" w:eastAsia="Arial" w:hAnsi="Arial"/>
                <w:sz w:val="14"/>
                <w:szCs w:val="14"/>
                <w:color w:val="auto"/>
              </w:rPr>
              <w:t>3,492</w:t>
            </w:r>
          </w:p>
        </w:tc>
        <w:tc>
          <w:tcPr>
            <w:tcW w:w="100" w:type="dxa"/>
            <w:vAlign w:val="bottom"/>
          </w:tcPr>
          <w:p>
            <w:pPr>
              <w:spacing w:after="0"/>
              <w:rPr>
                <w:sz w:val="13"/>
                <w:szCs w:val="13"/>
                <w:color w:val="auto"/>
              </w:rPr>
            </w:pPr>
          </w:p>
        </w:tc>
      </w:tr>
      <w:tr>
        <w:trPr>
          <w:trHeight w:val="160"/>
        </w:trPr>
        <w:tc>
          <w:tcPr>
            <w:tcW w:w="6900" w:type="dxa"/>
            <w:vAlign w:val="bottom"/>
            <w:shd w:val="clear" w:color="auto" w:fill="CFF0FC"/>
          </w:tcPr>
          <w:p>
            <w:pPr>
              <w:ind w:left="200"/>
              <w:spacing w:after="0" w:line="160" w:lineRule="exact"/>
              <w:rPr>
                <w:sz w:val="20"/>
                <w:szCs w:val="20"/>
                <w:color w:val="auto"/>
              </w:rPr>
            </w:pPr>
            <w:r>
              <w:rPr>
                <w:rFonts w:ascii="Arial" w:cs="Arial" w:eastAsia="Arial" w:hAnsi="Arial"/>
                <w:sz w:val="14"/>
                <w:szCs w:val="14"/>
                <w:color w:val="auto"/>
              </w:rPr>
              <w:t>Adjustments to reconcile net income to cash provided by operating activities:</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0"/>
        </w:trPr>
        <w:tc>
          <w:tcPr>
            <w:tcW w:w="6900" w:type="dxa"/>
            <w:vAlign w:val="bottom"/>
          </w:tcPr>
          <w:p>
            <w:pPr>
              <w:ind w:left="460"/>
              <w:spacing w:after="0" w:line="160" w:lineRule="exact"/>
              <w:rPr>
                <w:sz w:val="20"/>
                <w:szCs w:val="20"/>
                <w:color w:val="auto"/>
              </w:rPr>
            </w:pPr>
            <w:r>
              <w:rPr>
                <w:rFonts w:ascii="Arial" w:cs="Arial" w:eastAsia="Arial" w:hAnsi="Arial"/>
                <w:sz w:val="14"/>
                <w:szCs w:val="14"/>
                <w:color w:val="auto"/>
              </w:rPr>
              <w:t>Charges and credits</w:t>
            </w:r>
          </w:p>
        </w:tc>
        <w:tc>
          <w:tcPr>
            <w:tcW w:w="280" w:type="dxa"/>
            <w:vAlign w:val="bottom"/>
          </w:tcPr>
          <w:p>
            <w:pPr>
              <w:spacing w:after="0"/>
              <w:rPr>
                <w:sz w:val="13"/>
                <w:szCs w:val="13"/>
                <w:color w:val="auto"/>
              </w:rPr>
            </w:pPr>
          </w:p>
        </w:tc>
        <w:tc>
          <w:tcPr>
            <w:tcW w:w="98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541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4"/>
                <w:szCs w:val="14"/>
                <w:color w:val="auto"/>
              </w:rPr>
              <w:t>110</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right"/>
              <w:ind w:right="40"/>
              <w:spacing w:after="0" w:line="160" w:lineRule="exact"/>
              <w:rPr>
                <w:sz w:val="20"/>
                <w:szCs w:val="20"/>
                <w:color w:val="auto"/>
              </w:rPr>
            </w:pPr>
            <w:r>
              <w:rPr>
                <w:rFonts w:ascii="Arial" w:cs="Arial" w:eastAsia="Arial" w:hAnsi="Arial"/>
                <w:sz w:val="14"/>
                <w:szCs w:val="14"/>
                <w:color w:val="auto"/>
              </w:rPr>
              <w:t>(347 )</w:t>
            </w:r>
          </w:p>
        </w:tc>
      </w:tr>
      <w:tr>
        <w:trPr>
          <w:trHeight w:val="160"/>
        </w:trPr>
        <w:tc>
          <w:tcPr>
            <w:tcW w:w="6900" w:type="dxa"/>
            <w:vAlign w:val="bottom"/>
            <w:shd w:val="clear" w:color="auto" w:fill="CFF0FC"/>
          </w:tcPr>
          <w:p>
            <w:pPr>
              <w:ind w:left="460"/>
              <w:spacing w:after="0" w:line="160"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18"/>
                <w:szCs w:val="18"/>
                <w:color w:val="auto"/>
                <w:vertAlign w:val="superscript"/>
              </w:rPr>
              <w:t>(1)</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b w:val="1"/>
                <w:bCs w:val="1"/>
                <w:color w:val="auto"/>
              </w:rPr>
              <w:t>2,519</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color w:val="auto"/>
              </w:rPr>
              <w:t>2,312</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color w:val="auto"/>
              </w:rPr>
              <w:t>2,147</w:t>
            </w:r>
          </w:p>
        </w:tc>
        <w:tc>
          <w:tcPr>
            <w:tcW w:w="100" w:type="dxa"/>
            <w:vAlign w:val="bottom"/>
            <w:shd w:val="clear" w:color="auto" w:fill="CFF0FC"/>
          </w:tcPr>
          <w:p>
            <w:pPr>
              <w:spacing w:after="0"/>
              <w:rPr>
                <w:sz w:val="13"/>
                <w:szCs w:val="13"/>
                <w:color w:val="auto"/>
              </w:rPr>
            </w:pPr>
          </w:p>
        </w:tc>
      </w:tr>
      <w:tr>
        <w:trPr>
          <w:trHeight w:val="160"/>
        </w:trPr>
        <w:tc>
          <w:tcPr>
            <w:tcW w:w="6900" w:type="dxa"/>
            <w:vAlign w:val="bottom"/>
          </w:tcPr>
          <w:p>
            <w:pPr>
              <w:ind w:left="460"/>
              <w:spacing w:after="0" w:line="160" w:lineRule="exact"/>
              <w:rPr>
                <w:sz w:val="20"/>
                <w:szCs w:val="20"/>
                <w:color w:val="auto"/>
              </w:rPr>
            </w:pPr>
            <w:r>
              <w:rPr>
                <w:rFonts w:ascii="Arial" w:cs="Arial" w:eastAsia="Arial" w:hAnsi="Arial"/>
                <w:sz w:val="14"/>
                <w:szCs w:val="14"/>
                <w:color w:val="auto"/>
              </w:rPr>
              <w:t>Deferred taxes</w:t>
            </w:r>
          </w:p>
        </w:tc>
        <w:tc>
          <w:tcPr>
            <w:tcW w:w="280" w:type="dxa"/>
            <w:vAlign w:val="bottom"/>
          </w:tcPr>
          <w:p>
            <w:pPr>
              <w:spacing w:after="0"/>
              <w:rPr>
                <w:sz w:val="13"/>
                <w:szCs w:val="13"/>
                <w:color w:val="auto"/>
              </w:rPr>
            </w:pPr>
          </w:p>
        </w:tc>
        <w:tc>
          <w:tcPr>
            <w:tcW w:w="1260" w:type="dxa"/>
            <w:vAlign w:val="bottom"/>
            <w:gridSpan w:val="2"/>
          </w:tcPr>
          <w:p>
            <w:pPr>
              <w:jc w:val="right"/>
              <w:ind w:right="220"/>
              <w:spacing w:after="0" w:line="160" w:lineRule="exact"/>
              <w:rPr>
                <w:sz w:val="20"/>
                <w:szCs w:val="20"/>
                <w:color w:val="auto"/>
              </w:rPr>
            </w:pPr>
            <w:r>
              <w:rPr>
                <w:rFonts w:ascii="Arial" w:cs="Arial" w:eastAsia="Arial" w:hAnsi="Arial"/>
                <w:sz w:val="14"/>
                <w:szCs w:val="14"/>
                <w:b w:val="1"/>
                <w:bCs w:val="1"/>
                <w:color w:val="auto"/>
              </w:rPr>
              <w:t>(41 )</w:t>
            </w:r>
          </w:p>
        </w:tc>
        <w:tc>
          <w:tcPr>
            <w:tcW w:w="26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4"/>
                <w:szCs w:val="14"/>
                <w:color w:val="auto"/>
              </w:rPr>
              <w:t>28</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right"/>
              <w:ind w:right="40"/>
              <w:spacing w:after="0" w:line="160" w:lineRule="exact"/>
              <w:rPr>
                <w:sz w:val="20"/>
                <w:szCs w:val="20"/>
                <w:color w:val="auto"/>
              </w:rPr>
            </w:pPr>
            <w:r>
              <w:rPr>
                <w:rFonts w:ascii="Arial" w:cs="Arial" w:eastAsia="Arial" w:hAnsi="Arial"/>
                <w:sz w:val="14"/>
                <w:szCs w:val="14"/>
                <w:color w:val="auto"/>
              </w:rPr>
              <w:t>(39 )</w:t>
            </w:r>
          </w:p>
        </w:tc>
      </w:tr>
      <w:tr>
        <w:trPr>
          <w:trHeight w:val="160"/>
        </w:trPr>
        <w:tc>
          <w:tcPr>
            <w:tcW w:w="6900" w:type="dxa"/>
            <w:vAlign w:val="bottom"/>
            <w:shd w:val="clear" w:color="auto" w:fill="CFF0FC"/>
          </w:tcPr>
          <w:p>
            <w:pPr>
              <w:ind w:left="460"/>
              <w:spacing w:after="0" w:line="160" w:lineRule="exact"/>
              <w:rPr>
                <w:sz w:val="20"/>
                <w:szCs w:val="20"/>
                <w:color w:val="auto"/>
              </w:rPr>
            </w:pPr>
            <w:r>
              <w:rPr>
                <w:rFonts w:ascii="Arial" w:cs="Arial" w:eastAsia="Arial" w:hAnsi="Arial"/>
                <w:sz w:val="14"/>
                <w:szCs w:val="14"/>
                <w:color w:val="auto"/>
              </w:rPr>
              <w:t>Stock-based compensation expense</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b w:val="1"/>
                <w:bCs w:val="1"/>
                <w:color w:val="auto"/>
              </w:rPr>
              <w:t>316</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color w:val="auto"/>
              </w:rPr>
              <w:t>293</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color w:val="auto"/>
              </w:rPr>
              <w:t>313</w:t>
            </w:r>
          </w:p>
        </w:tc>
        <w:tc>
          <w:tcPr>
            <w:tcW w:w="100" w:type="dxa"/>
            <w:vAlign w:val="bottom"/>
            <w:shd w:val="clear" w:color="auto" w:fill="CFF0FC"/>
          </w:tcPr>
          <w:p>
            <w:pPr>
              <w:spacing w:after="0"/>
              <w:rPr>
                <w:sz w:val="13"/>
                <w:szCs w:val="13"/>
                <w:color w:val="auto"/>
              </w:rPr>
            </w:pPr>
          </w:p>
        </w:tc>
      </w:tr>
      <w:tr>
        <w:trPr>
          <w:trHeight w:val="160"/>
        </w:trPr>
        <w:tc>
          <w:tcPr>
            <w:tcW w:w="6900" w:type="dxa"/>
            <w:vAlign w:val="bottom"/>
          </w:tcPr>
          <w:p>
            <w:pPr>
              <w:ind w:left="460"/>
              <w:spacing w:after="0" w:line="160" w:lineRule="exact"/>
              <w:rPr>
                <w:sz w:val="20"/>
                <w:szCs w:val="20"/>
                <w:color w:val="auto"/>
              </w:rPr>
            </w:pPr>
            <w:r>
              <w:rPr>
                <w:rFonts w:ascii="Arial" w:cs="Arial" w:eastAsia="Arial" w:hAnsi="Arial"/>
                <w:sz w:val="14"/>
                <w:szCs w:val="14"/>
                <w:color w:val="auto"/>
              </w:rPr>
              <w:t>Earnings of equity method investments, less dividends received</w:t>
            </w:r>
          </w:p>
        </w:tc>
        <w:tc>
          <w:tcPr>
            <w:tcW w:w="280" w:type="dxa"/>
            <w:vAlign w:val="bottom"/>
          </w:tcPr>
          <w:p>
            <w:pPr>
              <w:spacing w:after="0"/>
              <w:rPr>
                <w:sz w:val="13"/>
                <w:szCs w:val="13"/>
                <w:color w:val="auto"/>
              </w:rPr>
            </w:pPr>
          </w:p>
        </w:tc>
        <w:tc>
          <w:tcPr>
            <w:tcW w:w="1260" w:type="dxa"/>
            <w:vAlign w:val="bottom"/>
            <w:gridSpan w:val="2"/>
          </w:tcPr>
          <w:p>
            <w:pPr>
              <w:jc w:val="right"/>
              <w:ind w:right="220"/>
              <w:spacing w:after="0" w:line="160" w:lineRule="exact"/>
              <w:rPr>
                <w:sz w:val="20"/>
                <w:szCs w:val="20"/>
                <w:color w:val="auto"/>
              </w:rPr>
            </w:pPr>
            <w:r>
              <w:rPr>
                <w:rFonts w:ascii="Arial" w:cs="Arial" w:eastAsia="Arial" w:hAnsi="Arial"/>
                <w:sz w:val="14"/>
                <w:szCs w:val="14"/>
                <w:b w:val="1"/>
                <w:bCs w:val="1"/>
                <w:color w:val="auto"/>
              </w:rPr>
              <w:t>(18 )</w:t>
            </w:r>
          </w:p>
        </w:tc>
        <w:tc>
          <w:tcPr>
            <w:tcW w:w="260" w:type="dxa"/>
            <w:vAlign w:val="bottom"/>
          </w:tcPr>
          <w:p>
            <w:pPr>
              <w:spacing w:after="0"/>
              <w:rPr>
                <w:sz w:val="13"/>
                <w:szCs w:val="13"/>
                <w:color w:val="auto"/>
              </w:rPr>
            </w:pPr>
          </w:p>
        </w:tc>
        <w:tc>
          <w:tcPr>
            <w:tcW w:w="1220" w:type="dxa"/>
            <w:vAlign w:val="bottom"/>
            <w:gridSpan w:val="2"/>
          </w:tcPr>
          <w:p>
            <w:pPr>
              <w:jc w:val="right"/>
              <w:ind w:right="200"/>
              <w:spacing w:after="0" w:line="160" w:lineRule="exact"/>
              <w:rPr>
                <w:sz w:val="20"/>
                <w:szCs w:val="20"/>
                <w:color w:val="auto"/>
              </w:rPr>
            </w:pPr>
            <w:r>
              <w:rPr>
                <w:rFonts w:ascii="Arial" w:cs="Arial" w:eastAsia="Arial" w:hAnsi="Arial"/>
                <w:sz w:val="14"/>
                <w:szCs w:val="14"/>
                <w:color w:val="auto"/>
              </w:rPr>
              <w:t>(132 )</w:t>
            </w:r>
          </w:p>
        </w:tc>
        <w:tc>
          <w:tcPr>
            <w:tcW w:w="260" w:type="dxa"/>
            <w:vAlign w:val="bottom"/>
          </w:tcPr>
          <w:p>
            <w:pPr>
              <w:spacing w:after="0"/>
              <w:rPr>
                <w:sz w:val="13"/>
                <w:szCs w:val="13"/>
                <w:color w:val="auto"/>
              </w:rPr>
            </w:pPr>
          </w:p>
        </w:tc>
        <w:tc>
          <w:tcPr>
            <w:tcW w:w="1060" w:type="dxa"/>
            <w:vAlign w:val="bottom"/>
            <w:gridSpan w:val="2"/>
          </w:tcPr>
          <w:p>
            <w:pPr>
              <w:jc w:val="right"/>
              <w:ind w:right="40"/>
              <w:spacing w:after="0" w:line="160" w:lineRule="exact"/>
              <w:rPr>
                <w:sz w:val="20"/>
                <w:szCs w:val="20"/>
                <w:color w:val="auto"/>
              </w:rPr>
            </w:pPr>
            <w:r>
              <w:rPr>
                <w:rFonts w:ascii="Arial" w:cs="Arial" w:eastAsia="Arial" w:hAnsi="Arial"/>
                <w:sz w:val="14"/>
                <w:szCs w:val="14"/>
                <w:color w:val="auto"/>
              </w:rPr>
              <w:t>(96 )</w:t>
            </w:r>
          </w:p>
        </w:tc>
      </w:tr>
      <w:tr>
        <w:trPr>
          <w:trHeight w:val="160"/>
        </w:trPr>
        <w:tc>
          <w:tcPr>
            <w:tcW w:w="6900" w:type="dxa"/>
            <w:vAlign w:val="bottom"/>
            <w:shd w:val="clear" w:color="auto" w:fill="CFF0FC"/>
          </w:tcPr>
          <w:p>
            <w:pPr>
              <w:ind w:left="200"/>
              <w:spacing w:after="0" w:line="160" w:lineRule="exact"/>
              <w:rPr>
                <w:sz w:val="20"/>
                <w:szCs w:val="20"/>
                <w:color w:val="auto"/>
              </w:rPr>
            </w:pPr>
            <w:r>
              <w:rPr>
                <w:rFonts w:ascii="Arial" w:cs="Arial" w:eastAsia="Arial" w:hAnsi="Arial"/>
                <w:sz w:val="13"/>
                <w:szCs w:val="13"/>
                <w:color w:val="auto"/>
              </w:rPr>
              <w:t xml:space="preserve">Change in assets and liabilities: </w:t>
            </w:r>
            <w:r>
              <w:rPr>
                <w:rFonts w:ascii="Arial" w:cs="Arial" w:eastAsia="Arial" w:hAnsi="Arial"/>
                <w:sz w:val="18"/>
                <w:szCs w:val="18"/>
                <w:color w:val="auto"/>
                <w:vertAlign w:val="superscript"/>
              </w:rPr>
              <w:t>(2)</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0"/>
        </w:trPr>
        <w:tc>
          <w:tcPr>
            <w:tcW w:w="6900" w:type="dxa"/>
            <w:vAlign w:val="bottom"/>
          </w:tcPr>
          <w:p>
            <w:pPr>
              <w:ind w:left="460"/>
              <w:spacing w:after="0" w:line="160" w:lineRule="exact"/>
              <w:rPr>
                <w:sz w:val="20"/>
                <w:szCs w:val="20"/>
                <w:color w:val="auto"/>
              </w:rPr>
            </w:pPr>
            <w:r>
              <w:rPr>
                <w:rFonts w:ascii="Arial" w:cs="Arial" w:eastAsia="Arial" w:hAnsi="Arial"/>
                <w:sz w:val="14"/>
                <w:szCs w:val="14"/>
                <w:color w:val="auto"/>
              </w:rPr>
              <w:t>Increase in receivables</w:t>
            </w:r>
          </w:p>
        </w:tc>
        <w:tc>
          <w:tcPr>
            <w:tcW w:w="280" w:type="dxa"/>
            <w:vAlign w:val="bottom"/>
          </w:tcPr>
          <w:p>
            <w:pPr>
              <w:spacing w:after="0"/>
              <w:rPr>
                <w:sz w:val="13"/>
                <w:szCs w:val="13"/>
                <w:color w:val="auto"/>
              </w:rPr>
            </w:pPr>
          </w:p>
        </w:tc>
        <w:tc>
          <w:tcPr>
            <w:tcW w:w="1260" w:type="dxa"/>
            <w:vAlign w:val="bottom"/>
            <w:gridSpan w:val="2"/>
          </w:tcPr>
          <w:p>
            <w:pPr>
              <w:jc w:val="right"/>
              <w:ind w:right="220"/>
              <w:spacing w:after="0" w:line="160" w:lineRule="exact"/>
              <w:rPr>
                <w:sz w:val="20"/>
                <w:szCs w:val="20"/>
                <w:color w:val="auto"/>
              </w:rPr>
            </w:pPr>
            <w:r>
              <w:rPr>
                <w:rFonts w:ascii="Arial" w:cs="Arial" w:eastAsia="Arial" w:hAnsi="Arial"/>
                <w:sz w:val="14"/>
                <w:szCs w:val="14"/>
                <w:b w:val="1"/>
                <w:bCs w:val="1"/>
                <w:color w:val="auto"/>
              </w:rPr>
              <w:t>(236 )</w:t>
            </w:r>
          </w:p>
        </w:tc>
        <w:tc>
          <w:tcPr>
            <w:tcW w:w="260" w:type="dxa"/>
            <w:vAlign w:val="bottom"/>
          </w:tcPr>
          <w:p>
            <w:pPr>
              <w:spacing w:after="0"/>
              <w:rPr>
                <w:sz w:val="13"/>
                <w:szCs w:val="13"/>
                <w:color w:val="auto"/>
              </w:rPr>
            </w:pPr>
          </w:p>
        </w:tc>
        <w:tc>
          <w:tcPr>
            <w:tcW w:w="1220" w:type="dxa"/>
            <w:vAlign w:val="bottom"/>
            <w:gridSpan w:val="2"/>
          </w:tcPr>
          <w:p>
            <w:pPr>
              <w:jc w:val="right"/>
              <w:ind w:right="200"/>
              <w:spacing w:after="0" w:line="160" w:lineRule="exact"/>
              <w:rPr>
                <w:sz w:val="20"/>
                <w:szCs w:val="20"/>
                <w:color w:val="auto"/>
              </w:rPr>
            </w:pPr>
            <w:r>
              <w:rPr>
                <w:rFonts w:ascii="Arial" w:cs="Arial" w:eastAsia="Arial" w:hAnsi="Arial"/>
                <w:sz w:val="14"/>
                <w:szCs w:val="14"/>
                <w:color w:val="auto"/>
              </w:rPr>
              <w:t>(659 )</w:t>
            </w:r>
          </w:p>
        </w:tc>
        <w:tc>
          <w:tcPr>
            <w:tcW w:w="260" w:type="dxa"/>
            <w:vAlign w:val="bottom"/>
          </w:tcPr>
          <w:p>
            <w:pPr>
              <w:spacing w:after="0"/>
              <w:rPr>
                <w:sz w:val="13"/>
                <w:szCs w:val="13"/>
                <w:color w:val="auto"/>
              </w:rPr>
            </w:pPr>
          </w:p>
        </w:tc>
        <w:tc>
          <w:tcPr>
            <w:tcW w:w="1060" w:type="dxa"/>
            <w:vAlign w:val="bottom"/>
            <w:gridSpan w:val="2"/>
          </w:tcPr>
          <w:p>
            <w:pPr>
              <w:jc w:val="right"/>
              <w:ind w:right="40"/>
              <w:spacing w:after="0" w:line="160" w:lineRule="exact"/>
              <w:rPr>
                <w:sz w:val="20"/>
                <w:szCs w:val="20"/>
                <w:color w:val="auto"/>
              </w:rPr>
            </w:pPr>
            <w:r>
              <w:rPr>
                <w:rFonts w:ascii="Arial" w:cs="Arial" w:eastAsia="Arial" w:hAnsi="Arial"/>
                <w:sz w:val="14"/>
                <w:szCs w:val="14"/>
                <w:color w:val="auto"/>
              </w:rPr>
              <w:t>(1,728 )</w:t>
            </w:r>
          </w:p>
        </w:tc>
      </w:tr>
      <w:tr>
        <w:trPr>
          <w:trHeight w:val="160"/>
        </w:trPr>
        <w:tc>
          <w:tcPr>
            <w:tcW w:w="6900" w:type="dxa"/>
            <w:vAlign w:val="bottom"/>
            <w:shd w:val="clear" w:color="auto" w:fill="CFF0FC"/>
          </w:tcPr>
          <w:p>
            <w:pPr>
              <w:ind w:left="460"/>
              <w:spacing w:after="0" w:line="160" w:lineRule="exact"/>
              <w:rPr>
                <w:sz w:val="20"/>
                <w:szCs w:val="20"/>
                <w:color w:val="auto"/>
              </w:rPr>
            </w:pPr>
            <w:r>
              <w:rPr>
                <w:rFonts w:ascii="Arial" w:cs="Arial" w:eastAsia="Arial" w:hAnsi="Arial"/>
                <w:sz w:val="14"/>
                <w:szCs w:val="14"/>
                <w:color w:val="auto"/>
              </w:rPr>
              <w:t>Increase in inventories</w:t>
            </w:r>
          </w:p>
        </w:tc>
        <w:tc>
          <w:tcPr>
            <w:tcW w:w="2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20"/>
              <w:spacing w:after="0" w:line="160" w:lineRule="exact"/>
              <w:rPr>
                <w:sz w:val="20"/>
                <w:szCs w:val="20"/>
                <w:color w:val="auto"/>
              </w:rPr>
            </w:pPr>
            <w:r>
              <w:rPr>
                <w:rFonts w:ascii="Arial" w:cs="Arial" w:eastAsia="Arial" w:hAnsi="Arial"/>
                <w:sz w:val="14"/>
                <w:szCs w:val="14"/>
                <w:b w:val="1"/>
                <w:bCs w:val="1"/>
                <w:color w:val="auto"/>
              </w:rPr>
              <w:t>(101 )</w:t>
            </w:r>
          </w:p>
        </w:tc>
        <w:tc>
          <w:tcPr>
            <w:tcW w:w="2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00"/>
              <w:spacing w:after="0" w:line="160" w:lineRule="exact"/>
              <w:rPr>
                <w:sz w:val="20"/>
                <w:szCs w:val="20"/>
                <w:color w:val="auto"/>
              </w:rPr>
            </w:pPr>
            <w:r>
              <w:rPr>
                <w:rFonts w:ascii="Arial" w:cs="Arial" w:eastAsia="Arial" w:hAnsi="Arial"/>
                <w:sz w:val="14"/>
                <w:szCs w:val="14"/>
                <w:color w:val="auto"/>
              </w:rPr>
              <w:t>(254 )</w:t>
            </w:r>
          </w:p>
        </w:tc>
        <w:tc>
          <w:tcPr>
            <w:tcW w:w="2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40"/>
              <w:spacing w:after="0" w:line="160" w:lineRule="exact"/>
              <w:rPr>
                <w:sz w:val="20"/>
                <w:szCs w:val="20"/>
                <w:color w:val="auto"/>
              </w:rPr>
            </w:pPr>
            <w:r>
              <w:rPr>
                <w:rFonts w:ascii="Arial" w:cs="Arial" w:eastAsia="Arial" w:hAnsi="Arial"/>
                <w:sz w:val="14"/>
                <w:szCs w:val="14"/>
                <w:color w:val="auto"/>
              </w:rPr>
              <w:t>(737 )</w:t>
            </w:r>
          </w:p>
        </w:tc>
      </w:tr>
      <w:tr>
        <w:trPr>
          <w:trHeight w:val="160"/>
        </w:trPr>
        <w:tc>
          <w:tcPr>
            <w:tcW w:w="6900" w:type="dxa"/>
            <w:vAlign w:val="bottom"/>
          </w:tcPr>
          <w:p>
            <w:pPr>
              <w:ind w:left="460"/>
              <w:spacing w:after="0" w:line="160" w:lineRule="exact"/>
              <w:rPr>
                <w:sz w:val="20"/>
                <w:szCs w:val="20"/>
                <w:color w:val="auto"/>
              </w:rPr>
            </w:pPr>
            <w:r>
              <w:rPr>
                <w:rFonts w:ascii="Arial" w:cs="Arial" w:eastAsia="Arial" w:hAnsi="Arial"/>
                <w:sz w:val="14"/>
                <w:szCs w:val="14"/>
                <w:color w:val="auto"/>
              </w:rPr>
              <w:t>Decrease (increase) in other current assets</w:t>
            </w:r>
          </w:p>
        </w:tc>
        <w:tc>
          <w:tcPr>
            <w:tcW w:w="280" w:type="dxa"/>
            <w:vAlign w:val="bottom"/>
          </w:tcPr>
          <w:p>
            <w:pPr>
              <w:spacing w:after="0"/>
              <w:rPr>
                <w:sz w:val="13"/>
                <w:szCs w:val="13"/>
                <w:color w:val="auto"/>
              </w:rPr>
            </w:pPr>
          </w:p>
        </w:tc>
        <w:tc>
          <w:tcPr>
            <w:tcW w:w="98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3</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4"/>
                <w:szCs w:val="14"/>
                <w:color w:val="auto"/>
              </w:rPr>
              <w:t>121</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right"/>
              <w:ind w:right="40"/>
              <w:spacing w:after="0" w:line="160" w:lineRule="exact"/>
              <w:rPr>
                <w:sz w:val="20"/>
                <w:szCs w:val="20"/>
                <w:color w:val="auto"/>
              </w:rPr>
            </w:pPr>
            <w:r>
              <w:rPr>
                <w:rFonts w:ascii="Arial" w:cs="Arial" w:eastAsia="Arial" w:hAnsi="Arial"/>
                <w:sz w:val="14"/>
                <w:szCs w:val="14"/>
                <w:color w:val="auto"/>
              </w:rPr>
              <w:t>(44 )</w:t>
            </w:r>
          </w:p>
        </w:tc>
      </w:tr>
      <w:tr>
        <w:trPr>
          <w:trHeight w:val="160"/>
        </w:trPr>
        <w:tc>
          <w:tcPr>
            <w:tcW w:w="6900" w:type="dxa"/>
            <w:vAlign w:val="bottom"/>
            <w:shd w:val="clear" w:color="auto" w:fill="CFF0FC"/>
          </w:tcPr>
          <w:p>
            <w:pPr>
              <w:ind w:left="460"/>
              <w:spacing w:after="0" w:line="160" w:lineRule="exact"/>
              <w:rPr>
                <w:sz w:val="20"/>
                <w:szCs w:val="20"/>
                <w:color w:val="auto"/>
              </w:rPr>
            </w:pPr>
            <w:r>
              <w:rPr>
                <w:rFonts w:ascii="Arial" w:cs="Arial" w:eastAsia="Arial" w:hAnsi="Arial"/>
                <w:sz w:val="14"/>
                <w:szCs w:val="14"/>
                <w:color w:val="auto"/>
              </w:rPr>
              <w:t>Decrease (increase) in other assets</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b w:val="1"/>
                <w:bCs w:val="1"/>
                <w:color w:val="auto"/>
              </w:rPr>
              <w:t>13</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00"/>
              <w:spacing w:after="0" w:line="160" w:lineRule="exact"/>
              <w:rPr>
                <w:sz w:val="20"/>
                <w:szCs w:val="20"/>
                <w:color w:val="auto"/>
              </w:rPr>
            </w:pPr>
            <w:r>
              <w:rPr>
                <w:rFonts w:ascii="Arial" w:cs="Arial" w:eastAsia="Arial" w:hAnsi="Arial"/>
                <w:sz w:val="14"/>
                <w:szCs w:val="14"/>
                <w:color w:val="auto"/>
              </w:rPr>
              <w:t>(10 )</w:t>
            </w:r>
          </w:p>
        </w:tc>
        <w:tc>
          <w:tcPr>
            <w:tcW w:w="2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40"/>
              <w:spacing w:after="0" w:line="160" w:lineRule="exact"/>
              <w:rPr>
                <w:sz w:val="20"/>
                <w:szCs w:val="20"/>
                <w:color w:val="auto"/>
              </w:rPr>
            </w:pPr>
            <w:r>
              <w:rPr>
                <w:rFonts w:ascii="Arial" w:cs="Arial" w:eastAsia="Arial" w:hAnsi="Arial"/>
                <w:sz w:val="14"/>
                <w:szCs w:val="14"/>
                <w:color w:val="auto"/>
              </w:rPr>
              <w:t>(45 )</w:t>
            </w:r>
          </w:p>
        </w:tc>
      </w:tr>
      <w:tr>
        <w:trPr>
          <w:trHeight w:val="160"/>
        </w:trPr>
        <w:tc>
          <w:tcPr>
            <w:tcW w:w="6900" w:type="dxa"/>
            <w:vAlign w:val="bottom"/>
          </w:tcPr>
          <w:p>
            <w:pPr>
              <w:ind w:left="460"/>
              <w:spacing w:after="0" w:line="160" w:lineRule="exact"/>
              <w:rPr>
                <w:sz w:val="20"/>
                <w:szCs w:val="20"/>
                <w:color w:val="auto"/>
              </w:rPr>
            </w:pPr>
            <w:r>
              <w:rPr>
                <w:rFonts w:ascii="Arial" w:cs="Arial" w:eastAsia="Arial" w:hAnsi="Arial"/>
                <w:sz w:val="14"/>
                <w:szCs w:val="14"/>
                <w:color w:val="auto"/>
              </w:rPr>
              <w:t>(Decrease) increase in accounts payable and accrued liabilities</w:t>
            </w:r>
          </w:p>
        </w:tc>
        <w:tc>
          <w:tcPr>
            <w:tcW w:w="280" w:type="dxa"/>
            <w:vAlign w:val="bottom"/>
          </w:tcPr>
          <w:p>
            <w:pPr>
              <w:spacing w:after="0"/>
              <w:rPr>
                <w:sz w:val="13"/>
                <w:szCs w:val="13"/>
                <w:color w:val="auto"/>
              </w:rPr>
            </w:pPr>
          </w:p>
        </w:tc>
        <w:tc>
          <w:tcPr>
            <w:tcW w:w="1260" w:type="dxa"/>
            <w:vAlign w:val="bottom"/>
            <w:gridSpan w:val="2"/>
          </w:tcPr>
          <w:p>
            <w:pPr>
              <w:jc w:val="right"/>
              <w:ind w:right="220"/>
              <w:spacing w:after="0" w:line="160" w:lineRule="exact"/>
              <w:rPr>
                <w:sz w:val="20"/>
                <w:szCs w:val="20"/>
                <w:color w:val="auto"/>
              </w:rPr>
            </w:pPr>
            <w:r>
              <w:rPr>
                <w:rFonts w:ascii="Arial" w:cs="Arial" w:eastAsia="Arial" w:hAnsi="Arial"/>
                <w:sz w:val="14"/>
                <w:szCs w:val="14"/>
                <w:b w:val="1"/>
                <w:bCs w:val="1"/>
                <w:color w:val="auto"/>
              </w:rPr>
              <w:t>(994 )</w:t>
            </w:r>
          </w:p>
        </w:tc>
        <w:tc>
          <w:tcPr>
            <w:tcW w:w="26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4"/>
                <w:szCs w:val="14"/>
                <w:color w:val="auto"/>
              </w:rPr>
              <w:t>724</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4"/>
                <w:szCs w:val="14"/>
                <w:color w:val="auto"/>
              </w:rPr>
              <w:t>704</w:t>
            </w:r>
          </w:p>
        </w:tc>
        <w:tc>
          <w:tcPr>
            <w:tcW w:w="100" w:type="dxa"/>
            <w:vAlign w:val="bottom"/>
          </w:tcPr>
          <w:p>
            <w:pPr>
              <w:spacing w:after="0"/>
              <w:rPr>
                <w:sz w:val="13"/>
                <w:szCs w:val="13"/>
                <w:color w:val="auto"/>
              </w:rPr>
            </w:pPr>
          </w:p>
        </w:tc>
      </w:tr>
      <w:tr>
        <w:trPr>
          <w:trHeight w:val="160"/>
        </w:trPr>
        <w:tc>
          <w:tcPr>
            <w:tcW w:w="6900" w:type="dxa"/>
            <w:vAlign w:val="bottom"/>
            <w:shd w:val="clear" w:color="auto" w:fill="CFF0FC"/>
          </w:tcPr>
          <w:p>
            <w:pPr>
              <w:ind w:left="460"/>
              <w:spacing w:after="0" w:line="160" w:lineRule="exact"/>
              <w:rPr>
                <w:sz w:val="20"/>
                <w:szCs w:val="20"/>
                <w:color w:val="auto"/>
              </w:rPr>
            </w:pPr>
            <w:r>
              <w:rPr>
                <w:rFonts w:ascii="Arial" w:cs="Arial" w:eastAsia="Arial" w:hAnsi="Arial"/>
                <w:sz w:val="14"/>
                <w:szCs w:val="14"/>
                <w:color w:val="auto"/>
              </w:rPr>
              <w:t>(Decrease) increase in estimated liability for taxes on income</w:t>
            </w:r>
          </w:p>
        </w:tc>
        <w:tc>
          <w:tcPr>
            <w:tcW w:w="2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20"/>
              <w:spacing w:after="0" w:line="160" w:lineRule="exact"/>
              <w:rPr>
                <w:sz w:val="20"/>
                <w:szCs w:val="20"/>
                <w:color w:val="auto"/>
              </w:rPr>
            </w:pPr>
            <w:r>
              <w:rPr>
                <w:rFonts w:ascii="Arial" w:cs="Arial" w:eastAsia="Arial" w:hAnsi="Arial"/>
                <w:sz w:val="14"/>
                <w:szCs w:val="14"/>
                <w:b w:val="1"/>
                <w:bCs w:val="1"/>
                <w:color w:val="auto"/>
              </w:rPr>
              <w:t>(51 )</w:t>
            </w:r>
          </w:p>
        </w:tc>
        <w:tc>
          <w:tcPr>
            <w:tcW w:w="2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00"/>
              <w:spacing w:after="0" w:line="160" w:lineRule="exact"/>
              <w:rPr>
                <w:sz w:val="20"/>
                <w:szCs w:val="20"/>
                <w:color w:val="auto"/>
              </w:rPr>
            </w:pPr>
            <w:r>
              <w:rPr>
                <w:rFonts w:ascii="Arial" w:cs="Arial" w:eastAsia="Arial" w:hAnsi="Arial"/>
                <w:sz w:val="14"/>
                <w:szCs w:val="14"/>
                <w:color w:val="auto"/>
              </w:rPr>
              <w:t>(62 )</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color w:val="auto"/>
              </w:rPr>
              <w:t>96</w:t>
            </w:r>
          </w:p>
        </w:tc>
        <w:tc>
          <w:tcPr>
            <w:tcW w:w="100" w:type="dxa"/>
            <w:vAlign w:val="bottom"/>
            <w:shd w:val="clear" w:color="auto" w:fill="CFF0FC"/>
          </w:tcPr>
          <w:p>
            <w:pPr>
              <w:spacing w:after="0"/>
              <w:rPr>
                <w:sz w:val="13"/>
                <w:szCs w:val="13"/>
                <w:color w:val="auto"/>
              </w:rPr>
            </w:pPr>
          </w:p>
        </w:tc>
      </w:tr>
      <w:tr>
        <w:trPr>
          <w:trHeight w:val="160"/>
        </w:trPr>
        <w:tc>
          <w:tcPr>
            <w:tcW w:w="6900" w:type="dxa"/>
            <w:vAlign w:val="bottom"/>
          </w:tcPr>
          <w:p>
            <w:pPr>
              <w:ind w:left="460"/>
              <w:spacing w:after="0" w:line="160" w:lineRule="exact"/>
              <w:rPr>
                <w:sz w:val="20"/>
                <w:szCs w:val="20"/>
                <w:color w:val="auto"/>
              </w:rPr>
            </w:pPr>
            <w:r>
              <w:rPr>
                <w:rFonts w:ascii="Arial" w:cs="Arial" w:eastAsia="Arial" w:hAnsi="Arial"/>
                <w:sz w:val="14"/>
                <w:szCs w:val="14"/>
                <w:color w:val="auto"/>
              </w:rPr>
              <w:t>Increase (decrease) in other liabilities</w:t>
            </w:r>
          </w:p>
        </w:tc>
        <w:tc>
          <w:tcPr>
            <w:tcW w:w="280" w:type="dxa"/>
            <w:vAlign w:val="bottom"/>
          </w:tcPr>
          <w:p>
            <w:pPr>
              <w:spacing w:after="0"/>
              <w:rPr>
                <w:sz w:val="13"/>
                <w:szCs w:val="13"/>
                <w:color w:val="auto"/>
              </w:rPr>
            </w:pPr>
          </w:p>
        </w:tc>
        <w:tc>
          <w:tcPr>
            <w:tcW w:w="98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32</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200"/>
              <w:spacing w:after="0" w:line="160" w:lineRule="exact"/>
              <w:rPr>
                <w:sz w:val="20"/>
                <w:szCs w:val="20"/>
                <w:color w:val="auto"/>
              </w:rPr>
            </w:pPr>
            <w:r>
              <w:rPr>
                <w:rFonts w:ascii="Arial" w:cs="Arial" w:eastAsia="Arial" w:hAnsi="Arial"/>
                <w:sz w:val="14"/>
                <w:szCs w:val="14"/>
                <w:color w:val="auto"/>
              </w:rPr>
              <w:t>(76 )</w:t>
            </w:r>
          </w:p>
        </w:tc>
        <w:tc>
          <w:tcPr>
            <w:tcW w:w="26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3"/>
                <w:szCs w:val="13"/>
                <w:color w:val="auto"/>
              </w:rPr>
            </w:pPr>
          </w:p>
        </w:tc>
      </w:tr>
      <w:tr>
        <w:trPr>
          <w:trHeight w:val="160"/>
        </w:trPr>
        <w:tc>
          <w:tcPr>
            <w:tcW w:w="6900" w:type="dxa"/>
            <w:vAlign w:val="bottom"/>
            <w:shd w:val="clear" w:color="auto" w:fill="CFF0FC"/>
          </w:tcPr>
          <w:p>
            <w:pPr>
              <w:ind w:left="460"/>
              <w:spacing w:after="0" w:line="160" w:lineRule="exact"/>
              <w:rPr>
                <w:sz w:val="20"/>
                <w:szCs w:val="20"/>
                <w:color w:val="auto"/>
              </w:rPr>
            </w:pPr>
            <w:r>
              <w:rPr>
                <w:rFonts w:ascii="Arial" w:cs="Arial" w:eastAsia="Arial" w:hAnsi="Arial"/>
                <w:sz w:val="14"/>
                <w:szCs w:val="14"/>
                <w:color w:val="auto"/>
              </w:rPr>
              <w:t>Other</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b w:val="1"/>
                <w:bCs w:val="1"/>
                <w:color w:val="auto"/>
              </w:rPr>
              <w:t>40</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00"/>
              <w:spacing w:after="0" w:line="160" w:lineRule="exact"/>
              <w:rPr>
                <w:sz w:val="20"/>
                <w:szCs w:val="20"/>
                <w:color w:val="auto"/>
              </w:rPr>
            </w:pPr>
            <w:r>
              <w:rPr>
                <w:rFonts w:ascii="Arial" w:cs="Arial" w:eastAsia="Arial" w:hAnsi="Arial"/>
                <w:sz w:val="14"/>
                <w:szCs w:val="14"/>
                <w:color w:val="auto"/>
              </w:rPr>
              <w:t>(33 )</w:t>
            </w:r>
          </w:p>
        </w:tc>
        <w:tc>
          <w:tcPr>
            <w:tcW w:w="2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40"/>
              <w:spacing w:after="0" w:line="160" w:lineRule="exact"/>
              <w:rPr>
                <w:sz w:val="20"/>
                <w:szCs w:val="20"/>
                <w:color w:val="auto"/>
              </w:rPr>
            </w:pPr>
            <w:r>
              <w:rPr>
                <w:rFonts w:ascii="Arial" w:cs="Arial" w:eastAsia="Arial" w:hAnsi="Arial"/>
                <w:sz w:val="14"/>
                <w:szCs w:val="14"/>
                <w:color w:val="auto"/>
              </w:rPr>
              <w:t>(19 )</w:t>
            </w:r>
          </w:p>
        </w:tc>
      </w:tr>
      <w:tr>
        <w:trPr>
          <w:trHeight w:val="153"/>
        </w:trPr>
        <w:tc>
          <w:tcPr>
            <w:tcW w:w="6900" w:type="dxa"/>
            <w:vAlign w:val="bottom"/>
            <w:tcBorders>
              <w:top w:val="single" w:sz="8" w:color="CFF0FC"/>
            </w:tcBorders>
          </w:tcPr>
          <w:p>
            <w:pPr>
              <w:ind w:left="20"/>
              <w:spacing w:after="0" w:line="153" w:lineRule="exact"/>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6,602</w:t>
            </w:r>
          </w:p>
        </w:tc>
        <w:tc>
          <w:tcPr>
            <w:tcW w:w="280" w:type="dxa"/>
            <w:vAlign w:val="bottom"/>
            <w:tcBorders>
              <w:top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6,637</w:t>
            </w:r>
          </w:p>
        </w:tc>
        <w:tc>
          <w:tcPr>
            <w:tcW w:w="260" w:type="dxa"/>
            <w:vAlign w:val="bottom"/>
            <w:tcBorders>
              <w:top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3,720</w:t>
            </w:r>
          </w:p>
        </w:tc>
        <w:tc>
          <w:tcPr>
            <w:tcW w:w="100" w:type="dxa"/>
            <w:vAlign w:val="bottom"/>
            <w:tcBorders>
              <w:top w:val="single" w:sz="8" w:color="CFF0FC"/>
            </w:tcBorders>
          </w:tcPr>
          <w:p>
            <w:pPr>
              <w:spacing w:after="0"/>
              <w:rPr>
                <w:sz w:val="13"/>
                <w:szCs w:val="13"/>
                <w:color w:val="auto"/>
              </w:rPr>
            </w:pPr>
          </w:p>
        </w:tc>
      </w:tr>
      <w:tr>
        <w:trPr>
          <w:trHeight w:val="153"/>
        </w:trPr>
        <w:tc>
          <w:tcPr>
            <w:tcW w:w="690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Cash flows from investing activities:</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0"/>
        </w:trPr>
        <w:tc>
          <w:tcPr>
            <w:tcW w:w="6900" w:type="dxa"/>
            <w:vAlign w:val="bottom"/>
          </w:tcPr>
          <w:p>
            <w:pPr>
              <w:ind w:left="280"/>
              <w:spacing w:after="0" w:line="160" w:lineRule="exact"/>
              <w:rPr>
                <w:sz w:val="20"/>
                <w:szCs w:val="20"/>
                <w:color w:val="auto"/>
              </w:rPr>
            </w:pPr>
            <w:r>
              <w:rPr>
                <w:rFonts w:ascii="Arial" w:cs="Arial" w:eastAsia="Arial" w:hAnsi="Arial"/>
                <w:sz w:val="14"/>
                <w:szCs w:val="14"/>
                <w:color w:val="auto"/>
              </w:rPr>
              <w:t>Capital expenditures</w:t>
            </w:r>
          </w:p>
        </w:tc>
        <w:tc>
          <w:tcPr>
            <w:tcW w:w="280" w:type="dxa"/>
            <w:vAlign w:val="bottom"/>
          </w:tcPr>
          <w:p>
            <w:pPr>
              <w:spacing w:after="0"/>
              <w:rPr>
                <w:sz w:val="13"/>
                <w:szCs w:val="13"/>
                <w:color w:val="auto"/>
              </w:rPr>
            </w:pPr>
          </w:p>
        </w:tc>
        <w:tc>
          <w:tcPr>
            <w:tcW w:w="1260" w:type="dxa"/>
            <w:vAlign w:val="bottom"/>
            <w:gridSpan w:val="2"/>
          </w:tcPr>
          <w:p>
            <w:pPr>
              <w:jc w:val="right"/>
              <w:ind w:right="220"/>
              <w:spacing w:after="0" w:line="160" w:lineRule="exact"/>
              <w:rPr>
                <w:sz w:val="20"/>
                <w:szCs w:val="20"/>
                <w:color w:val="auto"/>
              </w:rPr>
            </w:pPr>
            <w:r>
              <w:rPr>
                <w:rFonts w:ascii="Arial" w:cs="Arial" w:eastAsia="Arial" w:hAnsi="Arial"/>
                <w:sz w:val="14"/>
                <w:szCs w:val="14"/>
                <w:b w:val="1"/>
                <w:bCs w:val="1"/>
                <w:color w:val="auto"/>
              </w:rPr>
              <w:t>(1,931 )</w:t>
            </w:r>
          </w:p>
        </w:tc>
        <w:tc>
          <w:tcPr>
            <w:tcW w:w="260" w:type="dxa"/>
            <w:vAlign w:val="bottom"/>
          </w:tcPr>
          <w:p>
            <w:pPr>
              <w:spacing w:after="0"/>
              <w:rPr>
                <w:sz w:val="13"/>
                <w:szCs w:val="13"/>
                <w:color w:val="auto"/>
              </w:rPr>
            </w:pPr>
          </w:p>
        </w:tc>
        <w:tc>
          <w:tcPr>
            <w:tcW w:w="1220" w:type="dxa"/>
            <w:vAlign w:val="bottom"/>
            <w:gridSpan w:val="2"/>
          </w:tcPr>
          <w:p>
            <w:pPr>
              <w:jc w:val="right"/>
              <w:ind w:right="200"/>
              <w:spacing w:after="0" w:line="160" w:lineRule="exact"/>
              <w:rPr>
                <w:sz w:val="20"/>
                <w:szCs w:val="20"/>
                <w:color w:val="auto"/>
              </w:rPr>
            </w:pPr>
            <w:r>
              <w:rPr>
                <w:rFonts w:ascii="Arial" w:cs="Arial" w:eastAsia="Arial" w:hAnsi="Arial"/>
                <w:sz w:val="14"/>
                <w:szCs w:val="14"/>
                <w:color w:val="auto"/>
              </w:rPr>
              <w:t>(1,939 )</w:t>
            </w:r>
          </w:p>
        </w:tc>
        <w:tc>
          <w:tcPr>
            <w:tcW w:w="260" w:type="dxa"/>
            <w:vAlign w:val="bottom"/>
          </w:tcPr>
          <w:p>
            <w:pPr>
              <w:spacing w:after="0"/>
              <w:rPr>
                <w:sz w:val="13"/>
                <w:szCs w:val="13"/>
                <w:color w:val="auto"/>
              </w:rPr>
            </w:pPr>
          </w:p>
        </w:tc>
        <w:tc>
          <w:tcPr>
            <w:tcW w:w="1060" w:type="dxa"/>
            <w:vAlign w:val="bottom"/>
            <w:gridSpan w:val="2"/>
          </w:tcPr>
          <w:p>
            <w:pPr>
              <w:jc w:val="right"/>
              <w:ind w:right="40"/>
              <w:spacing w:after="0" w:line="160" w:lineRule="exact"/>
              <w:rPr>
                <w:sz w:val="20"/>
                <w:szCs w:val="20"/>
                <w:color w:val="auto"/>
              </w:rPr>
            </w:pPr>
            <w:r>
              <w:rPr>
                <w:rFonts w:ascii="Arial" w:cs="Arial" w:eastAsia="Arial" w:hAnsi="Arial"/>
                <w:sz w:val="14"/>
                <w:szCs w:val="14"/>
                <w:color w:val="auto"/>
              </w:rPr>
              <w:t>(1,618 )</w:t>
            </w:r>
          </w:p>
        </w:tc>
      </w:tr>
      <w:tr>
        <w:trPr>
          <w:trHeight w:val="160"/>
        </w:trPr>
        <w:tc>
          <w:tcPr>
            <w:tcW w:w="6900" w:type="dxa"/>
            <w:vAlign w:val="bottom"/>
            <w:shd w:val="clear" w:color="auto" w:fill="CFF0FC"/>
          </w:tcPr>
          <w:p>
            <w:pPr>
              <w:ind w:left="280"/>
              <w:spacing w:after="0" w:line="160" w:lineRule="exact"/>
              <w:rPr>
                <w:sz w:val="20"/>
                <w:szCs w:val="20"/>
                <w:color w:val="auto"/>
              </w:rPr>
            </w:pPr>
            <w:r>
              <w:rPr>
                <w:rFonts w:ascii="Arial" w:cs="Arial" w:eastAsia="Arial" w:hAnsi="Arial"/>
                <w:sz w:val="14"/>
                <w:szCs w:val="14"/>
                <w:color w:val="auto"/>
              </w:rPr>
              <w:t>APS investments</w:t>
            </w:r>
          </w:p>
        </w:tc>
        <w:tc>
          <w:tcPr>
            <w:tcW w:w="2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20"/>
              <w:spacing w:after="0" w:line="160" w:lineRule="exact"/>
              <w:rPr>
                <w:sz w:val="20"/>
                <w:szCs w:val="20"/>
                <w:color w:val="auto"/>
              </w:rPr>
            </w:pPr>
            <w:r>
              <w:rPr>
                <w:rFonts w:ascii="Arial" w:cs="Arial" w:eastAsia="Arial" w:hAnsi="Arial"/>
                <w:sz w:val="14"/>
                <w:szCs w:val="14"/>
                <w:b w:val="1"/>
                <w:bCs w:val="1"/>
                <w:color w:val="auto"/>
              </w:rPr>
              <w:t>(483 )</w:t>
            </w:r>
          </w:p>
        </w:tc>
        <w:tc>
          <w:tcPr>
            <w:tcW w:w="2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00"/>
              <w:spacing w:after="0" w:line="160" w:lineRule="exact"/>
              <w:rPr>
                <w:sz w:val="20"/>
                <w:szCs w:val="20"/>
                <w:color w:val="auto"/>
              </w:rPr>
            </w:pPr>
            <w:r>
              <w:rPr>
                <w:rFonts w:ascii="Arial" w:cs="Arial" w:eastAsia="Arial" w:hAnsi="Arial"/>
                <w:sz w:val="14"/>
                <w:szCs w:val="14"/>
                <w:color w:val="auto"/>
              </w:rPr>
              <w:t>(507 )</w:t>
            </w:r>
          </w:p>
        </w:tc>
        <w:tc>
          <w:tcPr>
            <w:tcW w:w="2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40"/>
              <w:spacing w:after="0" w:line="160" w:lineRule="exact"/>
              <w:rPr>
                <w:sz w:val="20"/>
                <w:szCs w:val="20"/>
                <w:color w:val="auto"/>
              </w:rPr>
            </w:pPr>
            <w:r>
              <w:rPr>
                <w:rFonts w:ascii="Arial" w:cs="Arial" w:eastAsia="Arial" w:hAnsi="Arial"/>
                <w:sz w:val="14"/>
                <w:szCs w:val="14"/>
                <w:color w:val="auto"/>
              </w:rPr>
              <w:t>(587 )</w:t>
            </w:r>
          </w:p>
        </w:tc>
      </w:tr>
      <w:tr>
        <w:trPr>
          <w:trHeight w:val="160"/>
        </w:trPr>
        <w:tc>
          <w:tcPr>
            <w:tcW w:w="6900" w:type="dxa"/>
            <w:vAlign w:val="bottom"/>
          </w:tcPr>
          <w:p>
            <w:pPr>
              <w:ind w:left="280"/>
              <w:spacing w:after="0" w:line="160" w:lineRule="exact"/>
              <w:rPr>
                <w:sz w:val="20"/>
                <w:szCs w:val="20"/>
                <w:color w:val="auto"/>
              </w:rPr>
            </w:pPr>
            <w:r>
              <w:rPr>
                <w:rFonts w:ascii="Arial" w:cs="Arial" w:eastAsia="Arial" w:hAnsi="Arial"/>
                <w:sz w:val="14"/>
                <w:szCs w:val="14"/>
                <w:color w:val="auto"/>
              </w:rPr>
              <w:t>Exploration data capitalized</w:t>
            </w:r>
          </w:p>
        </w:tc>
        <w:tc>
          <w:tcPr>
            <w:tcW w:w="280" w:type="dxa"/>
            <w:vAlign w:val="bottom"/>
          </w:tcPr>
          <w:p>
            <w:pPr>
              <w:spacing w:after="0"/>
              <w:rPr>
                <w:sz w:val="13"/>
                <w:szCs w:val="13"/>
                <w:color w:val="auto"/>
              </w:rPr>
            </w:pPr>
          </w:p>
        </w:tc>
        <w:tc>
          <w:tcPr>
            <w:tcW w:w="1260" w:type="dxa"/>
            <w:vAlign w:val="bottom"/>
            <w:gridSpan w:val="2"/>
          </w:tcPr>
          <w:p>
            <w:pPr>
              <w:jc w:val="right"/>
              <w:ind w:right="220"/>
              <w:spacing w:after="0" w:line="160" w:lineRule="exact"/>
              <w:rPr>
                <w:sz w:val="20"/>
                <w:szCs w:val="20"/>
                <w:color w:val="auto"/>
              </w:rPr>
            </w:pPr>
            <w:r>
              <w:rPr>
                <w:rFonts w:ascii="Arial" w:cs="Arial" w:eastAsia="Arial" w:hAnsi="Arial"/>
                <w:sz w:val="14"/>
                <w:szCs w:val="14"/>
                <w:b w:val="1"/>
                <w:bCs w:val="1"/>
                <w:color w:val="auto"/>
              </w:rPr>
              <w:t>(198 )</w:t>
            </w:r>
          </w:p>
        </w:tc>
        <w:tc>
          <w:tcPr>
            <w:tcW w:w="260" w:type="dxa"/>
            <w:vAlign w:val="bottom"/>
          </w:tcPr>
          <w:p>
            <w:pPr>
              <w:spacing w:after="0"/>
              <w:rPr>
                <w:sz w:val="13"/>
                <w:szCs w:val="13"/>
                <w:color w:val="auto"/>
              </w:rPr>
            </w:pPr>
          </w:p>
        </w:tc>
        <w:tc>
          <w:tcPr>
            <w:tcW w:w="1220" w:type="dxa"/>
            <w:vAlign w:val="bottom"/>
            <w:gridSpan w:val="2"/>
          </w:tcPr>
          <w:p>
            <w:pPr>
              <w:jc w:val="right"/>
              <w:ind w:right="200"/>
              <w:spacing w:after="0" w:line="160" w:lineRule="exact"/>
              <w:rPr>
                <w:sz w:val="20"/>
                <w:szCs w:val="20"/>
                <w:color w:val="auto"/>
              </w:rPr>
            </w:pPr>
            <w:r>
              <w:rPr>
                <w:rFonts w:ascii="Arial" w:cs="Arial" w:eastAsia="Arial" w:hAnsi="Arial"/>
                <w:sz w:val="14"/>
                <w:szCs w:val="14"/>
                <w:color w:val="auto"/>
              </w:rPr>
              <w:t>(153 )</w:t>
            </w:r>
          </w:p>
        </w:tc>
        <w:tc>
          <w:tcPr>
            <w:tcW w:w="260" w:type="dxa"/>
            <w:vAlign w:val="bottom"/>
          </w:tcPr>
          <w:p>
            <w:pPr>
              <w:spacing w:after="0"/>
              <w:rPr>
                <w:sz w:val="13"/>
                <w:szCs w:val="13"/>
                <w:color w:val="auto"/>
              </w:rPr>
            </w:pPr>
          </w:p>
        </w:tc>
        <w:tc>
          <w:tcPr>
            <w:tcW w:w="1060" w:type="dxa"/>
            <w:vAlign w:val="bottom"/>
            <w:gridSpan w:val="2"/>
          </w:tcPr>
          <w:p>
            <w:pPr>
              <w:jc w:val="right"/>
              <w:ind w:right="40"/>
              <w:spacing w:after="0" w:line="160" w:lineRule="exact"/>
              <w:rPr>
                <w:sz w:val="20"/>
                <w:szCs w:val="20"/>
                <w:color w:val="auto"/>
              </w:rPr>
            </w:pPr>
            <w:r>
              <w:rPr>
                <w:rFonts w:ascii="Arial" w:cs="Arial" w:eastAsia="Arial" w:hAnsi="Arial"/>
                <w:sz w:val="14"/>
                <w:szCs w:val="14"/>
                <w:color w:val="auto"/>
              </w:rPr>
              <w:t>(97 )</w:t>
            </w:r>
          </w:p>
        </w:tc>
      </w:tr>
      <w:tr>
        <w:trPr>
          <w:trHeight w:val="160"/>
        </w:trPr>
        <w:tc>
          <w:tcPr>
            <w:tcW w:w="6900" w:type="dxa"/>
            <w:vAlign w:val="bottom"/>
            <w:shd w:val="clear" w:color="auto" w:fill="CFF0FC"/>
          </w:tcPr>
          <w:p>
            <w:pPr>
              <w:ind w:left="280"/>
              <w:spacing w:after="0" w:line="160" w:lineRule="exact"/>
              <w:rPr>
                <w:sz w:val="20"/>
                <w:szCs w:val="20"/>
                <w:color w:val="auto"/>
              </w:rPr>
            </w:pPr>
            <w:r>
              <w:rPr>
                <w:rFonts w:ascii="Arial" w:cs="Arial" w:eastAsia="Arial" w:hAnsi="Arial"/>
                <w:sz w:val="14"/>
                <w:szCs w:val="14"/>
                <w:color w:val="auto"/>
              </w:rPr>
              <w:t>Business acquisitions and investments, net of cash acquired</w:t>
            </w:r>
          </w:p>
        </w:tc>
        <w:tc>
          <w:tcPr>
            <w:tcW w:w="2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20"/>
              <w:spacing w:after="0" w:line="160" w:lineRule="exact"/>
              <w:rPr>
                <w:sz w:val="20"/>
                <w:szCs w:val="20"/>
                <w:color w:val="auto"/>
              </w:rPr>
            </w:pPr>
            <w:r>
              <w:rPr>
                <w:rFonts w:ascii="Arial" w:cs="Arial" w:eastAsia="Arial" w:hAnsi="Arial"/>
                <w:sz w:val="14"/>
                <w:szCs w:val="14"/>
                <w:b w:val="1"/>
                <w:bCs w:val="1"/>
                <w:color w:val="auto"/>
              </w:rPr>
              <w:t>(553 )</w:t>
            </w:r>
          </w:p>
        </w:tc>
        <w:tc>
          <w:tcPr>
            <w:tcW w:w="2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00"/>
              <w:spacing w:after="0" w:line="160" w:lineRule="exact"/>
              <w:rPr>
                <w:sz w:val="20"/>
                <w:szCs w:val="20"/>
                <w:color w:val="auto"/>
              </w:rPr>
            </w:pPr>
            <w:r>
              <w:rPr>
                <w:rFonts w:ascii="Arial" w:cs="Arial" w:eastAsia="Arial" w:hAnsi="Arial"/>
                <w:sz w:val="14"/>
                <w:szCs w:val="14"/>
                <w:color w:val="auto"/>
              </w:rPr>
              <w:t>(242 )</w:t>
            </w:r>
          </w:p>
        </w:tc>
        <w:tc>
          <w:tcPr>
            <w:tcW w:w="2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40"/>
              <w:spacing w:after="0" w:line="160" w:lineRule="exact"/>
              <w:rPr>
                <w:sz w:val="20"/>
                <w:szCs w:val="20"/>
                <w:color w:val="auto"/>
              </w:rPr>
            </w:pPr>
            <w:r>
              <w:rPr>
                <w:rFonts w:ascii="Arial" w:cs="Arial" w:eastAsia="Arial" w:hAnsi="Arial"/>
                <w:sz w:val="14"/>
                <w:szCs w:val="14"/>
                <w:color w:val="auto"/>
              </w:rPr>
              <w:t>(58 )</w:t>
            </w:r>
          </w:p>
        </w:tc>
      </w:tr>
      <w:tr>
        <w:trPr>
          <w:trHeight w:val="160"/>
        </w:trPr>
        <w:tc>
          <w:tcPr>
            <w:tcW w:w="6900" w:type="dxa"/>
            <w:vAlign w:val="bottom"/>
          </w:tcPr>
          <w:p>
            <w:pPr>
              <w:ind w:left="280"/>
              <w:spacing w:after="0" w:line="160" w:lineRule="exact"/>
              <w:rPr>
                <w:sz w:val="20"/>
                <w:szCs w:val="20"/>
                <w:color w:val="auto"/>
              </w:rPr>
            </w:pPr>
            <w:r>
              <w:rPr>
                <w:rFonts w:ascii="Arial" w:cs="Arial" w:eastAsia="Arial" w:hAnsi="Arial"/>
                <w:sz w:val="14"/>
                <w:szCs w:val="14"/>
                <w:color w:val="auto"/>
              </w:rPr>
              <w:t>(Purchase) sale of short-term investments, net</w:t>
            </w:r>
          </w:p>
        </w:tc>
        <w:tc>
          <w:tcPr>
            <w:tcW w:w="280" w:type="dxa"/>
            <w:vAlign w:val="bottom"/>
          </w:tcPr>
          <w:p>
            <w:pPr>
              <w:spacing w:after="0"/>
              <w:rPr>
                <w:sz w:val="13"/>
                <w:szCs w:val="13"/>
                <w:color w:val="auto"/>
              </w:rPr>
            </w:pPr>
          </w:p>
        </w:tc>
        <w:tc>
          <w:tcPr>
            <w:tcW w:w="1260" w:type="dxa"/>
            <w:vAlign w:val="bottom"/>
            <w:gridSpan w:val="2"/>
          </w:tcPr>
          <w:p>
            <w:pPr>
              <w:jc w:val="right"/>
              <w:ind w:right="220"/>
              <w:spacing w:after="0" w:line="160" w:lineRule="exact"/>
              <w:rPr>
                <w:sz w:val="20"/>
                <w:szCs w:val="20"/>
                <w:color w:val="auto"/>
              </w:rPr>
            </w:pPr>
            <w:r>
              <w:rPr>
                <w:rFonts w:ascii="Arial" w:cs="Arial" w:eastAsia="Arial" w:hAnsi="Arial"/>
                <w:sz w:val="14"/>
                <w:szCs w:val="14"/>
                <w:b w:val="1"/>
                <w:bCs w:val="1"/>
                <w:color w:val="auto"/>
              </w:rPr>
              <w:t>(32 )</w:t>
            </w:r>
          </w:p>
        </w:tc>
        <w:tc>
          <w:tcPr>
            <w:tcW w:w="26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4"/>
                <w:szCs w:val="14"/>
                <w:color w:val="auto"/>
              </w:rPr>
              <w:t>117</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4"/>
                <w:szCs w:val="14"/>
                <w:color w:val="auto"/>
              </w:rPr>
              <w:t>138</w:t>
            </w:r>
          </w:p>
        </w:tc>
        <w:tc>
          <w:tcPr>
            <w:tcW w:w="100" w:type="dxa"/>
            <w:vAlign w:val="bottom"/>
          </w:tcPr>
          <w:p>
            <w:pPr>
              <w:spacing w:after="0"/>
              <w:rPr>
                <w:sz w:val="13"/>
                <w:szCs w:val="13"/>
                <w:color w:val="auto"/>
              </w:rPr>
            </w:pPr>
          </w:p>
        </w:tc>
      </w:tr>
      <w:tr>
        <w:trPr>
          <w:trHeight w:val="160"/>
        </w:trPr>
        <w:tc>
          <w:tcPr>
            <w:tcW w:w="6900" w:type="dxa"/>
            <w:vAlign w:val="bottom"/>
            <w:shd w:val="clear" w:color="auto" w:fill="CFF0FC"/>
          </w:tcPr>
          <w:p>
            <w:pPr>
              <w:ind w:left="280"/>
              <w:spacing w:after="0" w:line="160" w:lineRule="exact"/>
              <w:rPr>
                <w:sz w:val="20"/>
                <w:szCs w:val="20"/>
                <w:color w:val="auto"/>
              </w:rPr>
            </w:pPr>
            <w:r>
              <w:rPr>
                <w:rFonts w:ascii="Arial" w:cs="Arial" w:eastAsia="Arial" w:hAnsi="Arial"/>
                <w:sz w:val="14"/>
                <w:szCs w:val="14"/>
                <w:color w:val="auto"/>
              </w:rPr>
              <w:t>Purchases of Blue Chip Swap securities</w:t>
            </w:r>
          </w:p>
        </w:tc>
        <w:tc>
          <w:tcPr>
            <w:tcW w:w="2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20"/>
              <w:spacing w:after="0" w:line="160" w:lineRule="exact"/>
              <w:rPr>
                <w:sz w:val="20"/>
                <w:szCs w:val="20"/>
                <w:color w:val="auto"/>
              </w:rPr>
            </w:pPr>
            <w:r>
              <w:rPr>
                <w:rFonts w:ascii="Arial" w:cs="Arial" w:eastAsia="Arial" w:hAnsi="Arial"/>
                <w:sz w:val="14"/>
                <w:szCs w:val="14"/>
                <w:b w:val="1"/>
                <w:bCs w:val="1"/>
                <w:color w:val="auto"/>
              </w:rPr>
              <w:t>(207 )</w:t>
            </w:r>
          </w:p>
        </w:tc>
        <w:tc>
          <w:tcPr>
            <w:tcW w:w="2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00"/>
              <w:spacing w:after="0" w:line="160" w:lineRule="exact"/>
              <w:rPr>
                <w:sz w:val="20"/>
                <w:szCs w:val="20"/>
                <w:color w:val="auto"/>
              </w:rPr>
            </w:pPr>
            <w:r>
              <w:rPr>
                <w:rFonts w:ascii="Arial" w:cs="Arial" w:eastAsia="Arial" w:hAnsi="Arial"/>
                <w:sz w:val="14"/>
                <w:szCs w:val="14"/>
                <w:color w:val="auto"/>
              </w:rPr>
              <w:t>(185 )</w:t>
            </w:r>
          </w:p>
        </w:tc>
        <w:tc>
          <w:tcPr>
            <w:tcW w:w="2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40"/>
              <w:spacing w:after="0" w:line="160" w:lineRule="exact"/>
              <w:rPr>
                <w:sz w:val="20"/>
                <w:szCs w:val="20"/>
                <w:color w:val="auto"/>
              </w:rPr>
            </w:pPr>
            <w:r>
              <w:rPr>
                <w:rFonts w:ascii="Arial" w:cs="Arial" w:eastAsia="Arial" w:hAnsi="Arial"/>
                <w:sz w:val="14"/>
                <w:szCs w:val="14"/>
                <w:color w:val="auto"/>
              </w:rPr>
              <w:t>(259 )</w:t>
            </w:r>
          </w:p>
        </w:tc>
      </w:tr>
      <w:tr>
        <w:trPr>
          <w:trHeight w:val="160"/>
        </w:trPr>
        <w:tc>
          <w:tcPr>
            <w:tcW w:w="6900" w:type="dxa"/>
            <w:vAlign w:val="bottom"/>
          </w:tcPr>
          <w:p>
            <w:pPr>
              <w:ind w:left="280"/>
              <w:spacing w:after="0" w:line="160" w:lineRule="exact"/>
              <w:rPr>
                <w:sz w:val="20"/>
                <w:szCs w:val="20"/>
                <w:color w:val="auto"/>
              </w:rPr>
            </w:pPr>
            <w:r>
              <w:rPr>
                <w:rFonts w:ascii="Arial" w:cs="Arial" w:eastAsia="Arial" w:hAnsi="Arial"/>
                <w:sz w:val="14"/>
                <w:szCs w:val="14"/>
                <w:color w:val="auto"/>
              </w:rPr>
              <w:t>Proceeds from sales of Blue Chip Swap securities</w:t>
            </w:r>
          </w:p>
        </w:tc>
        <w:tc>
          <w:tcPr>
            <w:tcW w:w="280" w:type="dxa"/>
            <w:vAlign w:val="bottom"/>
          </w:tcPr>
          <w:p>
            <w:pPr>
              <w:spacing w:after="0"/>
              <w:rPr>
                <w:sz w:val="13"/>
                <w:szCs w:val="13"/>
                <w:color w:val="auto"/>
              </w:rPr>
            </w:pPr>
          </w:p>
        </w:tc>
        <w:tc>
          <w:tcPr>
            <w:tcW w:w="98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152</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4"/>
                <w:szCs w:val="14"/>
                <w:color w:val="auto"/>
              </w:rPr>
              <w:t>97</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4"/>
                <w:szCs w:val="14"/>
                <w:color w:val="auto"/>
              </w:rPr>
              <w:t>111</w:t>
            </w:r>
          </w:p>
        </w:tc>
        <w:tc>
          <w:tcPr>
            <w:tcW w:w="100" w:type="dxa"/>
            <w:vAlign w:val="bottom"/>
          </w:tcPr>
          <w:p>
            <w:pPr>
              <w:spacing w:after="0"/>
              <w:rPr>
                <w:sz w:val="13"/>
                <w:szCs w:val="13"/>
                <w:color w:val="auto"/>
              </w:rPr>
            </w:pPr>
          </w:p>
        </w:tc>
      </w:tr>
      <w:tr>
        <w:trPr>
          <w:trHeight w:val="160"/>
        </w:trPr>
        <w:tc>
          <w:tcPr>
            <w:tcW w:w="6900" w:type="dxa"/>
            <w:vAlign w:val="bottom"/>
            <w:shd w:val="clear" w:color="auto" w:fill="CFF0FC"/>
          </w:tcPr>
          <w:p>
            <w:pPr>
              <w:ind w:left="280"/>
              <w:spacing w:after="0" w:line="160" w:lineRule="exact"/>
              <w:rPr>
                <w:sz w:val="20"/>
                <w:szCs w:val="20"/>
                <w:color w:val="auto"/>
              </w:rPr>
            </w:pPr>
            <w:r>
              <w:rPr>
                <w:rFonts w:ascii="Arial" w:cs="Arial" w:eastAsia="Arial" w:hAnsi="Arial"/>
                <w:sz w:val="14"/>
                <w:szCs w:val="14"/>
                <w:color w:val="auto"/>
              </w:rPr>
              <w:t>Proceeds from sale of Liberty shares</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color w:val="auto"/>
              </w:rPr>
              <w:t>137</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color w:val="auto"/>
              </w:rPr>
              <w:t>732</w:t>
            </w:r>
          </w:p>
        </w:tc>
        <w:tc>
          <w:tcPr>
            <w:tcW w:w="100" w:type="dxa"/>
            <w:vAlign w:val="bottom"/>
            <w:shd w:val="clear" w:color="auto" w:fill="CFF0FC"/>
          </w:tcPr>
          <w:p>
            <w:pPr>
              <w:spacing w:after="0"/>
              <w:rPr>
                <w:sz w:val="13"/>
                <w:szCs w:val="13"/>
                <w:color w:val="auto"/>
              </w:rPr>
            </w:pPr>
          </w:p>
        </w:tc>
      </w:tr>
      <w:tr>
        <w:trPr>
          <w:trHeight w:val="160"/>
        </w:trPr>
        <w:tc>
          <w:tcPr>
            <w:tcW w:w="6900" w:type="dxa"/>
            <w:vAlign w:val="bottom"/>
          </w:tcPr>
          <w:p>
            <w:pPr>
              <w:ind w:left="280"/>
              <w:spacing w:after="0" w:line="160" w:lineRule="exact"/>
              <w:rPr>
                <w:sz w:val="20"/>
                <w:szCs w:val="20"/>
                <w:color w:val="auto"/>
              </w:rPr>
            </w:pPr>
            <w:r>
              <w:rPr>
                <w:rFonts w:ascii="Arial" w:cs="Arial" w:eastAsia="Arial" w:hAnsi="Arial"/>
                <w:sz w:val="14"/>
                <w:szCs w:val="14"/>
                <w:color w:val="auto"/>
              </w:rPr>
              <w:t>Proceeds from sale of ADC shares</w:t>
            </w:r>
          </w:p>
        </w:tc>
        <w:tc>
          <w:tcPr>
            <w:tcW w:w="280" w:type="dxa"/>
            <w:vAlign w:val="bottom"/>
          </w:tcPr>
          <w:p>
            <w:pPr>
              <w:spacing w:after="0"/>
              <w:rPr>
                <w:sz w:val="13"/>
                <w:szCs w:val="13"/>
                <w:color w:val="auto"/>
              </w:rPr>
            </w:pPr>
          </w:p>
        </w:tc>
        <w:tc>
          <w:tcPr>
            <w:tcW w:w="98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4"/>
                <w:szCs w:val="14"/>
                <w:color w:val="auto"/>
              </w:rPr>
              <w:t>223</w:t>
            </w:r>
          </w:p>
        </w:tc>
        <w:tc>
          <w:tcPr>
            <w:tcW w:w="100" w:type="dxa"/>
            <w:vAlign w:val="bottom"/>
          </w:tcPr>
          <w:p>
            <w:pPr>
              <w:spacing w:after="0"/>
              <w:rPr>
                <w:sz w:val="13"/>
                <w:szCs w:val="13"/>
                <w:color w:val="auto"/>
              </w:rPr>
            </w:pPr>
          </w:p>
        </w:tc>
      </w:tr>
      <w:tr>
        <w:trPr>
          <w:trHeight w:val="160"/>
        </w:trPr>
        <w:tc>
          <w:tcPr>
            <w:tcW w:w="6900" w:type="dxa"/>
            <w:vAlign w:val="bottom"/>
            <w:shd w:val="clear" w:color="auto" w:fill="CFF0FC"/>
          </w:tcPr>
          <w:p>
            <w:pPr>
              <w:ind w:left="280"/>
              <w:spacing w:after="0" w:line="160" w:lineRule="exact"/>
              <w:rPr>
                <w:sz w:val="20"/>
                <w:szCs w:val="20"/>
                <w:color w:val="auto"/>
              </w:rPr>
            </w:pPr>
            <w:r>
              <w:rPr>
                <w:rFonts w:ascii="Arial" w:cs="Arial" w:eastAsia="Arial" w:hAnsi="Arial"/>
                <w:sz w:val="14"/>
                <w:szCs w:val="14"/>
                <w:color w:val="auto"/>
              </w:rPr>
              <w:t>Proceeds from sale of real estate</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color w:val="auto"/>
              </w:rPr>
              <w:t>120</w:t>
            </w:r>
          </w:p>
        </w:tc>
        <w:tc>
          <w:tcPr>
            <w:tcW w:w="100" w:type="dxa"/>
            <w:vAlign w:val="bottom"/>
            <w:shd w:val="clear" w:color="auto" w:fill="CFF0FC"/>
          </w:tcPr>
          <w:p>
            <w:pPr>
              <w:spacing w:after="0"/>
              <w:rPr>
                <w:sz w:val="13"/>
                <w:szCs w:val="13"/>
                <w:color w:val="auto"/>
              </w:rPr>
            </w:pPr>
          </w:p>
        </w:tc>
      </w:tr>
      <w:tr>
        <w:trPr>
          <w:trHeight w:val="160"/>
        </w:trPr>
        <w:tc>
          <w:tcPr>
            <w:tcW w:w="6900" w:type="dxa"/>
            <w:vAlign w:val="bottom"/>
          </w:tcPr>
          <w:p>
            <w:pPr>
              <w:ind w:left="280"/>
              <w:spacing w:after="0" w:line="160" w:lineRule="exact"/>
              <w:rPr>
                <w:sz w:val="20"/>
                <w:szCs w:val="20"/>
                <w:color w:val="auto"/>
              </w:rPr>
            </w:pPr>
            <w:r>
              <w:rPr>
                <w:rFonts w:ascii="Arial" w:cs="Arial" w:eastAsia="Arial" w:hAnsi="Arial"/>
                <w:sz w:val="14"/>
                <w:szCs w:val="14"/>
                <w:color w:val="auto"/>
              </w:rPr>
              <w:t>Other</w:t>
            </w:r>
          </w:p>
        </w:tc>
        <w:tc>
          <w:tcPr>
            <w:tcW w:w="280" w:type="dxa"/>
            <w:vAlign w:val="bottom"/>
          </w:tcPr>
          <w:p>
            <w:pPr>
              <w:spacing w:after="0"/>
              <w:rPr>
                <w:sz w:val="13"/>
                <w:szCs w:val="13"/>
                <w:color w:val="auto"/>
              </w:rPr>
            </w:pPr>
          </w:p>
        </w:tc>
        <w:tc>
          <w:tcPr>
            <w:tcW w:w="98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107</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200"/>
              <w:spacing w:after="0" w:line="160" w:lineRule="exact"/>
              <w:rPr>
                <w:sz w:val="20"/>
                <w:szCs w:val="20"/>
                <w:color w:val="auto"/>
              </w:rPr>
            </w:pPr>
            <w:r>
              <w:rPr>
                <w:rFonts w:ascii="Arial" w:cs="Arial" w:eastAsia="Arial" w:hAnsi="Arial"/>
                <w:sz w:val="14"/>
                <w:szCs w:val="14"/>
                <w:color w:val="auto"/>
              </w:rPr>
              <w:t>(108 )</w:t>
            </w:r>
          </w:p>
        </w:tc>
        <w:tc>
          <w:tcPr>
            <w:tcW w:w="260" w:type="dxa"/>
            <w:vAlign w:val="bottom"/>
          </w:tcPr>
          <w:p>
            <w:pPr>
              <w:spacing w:after="0"/>
              <w:rPr>
                <w:sz w:val="13"/>
                <w:szCs w:val="13"/>
                <w:color w:val="auto"/>
              </w:rPr>
            </w:pPr>
          </w:p>
        </w:tc>
        <w:tc>
          <w:tcPr>
            <w:tcW w:w="1060" w:type="dxa"/>
            <w:vAlign w:val="bottom"/>
            <w:gridSpan w:val="2"/>
          </w:tcPr>
          <w:p>
            <w:pPr>
              <w:jc w:val="right"/>
              <w:ind w:right="40"/>
              <w:spacing w:after="0" w:line="160" w:lineRule="exact"/>
              <w:rPr>
                <w:sz w:val="20"/>
                <w:szCs w:val="20"/>
                <w:color w:val="auto"/>
              </w:rPr>
            </w:pPr>
            <w:r>
              <w:rPr>
                <w:rFonts w:ascii="Arial" w:cs="Arial" w:eastAsia="Arial" w:hAnsi="Arial"/>
                <w:sz w:val="14"/>
                <w:szCs w:val="14"/>
                <w:color w:val="auto"/>
              </w:rPr>
              <w:t>(93 )</w:t>
            </w:r>
          </w:p>
        </w:tc>
      </w:tr>
      <w:tr>
        <w:trPr>
          <w:trHeight w:val="20"/>
        </w:trPr>
        <w:tc>
          <w:tcPr>
            <w:tcW w:w="6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690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NET CASH USED IN INVESTING ACTIVITIES</w:t>
            </w:r>
          </w:p>
        </w:tc>
        <w:tc>
          <w:tcPr>
            <w:tcW w:w="2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b w:val="1"/>
                <w:bCs w:val="1"/>
                <w:color w:val="auto"/>
              </w:rPr>
              <w:t>(3,145 )</w:t>
            </w:r>
          </w:p>
        </w:tc>
        <w:tc>
          <w:tcPr>
            <w:tcW w:w="2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00"/>
              <w:spacing w:after="0" w:line="153" w:lineRule="exact"/>
              <w:rPr>
                <w:sz w:val="20"/>
                <w:szCs w:val="20"/>
                <w:color w:val="auto"/>
              </w:rPr>
            </w:pPr>
            <w:r>
              <w:rPr>
                <w:rFonts w:ascii="Arial" w:cs="Arial" w:eastAsia="Arial" w:hAnsi="Arial"/>
                <w:sz w:val="14"/>
                <w:szCs w:val="14"/>
                <w:color w:val="auto"/>
              </w:rPr>
              <w:t>(2,783 )</w:t>
            </w:r>
          </w:p>
        </w:tc>
        <w:tc>
          <w:tcPr>
            <w:tcW w:w="2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40"/>
              <w:spacing w:after="0" w:line="153" w:lineRule="exact"/>
              <w:rPr>
                <w:sz w:val="20"/>
                <w:szCs w:val="20"/>
                <w:color w:val="auto"/>
              </w:rPr>
            </w:pPr>
            <w:r>
              <w:rPr>
                <w:rFonts w:ascii="Arial" w:cs="Arial" w:eastAsia="Arial" w:hAnsi="Arial"/>
                <w:sz w:val="14"/>
                <w:szCs w:val="14"/>
                <w:color w:val="auto"/>
              </w:rPr>
              <w:t>(1,388 )</w:t>
            </w:r>
          </w:p>
        </w:tc>
      </w:tr>
      <w:tr>
        <w:trPr>
          <w:trHeight w:val="153"/>
        </w:trPr>
        <w:tc>
          <w:tcPr>
            <w:tcW w:w="6900" w:type="dxa"/>
            <w:vAlign w:val="bottom"/>
            <w:tcBorders>
              <w:top w:val="single" w:sz="8" w:color="CFF0FC"/>
            </w:tcBorders>
          </w:tcPr>
          <w:p>
            <w:pPr>
              <w:ind w:left="20"/>
              <w:spacing w:after="0" w:line="153" w:lineRule="exact"/>
              <w:rPr>
                <w:sz w:val="20"/>
                <w:szCs w:val="20"/>
                <w:color w:val="auto"/>
              </w:rPr>
            </w:pPr>
            <w:r>
              <w:rPr>
                <w:rFonts w:ascii="Arial" w:cs="Arial" w:eastAsia="Arial" w:hAnsi="Arial"/>
                <w:sz w:val="14"/>
                <w:szCs w:val="14"/>
                <w:color w:val="auto"/>
              </w:rPr>
              <w:t>Cash flows from financing activities:</w:t>
            </w: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60"/>
        </w:trPr>
        <w:tc>
          <w:tcPr>
            <w:tcW w:w="6900" w:type="dxa"/>
            <w:vAlign w:val="bottom"/>
            <w:shd w:val="clear" w:color="auto" w:fill="CFF0FC"/>
          </w:tcPr>
          <w:p>
            <w:pPr>
              <w:ind w:left="280"/>
              <w:spacing w:after="0" w:line="160" w:lineRule="exact"/>
              <w:rPr>
                <w:sz w:val="20"/>
                <w:szCs w:val="20"/>
                <w:color w:val="auto"/>
              </w:rPr>
            </w:pPr>
            <w:r>
              <w:rPr>
                <w:rFonts w:ascii="Arial" w:cs="Arial" w:eastAsia="Arial" w:hAnsi="Arial"/>
                <w:sz w:val="14"/>
                <w:szCs w:val="14"/>
                <w:color w:val="auto"/>
              </w:rPr>
              <w:t>Dividends paid</w:t>
            </w:r>
          </w:p>
        </w:tc>
        <w:tc>
          <w:tcPr>
            <w:tcW w:w="2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20"/>
              <w:spacing w:after="0" w:line="160" w:lineRule="exact"/>
              <w:rPr>
                <w:sz w:val="20"/>
                <w:szCs w:val="20"/>
                <w:color w:val="auto"/>
              </w:rPr>
            </w:pPr>
            <w:r>
              <w:rPr>
                <w:rFonts w:ascii="Arial" w:cs="Arial" w:eastAsia="Arial" w:hAnsi="Arial"/>
                <w:sz w:val="14"/>
                <w:szCs w:val="14"/>
                <w:b w:val="1"/>
                <w:bCs w:val="1"/>
                <w:color w:val="auto"/>
              </w:rPr>
              <w:t>(1,533 )</w:t>
            </w:r>
          </w:p>
        </w:tc>
        <w:tc>
          <w:tcPr>
            <w:tcW w:w="2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00"/>
              <w:spacing w:after="0" w:line="160" w:lineRule="exact"/>
              <w:rPr>
                <w:sz w:val="20"/>
                <w:szCs w:val="20"/>
                <w:color w:val="auto"/>
              </w:rPr>
            </w:pPr>
            <w:r>
              <w:rPr>
                <w:rFonts w:ascii="Arial" w:cs="Arial" w:eastAsia="Arial" w:hAnsi="Arial"/>
                <w:sz w:val="14"/>
                <w:szCs w:val="14"/>
                <w:color w:val="auto"/>
              </w:rPr>
              <w:t>(1,317 )</w:t>
            </w:r>
          </w:p>
        </w:tc>
        <w:tc>
          <w:tcPr>
            <w:tcW w:w="2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40"/>
              <w:spacing w:after="0" w:line="160" w:lineRule="exact"/>
              <w:rPr>
                <w:sz w:val="20"/>
                <w:szCs w:val="20"/>
                <w:color w:val="auto"/>
              </w:rPr>
            </w:pPr>
            <w:r>
              <w:rPr>
                <w:rFonts w:ascii="Arial" w:cs="Arial" w:eastAsia="Arial" w:hAnsi="Arial"/>
                <w:sz w:val="14"/>
                <w:szCs w:val="14"/>
                <w:color w:val="auto"/>
              </w:rPr>
              <w:t>(848 )</w:t>
            </w:r>
          </w:p>
        </w:tc>
      </w:tr>
      <w:tr>
        <w:trPr>
          <w:trHeight w:val="160"/>
        </w:trPr>
        <w:tc>
          <w:tcPr>
            <w:tcW w:w="6900" w:type="dxa"/>
            <w:vAlign w:val="bottom"/>
          </w:tcPr>
          <w:p>
            <w:pPr>
              <w:ind w:left="280"/>
              <w:spacing w:after="0" w:line="160" w:lineRule="exact"/>
              <w:rPr>
                <w:sz w:val="20"/>
                <w:szCs w:val="20"/>
                <w:color w:val="auto"/>
              </w:rPr>
            </w:pPr>
            <w:r>
              <w:rPr>
                <w:rFonts w:ascii="Arial" w:cs="Arial" w:eastAsia="Arial" w:hAnsi="Arial"/>
                <w:sz w:val="14"/>
                <w:szCs w:val="14"/>
                <w:color w:val="auto"/>
              </w:rPr>
              <w:t>Stock repurchase program</w:t>
            </w:r>
          </w:p>
        </w:tc>
        <w:tc>
          <w:tcPr>
            <w:tcW w:w="280" w:type="dxa"/>
            <w:vAlign w:val="bottom"/>
          </w:tcPr>
          <w:p>
            <w:pPr>
              <w:spacing w:after="0"/>
              <w:rPr>
                <w:sz w:val="13"/>
                <w:szCs w:val="13"/>
                <w:color w:val="auto"/>
              </w:rPr>
            </w:pPr>
          </w:p>
        </w:tc>
        <w:tc>
          <w:tcPr>
            <w:tcW w:w="1260" w:type="dxa"/>
            <w:vAlign w:val="bottom"/>
            <w:gridSpan w:val="2"/>
          </w:tcPr>
          <w:p>
            <w:pPr>
              <w:jc w:val="right"/>
              <w:ind w:right="220"/>
              <w:spacing w:after="0" w:line="160" w:lineRule="exact"/>
              <w:rPr>
                <w:sz w:val="20"/>
                <w:szCs w:val="20"/>
                <w:color w:val="auto"/>
              </w:rPr>
            </w:pPr>
            <w:r>
              <w:rPr>
                <w:rFonts w:ascii="Arial" w:cs="Arial" w:eastAsia="Arial" w:hAnsi="Arial"/>
                <w:sz w:val="14"/>
                <w:szCs w:val="14"/>
                <w:b w:val="1"/>
                <w:bCs w:val="1"/>
                <w:color w:val="auto"/>
              </w:rPr>
              <w:t>(1,737 )</w:t>
            </w:r>
          </w:p>
        </w:tc>
        <w:tc>
          <w:tcPr>
            <w:tcW w:w="260" w:type="dxa"/>
            <w:vAlign w:val="bottom"/>
          </w:tcPr>
          <w:p>
            <w:pPr>
              <w:spacing w:after="0"/>
              <w:rPr>
                <w:sz w:val="13"/>
                <w:szCs w:val="13"/>
                <w:color w:val="auto"/>
              </w:rPr>
            </w:pPr>
          </w:p>
        </w:tc>
        <w:tc>
          <w:tcPr>
            <w:tcW w:w="1220" w:type="dxa"/>
            <w:vAlign w:val="bottom"/>
            <w:gridSpan w:val="2"/>
          </w:tcPr>
          <w:p>
            <w:pPr>
              <w:jc w:val="right"/>
              <w:ind w:right="200"/>
              <w:spacing w:after="0" w:line="160" w:lineRule="exact"/>
              <w:rPr>
                <w:sz w:val="20"/>
                <w:szCs w:val="20"/>
                <w:color w:val="auto"/>
              </w:rPr>
            </w:pPr>
            <w:r>
              <w:rPr>
                <w:rFonts w:ascii="Arial" w:cs="Arial" w:eastAsia="Arial" w:hAnsi="Arial"/>
                <w:sz w:val="14"/>
                <w:szCs w:val="14"/>
                <w:color w:val="auto"/>
              </w:rPr>
              <w:t>(694 )</w:t>
            </w:r>
          </w:p>
        </w:tc>
        <w:tc>
          <w:tcPr>
            <w:tcW w:w="26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r>
      <w:tr>
        <w:trPr>
          <w:trHeight w:val="160"/>
        </w:trPr>
        <w:tc>
          <w:tcPr>
            <w:tcW w:w="6900" w:type="dxa"/>
            <w:vAlign w:val="bottom"/>
            <w:shd w:val="clear" w:color="auto" w:fill="CFF0FC"/>
          </w:tcPr>
          <w:p>
            <w:pPr>
              <w:ind w:left="280"/>
              <w:spacing w:after="0" w:line="160" w:lineRule="exact"/>
              <w:rPr>
                <w:sz w:val="20"/>
                <w:szCs w:val="20"/>
                <w:color w:val="auto"/>
              </w:rPr>
            </w:pPr>
            <w:r>
              <w:rPr>
                <w:rFonts w:ascii="Arial" w:cs="Arial" w:eastAsia="Arial" w:hAnsi="Arial"/>
                <w:sz w:val="14"/>
                <w:szCs w:val="14"/>
                <w:color w:val="auto"/>
              </w:rPr>
              <w:t>Proceeds from employee stock purchase plan</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b w:val="1"/>
                <w:bCs w:val="1"/>
                <w:color w:val="auto"/>
              </w:rPr>
              <w:t>219</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color w:val="auto"/>
              </w:rPr>
              <w:t>191</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60" w:lineRule="exact"/>
              <w:rPr>
                <w:sz w:val="20"/>
                <w:szCs w:val="20"/>
                <w:color w:val="auto"/>
              </w:rPr>
            </w:pPr>
            <w:r>
              <w:rPr>
                <w:rFonts w:ascii="Arial" w:cs="Arial" w:eastAsia="Arial" w:hAnsi="Arial"/>
                <w:sz w:val="14"/>
                <w:szCs w:val="14"/>
                <w:color w:val="auto"/>
              </w:rPr>
              <w:t>142</w:t>
            </w:r>
          </w:p>
        </w:tc>
        <w:tc>
          <w:tcPr>
            <w:tcW w:w="100" w:type="dxa"/>
            <w:vAlign w:val="bottom"/>
            <w:shd w:val="clear" w:color="auto" w:fill="CFF0FC"/>
          </w:tcPr>
          <w:p>
            <w:pPr>
              <w:spacing w:after="0"/>
              <w:rPr>
                <w:sz w:val="13"/>
                <w:szCs w:val="13"/>
                <w:color w:val="auto"/>
              </w:rPr>
            </w:pPr>
          </w:p>
        </w:tc>
      </w:tr>
      <w:tr>
        <w:trPr>
          <w:trHeight w:val="160"/>
        </w:trPr>
        <w:tc>
          <w:tcPr>
            <w:tcW w:w="6900" w:type="dxa"/>
            <w:vAlign w:val="bottom"/>
          </w:tcPr>
          <w:p>
            <w:pPr>
              <w:ind w:left="280"/>
              <w:spacing w:after="0" w:line="160" w:lineRule="exact"/>
              <w:rPr>
                <w:sz w:val="20"/>
                <w:szCs w:val="20"/>
                <w:color w:val="auto"/>
              </w:rPr>
            </w:pPr>
            <w:r>
              <w:rPr>
                <w:rFonts w:ascii="Arial" w:cs="Arial" w:eastAsia="Arial" w:hAnsi="Arial"/>
                <w:sz w:val="14"/>
                <w:szCs w:val="14"/>
                <w:color w:val="auto"/>
              </w:rPr>
              <w:t>Proceeds from exercise of stock options</w:t>
            </w:r>
          </w:p>
        </w:tc>
        <w:tc>
          <w:tcPr>
            <w:tcW w:w="280" w:type="dxa"/>
            <w:vAlign w:val="bottom"/>
          </w:tcPr>
          <w:p>
            <w:pPr>
              <w:spacing w:after="0"/>
              <w:rPr>
                <w:sz w:val="13"/>
                <w:szCs w:val="13"/>
                <w:color w:val="auto"/>
              </w:rPr>
            </w:pPr>
          </w:p>
        </w:tc>
        <w:tc>
          <w:tcPr>
            <w:tcW w:w="98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29</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4"/>
                <w:szCs w:val="14"/>
                <w:color w:val="auto"/>
              </w:rPr>
              <w:t>90</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4"/>
                <w:szCs w:val="14"/>
                <w:color w:val="auto"/>
              </w:rPr>
              <w:t>81</w:t>
            </w:r>
          </w:p>
        </w:tc>
        <w:tc>
          <w:tcPr>
            <w:tcW w:w="100" w:type="dxa"/>
            <w:vAlign w:val="bottom"/>
          </w:tcPr>
          <w:p>
            <w:pPr>
              <w:spacing w:after="0"/>
              <w:rPr>
                <w:sz w:val="13"/>
                <w:szCs w:val="13"/>
                <w:color w:val="auto"/>
              </w:rPr>
            </w:pPr>
          </w:p>
        </w:tc>
      </w:tr>
      <w:tr>
        <w:trPr>
          <w:trHeight w:val="160"/>
        </w:trPr>
        <w:tc>
          <w:tcPr>
            <w:tcW w:w="6900" w:type="dxa"/>
            <w:vAlign w:val="bottom"/>
            <w:shd w:val="clear" w:color="auto" w:fill="CFF0FC"/>
          </w:tcPr>
          <w:p>
            <w:pPr>
              <w:ind w:left="280"/>
              <w:spacing w:after="0" w:line="160" w:lineRule="exact"/>
              <w:rPr>
                <w:sz w:val="20"/>
                <w:szCs w:val="20"/>
                <w:color w:val="auto"/>
              </w:rPr>
            </w:pPr>
            <w:r>
              <w:rPr>
                <w:rFonts w:ascii="Arial" w:cs="Arial" w:eastAsia="Arial" w:hAnsi="Arial"/>
                <w:sz w:val="14"/>
                <w:szCs w:val="14"/>
                <w:color w:val="auto"/>
              </w:rPr>
              <w:t>Taxes paid on net-settled stock-based compensation awards</w:t>
            </w:r>
          </w:p>
        </w:tc>
        <w:tc>
          <w:tcPr>
            <w:tcW w:w="2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20"/>
              <w:spacing w:after="0" w:line="160" w:lineRule="exact"/>
              <w:rPr>
                <w:sz w:val="20"/>
                <w:szCs w:val="20"/>
                <w:color w:val="auto"/>
              </w:rPr>
            </w:pPr>
            <w:r>
              <w:rPr>
                <w:rFonts w:ascii="Arial" w:cs="Arial" w:eastAsia="Arial" w:hAnsi="Arial"/>
                <w:sz w:val="14"/>
                <w:szCs w:val="14"/>
                <w:b w:val="1"/>
                <w:bCs w:val="1"/>
                <w:color w:val="auto"/>
              </w:rPr>
              <w:t>(90 )</w:t>
            </w:r>
          </w:p>
        </w:tc>
        <w:tc>
          <w:tcPr>
            <w:tcW w:w="2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00"/>
              <w:spacing w:after="0" w:line="160" w:lineRule="exact"/>
              <w:rPr>
                <w:sz w:val="20"/>
                <w:szCs w:val="20"/>
                <w:color w:val="auto"/>
              </w:rPr>
            </w:pPr>
            <w:r>
              <w:rPr>
                <w:rFonts w:ascii="Arial" w:cs="Arial" w:eastAsia="Arial" w:hAnsi="Arial"/>
                <w:sz w:val="14"/>
                <w:szCs w:val="14"/>
                <w:color w:val="auto"/>
              </w:rPr>
              <w:t>(169 )</w:t>
            </w:r>
          </w:p>
        </w:tc>
        <w:tc>
          <w:tcPr>
            <w:tcW w:w="2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40"/>
              <w:spacing w:after="0" w:line="160" w:lineRule="exact"/>
              <w:rPr>
                <w:sz w:val="20"/>
                <w:szCs w:val="20"/>
                <w:color w:val="auto"/>
              </w:rPr>
            </w:pPr>
            <w:r>
              <w:rPr>
                <w:rFonts w:ascii="Arial" w:cs="Arial" w:eastAsia="Arial" w:hAnsi="Arial"/>
                <w:sz w:val="14"/>
                <w:szCs w:val="14"/>
                <w:color w:val="auto"/>
              </w:rPr>
              <w:t>(93 )</w:t>
            </w:r>
          </w:p>
        </w:tc>
      </w:tr>
      <w:tr>
        <w:trPr>
          <w:trHeight w:val="160"/>
        </w:trPr>
        <w:tc>
          <w:tcPr>
            <w:tcW w:w="6900" w:type="dxa"/>
            <w:vAlign w:val="bottom"/>
          </w:tcPr>
          <w:p>
            <w:pPr>
              <w:ind w:left="280"/>
              <w:spacing w:after="0" w:line="160" w:lineRule="exact"/>
              <w:rPr>
                <w:sz w:val="20"/>
                <w:szCs w:val="20"/>
                <w:color w:val="auto"/>
              </w:rPr>
            </w:pPr>
            <w:r>
              <w:rPr>
                <w:rFonts w:ascii="Arial" w:cs="Arial" w:eastAsia="Arial" w:hAnsi="Arial"/>
                <w:sz w:val="14"/>
                <w:szCs w:val="14"/>
                <w:color w:val="auto"/>
              </w:rPr>
              <w:t>Proceeds from issuance of long-term debt</w:t>
            </w:r>
          </w:p>
        </w:tc>
        <w:tc>
          <w:tcPr>
            <w:tcW w:w="280" w:type="dxa"/>
            <w:vAlign w:val="bottom"/>
          </w:tcPr>
          <w:p>
            <w:pPr>
              <w:spacing w:after="0"/>
              <w:rPr>
                <w:sz w:val="13"/>
                <w:szCs w:val="13"/>
                <w:color w:val="auto"/>
              </w:rPr>
            </w:pPr>
          </w:p>
        </w:tc>
        <w:tc>
          <w:tcPr>
            <w:tcW w:w="98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1,475</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4"/>
                <w:szCs w:val="14"/>
                <w:color w:val="auto"/>
              </w:rPr>
              <w:t>994</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r>
      <w:tr>
        <w:trPr>
          <w:trHeight w:val="160"/>
        </w:trPr>
        <w:tc>
          <w:tcPr>
            <w:tcW w:w="6900" w:type="dxa"/>
            <w:vAlign w:val="bottom"/>
            <w:shd w:val="clear" w:color="auto" w:fill="CFF0FC"/>
          </w:tcPr>
          <w:p>
            <w:pPr>
              <w:ind w:left="280"/>
              <w:spacing w:after="0" w:line="160" w:lineRule="exact"/>
              <w:rPr>
                <w:sz w:val="20"/>
                <w:szCs w:val="20"/>
                <w:color w:val="auto"/>
              </w:rPr>
            </w:pPr>
            <w:r>
              <w:rPr>
                <w:rFonts w:ascii="Arial" w:cs="Arial" w:eastAsia="Arial" w:hAnsi="Arial"/>
                <w:sz w:val="14"/>
                <w:szCs w:val="14"/>
                <w:color w:val="auto"/>
              </w:rPr>
              <w:t>Repayment of long-term debt</w:t>
            </w:r>
          </w:p>
        </w:tc>
        <w:tc>
          <w:tcPr>
            <w:tcW w:w="2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20"/>
              <w:spacing w:after="0" w:line="160" w:lineRule="exact"/>
              <w:rPr>
                <w:sz w:val="20"/>
                <w:szCs w:val="20"/>
                <w:color w:val="auto"/>
              </w:rPr>
            </w:pPr>
            <w:r>
              <w:rPr>
                <w:rFonts w:ascii="Arial" w:cs="Arial" w:eastAsia="Arial" w:hAnsi="Arial"/>
                <w:sz w:val="14"/>
                <w:szCs w:val="14"/>
                <w:b w:val="1"/>
                <w:bCs w:val="1"/>
                <w:color w:val="auto"/>
              </w:rPr>
              <w:t>(955 )</w:t>
            </w:r>
          </w:p>
        </w:tc>
        <w:tc>
          <w:tcPr>
            <w:tcW w:w="2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00"/>
              <w:spacing w:after="0" w:line="160" w:lineRule="exact"/>
              <w:rPr>
                <w:sz w:val="20"/>
                <w:szCs w:val="20"/>
                <w:color w:val="auto"/>
              </w:rPr>
            </w:pPr>
            <w:r>
              <w:rPr>
                <w:rFonts w:ascii="Arial" w:cs="Arial" w:eastAsia="Arial" w:hAnsi="Arial"/>
                <w:sz w:val="14"/>
                <w:szCs w:val="14"/>
                <w:color w:val="auto"/>
              </w:rPr>
              <w:t>(1,578 )</w:t>
            </w:r>
          </w:p>
        </w:tc>
        <w:tc>
          <w:tcPr>
            <w:tcW w:w="2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40"/>
              <w:spacing w:after="0" w:line="160" w:lineRule="exact"/>
              <w:rPr>
                <w:sz w:val="20"/>
                <w:szCs w:val="20"/>
                <w:color w:val="auto"/>
              </w:rPr>
            </w:pPr>
            <w:r>
              <w:rPr>
                <w:rFonts w:ascii="Arial" w:cs="Arial" w:eastAsia="Arial" w:hAnsi="Arial"/>
                <w:sz w:val="14"/>
                <w:szCs w:val="14"/>
                <w:color w:val="auto"/>
              </w:rPr>
              <w:t>(1,650 )</w:t>
            </w:r>
          </w:p>
        </w:tc>
      </w:tr>
      <w:tr>
        <w:trPr>
          <w:trHeight w:val="160"/>
        </w:trPr>
        <w:tc>
          <w:tcPr>
            <w:tcW w:w="6900" w:type="dxa"/>
            <w:vAlign w:val="bottom"/>
          </w:tcPr>
          <w:p>
            <w:pPr>
              <w:ind w:left="280"/>
              <w:spacing w:after="0" w:line="160" w:lineRule="exact"/>
              <w:rPr>
                <w:sz w:val="20"/>
                <w:szCs w:val="20"/>
                <w:color w:val="auto"/>
              </w:rPr>
            </w:pPr>
            <w:r>
              <w:rPr>
                <w:rFonts w:ascii="Arial" w:cs="Arial" w:eastAsia="Arial" w:hAnsi="Arial"/>
                <w:sz w:val="14"/>
                <w:szCs w:val="14"/>
                <w:color w:val="auto"/>
              </w:rPr>
              <w:t>Net (decrease) increase in short-term borrowings</w:t>
            </w:r>
          </w:p>
        </w:tc>
        <w:tc>
          <w:tcPr>
            <w:tcW w:w="280" w:type="dxa"/>
            <w:vAlign w:val="bottom"/>
          </w:tcPr>
          <w:p>
            <w:pPr>
              <w:spacing w:after="0"/>
              <w:rPr>
                <w:sz w:val="13"/>
                <w:szCs w:val="13"/>
                <w:color w:val="auto"/>
              </w:rPr>
            </w:pPr>
          </w:p>
        </w:tc>
        <w:tc>
          <w:tcPr>
            <w:tcW w:w="1260" w:type="dxa"/>
            <w:vAlign w:val="bottom"/>
            <w:gridSpan w:val="2"/>
          </w:tcPr>
          <w:p>
            <w:pPr>
              <w:jc w:val="right"/>
              <w:ind w:right="220"/>
              <w:spacing w:after="0" w:line="160" w:lineRule="exact"/>
              <w:rPr>
                <w:sz w:val="20"/>
                <w:szCs w:val="20"/>
                <w:color w:val="auto"/>
              </w:rPr>
            </w:pPr>
            <w:r>
              <w:rPr>
                <w:rFonts w:ascii="Arial" w:cs="Arial" w:eastAsia="Arial" w:hAnsi="Arial"/>
                <w:sz w:val="14"/>
                <w:szCs w:val="14"/>
                <w:b w:val="1"/>
                <w:bCs w:val="1"/>
                <w:color w:val="auto"/>
              </w:rPr>
              <w:t>(115 )</w:t>
            </w:r>
          </w:p>
        </w:tc>
        <w:tc>
          <w:tcPr>
            <w:tcW w:w="26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4"/>
                <w:szCs w:val="14"/>
                <w:color w:val="auto"/>
              </w:rPr>
              <w:t>2</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4"/>
                <w:szCs w:val="14"/>
                <w:color w:val="auto"/>
              </w:rPr>
              <w:t>37</w:t>
            </w:r>
          </w:p>
        </w:tc>
        <w:tc>
          <w:tcPr>
            <w:tcW w:w="100" w:type="dxa"/>
            <w:vAlign w:val="bottom"/>
          </w:tcPr>
          <w:p>
            <w:pPr>
              <w:spacing w:after="0"/>
              <w:rPr>
                <w:sz w:val="13"/>
                <w:szCs w:val="13"/>
                <w:color w:val="auto"/>
              </w:rPr>
            </w:pPr>
          </w:p>
        </w:tc>
      </w:tr>
      <w:tr>
        <w:trPr>
          <w:trHeight w:val="160"/>
        </w:trPr>
        <w:tc>
          <w:tcPr>
            <w:tcW w:w="6900" w:type="dxa"/>
            <w:vAlign w:val="bottom"/>
            <w:shd w:val="clear" w:color="auto" w:fill="CFF0FC"/>
          </w:tcPr>
          <w:p>
            <w:pPr>
              <w:ind w:left="280"/>
              <w:spacing w:after="0" w:line="160" w:lineRule="exact"/>
              <w:rPr>
                <w:sz w:val="20"/>
                <w:szCs w:val="20"/>
                <w:color w:val="auto"/>
              </w:rPr>
            </w:pPr>
            <w:r>
              <w:rPr>
                <w:rFonts w:ascii="Arial" w:cs="Arial" w:eastAsia="Arial" w:hAnsi="Arial"/>
                <w:sz w:val="14"/>
                <w:szCs w:val="14"/>
                <w:color w:val="auto"/>
              </w:rPr>
              <w:t>Other</w:t>
            </w:r>
          </w:p>
        </w:tc>
        <w:tc>
          <w:tcPr>
            <w:tcW w:w="2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20"/>
              <w:spacing w:after="0" w:line="160" w:lineRule="exact"/>
              <w:rPr>
                <w:sz w:val="20"/>
                <w:szCs w:val="20"/>
                <w:color w:val="auto"/>
              </w:rPr>
            </w:pPr>
            <w:r>
              <w:rPr>
                <w:rFonts w:ascii="Arial" w:cs="Arial" w:eastAsia="Arial" w:hAnsi="Arial"/>
                <w:sz w:val="14"/>
                <w:szCs w:val="14"/>
                <w:b w:val="1"/>
                <w:bCs w:val="1"/>
                <w:color w:val="auto"/>
              </w:rPr>
              <w:t>(65 )</w:t>
            </w:r>
          </w:p>
        </w:tc>
        <w:tc>
          <w:tcPr>
            <w:tcW w:w="2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00"/>
              <w:spacing w:after="0" w:line="160" w:lineRule="exact"/>
              <w:rPr>
                <w:sz w:val="20"/>
                <w:szCs w:val="20"/>
                <w:color w:val="auto"/>
              </w:rPr>
            </w:pPr>
            <w:r>
              <w:rPr>
                <w:rFonts w:ascii="Arial" w:cs="Arial" w:eastAsia="Arial" w:hAnsi="Arial"/>
                <w:sz w:val="14"/>
                <w:szCs w:val="14"/>
                <w:color w:val="auto"/>
              </w:rPr>
              <w:t>(31 )</w:t>
            </w:r>
          </w:p>
        </w:tc>
        <w:tc>
          <w:tcPr>
            <w:tcW w:w="2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40"/>
              <w:spacing w:after="0" w:line="160" w:lineRule="exact"/>
              <w:rPr>
                <w:sz w:val="20"/>
                <w:szCs w:val="20"/>
                <w:color w:val="auto"/>
              </w:rPr>
            </w:pPr>
            <w:r>
              <w:rPr>
                <w:rFonts w:ascii="Arial" w:cs="Arial" w:eastAsia="Arial" w:hAnsi="Arial"/>
                <w:sz w:val="14"/>
                <w:szCs w:val="14"/>
                <w:color w:val="auto"/>
              </w:rPr>
              <w:t>(51 )</w:t>
            </w:r>
          </w:p>
        </w:tc>
      </w:tr>
      <w:tr>
        <w:trPr>
          <w:trHeight w:val="20"/>
        </w:trPr>
        <w:tc>
          <w:tcPr>
            <w:tcW w:w="69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3"/>
        </w:trPr>
        <w:tc>
          <w:tcPr>
            <w:tcW w:w="6900" w:type="dxa"/>
            <w:vAlign w:val="bottom"/>
          </w:tcPr>
          <w:p>
            <w:pPr>
              <w:ind w:left="20"/>
              <w:spacing w:after="0" w:line="153" w:lineRule="exact"/>
              <w:rPr>
                <w:sz w:val="20"/>
                <w:szCs w:val="20"/>
                <w:color w:val="auto"/>
              </w:rPr>
            </w:pPr>
            <w:r>
              <w:rPr>
                <w:rFonts w:ascii="Arial" w:cs="Arial" w:eastAsia="Arial" w:hAnsi="Arial"/>
                <w:sz w:val="14"/>
                <w:szCs w:val="14"/>
                <w:color w:val="auto"/>
              </w:rPr>
              <w:t>NET CASH USED IN FINANCING ACTIVITIES</w:t>
            </w:r>
          </w:p>
        </w:tc>
        <w:tc>
          <w:tcPr>
            <w:tcW w:w="280" w:type="dxa"/>
            <w:vAlign w:val="bottom"/>
          </w:tcPr>
          <w:p>
            <w:pPr>
              <w:spacing w:after="0"/>
              <w:rPr>
                <w:sz w:val="13"/>
                <w:szCs w:val="13"/>
                <w:color w:val="auto"/>
              </w:rPr>
            </w:pPr>
          </w:p>
        </w:tc>
        <w:tc>
          <w:tcPr>
            <w:tcW w:w="126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(2,772 )</w:t>
            </w:r>
          </w:p>
        </w:tc>
        <w:tc>
          <w:tcPr>
            <w:tcW w:w="260" w:type="dxa"/>
            <w:vAlign w:val="bottom"/>
          </w:tcPr>
          <w:p>
            <w:pPr>
              <w:spacing w:after="0"/>
              <w:rPr>
                <w:sz w:val="13"/>
                <w:szCs w:val="13"/>
                <w:color w:val="auto"/>
              </w:rPr>
            </w:pPr>
          </w:p>
        </w:tc>
        <w:tc>
          <w:tcPr>
            <w:tcW w:w="122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(2,512 )</w:t>
            </w:r>
          </w:p>
        </w:tc>
        <w:tc>
          <w:tcPr>
            <w:tcW w:w="260" w:type="dxa"/>
            <w:vAlign w:val="bottom"/>
          </w:tcPr>
          <w:p>
            <w:pPr>
              <w:spacing w:after="0"/>
              <w:rPr>
                <w:sz w:val="13"/>
                <w:szCs w:val="13"/>
                <w:color w:val="auto"/>
              </w:rPr>
            </w:pPr>
          </w:p>
        </w:tc>
        <w:tc>
          <w:tcPr>
            <w:tcW w:w="106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(2,382 )</w:t>
            </w:r>
          </w:p>
        </w:tc>
      </w:tr>
      <w:tr>
        <w:trPr>
          <w:trHeight w:val="20"/>
        </w:trPr>
        <w:tc>
          <w:tcPr>
            <w:tcW w:w="6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690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Net increase (decrease) in cash before translation effect</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685</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1,342</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40"/>
              <w:spacing w:after="0" w:line="153" w:lineRule="exact"/>
              <w:rPr>
                <w:sz w:val="20"/>
                <w:szCs w:val="20"/>
                <w:color w:val="auto"/>
              </w:rPr>
            </w:pPr>
            <w:r>
              <w:rPr>
                <w:rFonts w:ascii="Arial" w:cs="Arial" w:eastAsia="Arial" w:hAnsi="Arial"/>
                <w:sz w:val="14"/>
                <w:szCs w:val="14"/>
                <w:color w:val="auto"/>
              </w:rPr>
              <w:t>(50 )</w:t>
            </w:r>
          </w:p>
        </w:tc>
      </w:tr>
      <w:tr>
        <w:trPr>
          <w:trHeight w:val="160"/>
        </w:trPr>
        <w:tc>
          <w:tcPr>
            <w:tcW w:w="6900" w:type="dxa"/>
            <w:vAlign w:val="bottom"/>
          </w:tcPr>
          <w:p>
            <w:pPr>
              <w:ind w:left="20"/>
              <w:spacing w:after="0" w:line="160" w:lineRule="exact"/>
              <w:rPr>
                <w:sz w:val="20"/>
                <w:szCs w:val="20"/>
                <w:color w:val="auto"/>
              </w:rPr>
            </w:pPr>
            <w:r>
              <w:rPr>
                <w:rFonts w:ascii="Arial" w:cs="Arial" w:eastAsia="Arial" w:hAnsi="Arial"/>
                <w:sz w:val="14"/>
                <w:szCs w:val="14"/>
                <w:color w:val="auto"/>
              </w:rPr>
              <w:t>Impact of changes in exchange rates on cash</w:t>
            </w:r>
          </w:p>
        </w:tc>
        <w:tc>
          <w:tcPr>
            <w:tcW w:w="280" w:type="dxa"/>
            <w:vAlign w:val="bottom"/>
          </w:tcPr>
          <w:p>
            <w:pPr>
              <w:spacing w:after="0"/>
              <w:rPr>
                <w:sz w:val="13"/>
                <w:szCs w:val="13"/>
                <w:color w:val="auto"/>
              </w:rPr>
            </w:pPr>
          </w:p>
        </w:tc>
        <w:tc>
          <w:tcPr>
            <w:tcW w:w="1260" w:type="dxa"/>
            <w:vAlign w:val="bottom"/>
            <w:gridSpan w:val="2"/>
          </w:tcPr>
          <w:p>
            <w:pPr>
              <w:jc w:val="right"/>
              <w:ind w:right="220"/>
              <w:spacing w:after="0" w:line="160" w:lineRule="exact"/>
              <w:rPr>
                <w:sz w:val="20"/>
                <w:szCs w:val="20"/>
                <w:color w:val="auto"/>
              </w:rPr>
            </w:pPr>
            <w:r>
              <w:rPr>
                <w:rFonts w:ascii="Arial" w:cs="Arial" w:eastAsia="Arial" w:hAnsi="Arial"/>
                <w:sz w:val="14"/>
                <w:szCs w:val="14"/>
                <w:b w:val="1"/>
                <w:bCs w:val="1"/>
                <w:color w:val="auto"/>
              </w:rPr>
              <w:t>(41 )</w:t>
            </w:r>
          </w:p>
        </w:tc>
        <w:tc>
          <w:tcPr>
            <w:tcW w:w="260" w:type="dxa"/>
            <w:vAlign w:val="bottom"/>
          </w:tcPr>
          <w:p>
            <w:pPr>
              <w:spacing w:after="0"/>
              <w:rPr>
                <w:sz w:val="13"/>
                <w:szCs w:val="13"/>
                <w:color w:val="auto"/>
              </w:rPr>
            </w:pPr>
          </w:p>
        </w:tc>
        <w:tc>
          <w:tcPr>
            <w:tcW w:w="1220" w:type="dxa"/>
            <w:vAlign w:val="bottom"/>
            <w:gridSpan w:val="2"/>
          </w:tcPr>
          <w:p>
            <w:pPr>
              <w:jc w:val="right"/>
              <w:ind w:right="200"/>
              <w:spacing w:after="0" w:line="160" w:lineRule="exact"/>
              <w:rPr>
                <w:sz w:val="20"/>
                <w:szCs w:val="20"/>
                <w:color w:val="auto"/>
              </w:rPr>
            </w:pPr>
            <w:r>
              <w:rPr>
                <w:rFonts w:ascii="Arial" w:cs="Arial" w:eastAsia="Arial" w:hAnsi="Arial"/>
                <w:sz w:val="14"/>
                <w:szCs w:val="14"/>
                <w:color w:val="auto"/>
              </w:rPr>
              <w:t>(97 )</w:t>
            </w:r>
          </w:p>
        </w:tc>
        <w:tc>
          <w:tcPr>
            <w:tcW w:w="260" w:type="dxa"/>
            <w:vAlign w:val="bottom"/>
          </w:tcPr>
          <w:p>
            <w:pPr>
              <w:spacing w:after="0"/>
              <w:rPr>
                <w:sz w:val="13"/>
                <w:szCs w:val="13"/>
                <w:color w:val="auto"/>
              </w:rPr>
            </w:pPr>
          </w:p>
        </w:tc>
        <w:tc>
          <w:tcPr>
            <w:tcW w:w="1060" w:type="dxa"/>
            <w:vAlign w:val="bottom"/>
            <w:gridSpan w:val="2"/>
          </w:tcPr>
          <w:p>
            <w:pPr>
              <w:jc w:val="right"/>
              <w:ind w:right="40"/>
              <w:spacing w:after="0" w:line="160" w:lineRule="exact"/>
              <w:rPr>
                <w:sz w:val="20"/>
                <w:szCs w:val="20"/>
                <w:color w:val="auto"/>
              </w:rPr>
            </w:pPr>
            <w:r>
              <w:rPr>
                <w:rFonts w:ascii="Arial" w:cs="Arial" w:eastAsia="Arial" w:hAnsi="Arial"/>
                <w:sz w:val="14"/>
                <w:szCs w:val="14"/>
                <w:color w:val="auto"/>
              </w:rPr>
              <w:t>(52 )</w:t>
            </w:r>
          </w:p>
        </w:tc>
      </w:tr>
      <w:tr>
        <w:trPr>
          <w:trHeight w:val="160"/>
        </w:trPr>
        <w:tc>
          <w:tcPr>
            <w:tcW w:w="6900" w:type="dxa"/>
            <w:vAlign w:val="bottom"/>
            <w:tcBorders>
              <w:bottom w:val="single" w:sz="8" w:color="CFF0FC"/>
            </w:tcBorders>
            <w:shd w:val="clear" w:color="auto" w:fill="CFF0FC"/>
          </w:tcPr>
          <w:p>
            <w:pPr>
              <w:ind w:left="20"/>
              <w:spacing w:after="0" w:line="160" w:lineRule="exact"/>
              <w:rPr>
                <w:sz w:val="20"/>
                <w:szCs w:val="20"/>
                <w:color w:val="auto"/>
              </w:rPr>
            </w:pPr>
            <w:r>
              <w:rPr>
                <w:rFonts w:ascii="Arial" w:cs="Arial" w:eastAsia="Arial" w:hAnsi="Arial"/>
                <w:sz w:val="14"/>
                <w:szCs w:val="14"/>
                <w:color w:val="auto"/>
              </w:rPr>
              <w:t>Cash, beginning of period</w:t>
            </w:r>
          </w:p>
        </w:tc>
        <w:tc>
          <w:tcPr>
            <w:tcW w:w="2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line="160" w:lineRule="exact"/>
              <w:rPr>
                <w:sz w:val="20"/>
                <w:szCs w:val="20"/>
                <w:color w:val="auto"/>
              </w:rPr>
            </w:pPr>
            <w:r>
              <w:rPr>
                <w:rFonts w:ascii="Arial" w:cs="Arial" w:eastAsia="Arial" w:hAnsi="Arial"/>
                <w:sz w:val="14"/>
                <w:szCs w:val="14"/>
                <w:b w:val="1"/>
                <w:bCs w:val="1"/>
                <w:color w:val="auto"/>
              </w:rPr>
              <w:t>2,900</w:t>
            </w:r>
          </w:p>
        </w:tc>
        <w:tc>
          <w:tcPr>
            <w:tcW w:w="2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line="160" w:lineRule="exact"/>
              <w:rPr>
                <w:sz w:val="20"/>
                <w:szCs w:val="20"/>
                <w:color w:val="auto"/>
              </w:rPr>
            </w:pPr>
            <w:r>
              <w:rPr>
                <w:rFonts w:ascii="Arial" w:cs="Arial" w:eastAsia="Arial" w:hAnsi="Arial"/>
                <w:sz w:val="14"/>
                <w:szCs w:val="14"/>
                <w:color w:val="auto"/>
              </w:rPr>
              <w:t>1,655</w:t>
            </w:r>
          </w:p>
        </w:tc>
        <w:tc>
          <w:tcPr>
            <w:tcW w:w="26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line="160" w:lineRule="exact"/>
              <w:rPr>
                <w:sz w:val="20"/>
                <w:szCs w:val="20"/>
                <w:color w:val="auto"/>
              </w:rPr>
            </w:pPr>
            <w:r>
              <w:rPr>
                <w:rFonts w:ascii="Arial" w:cs="Arial" w:eastAsia="Arial" w:hAnsi="Arial"/>
                <w:sz w:val="14"/>
                <w:szCs w:val="14"/>
                <w:color w:val="auto"/>
              </w:rPr>
              <w:t>1,757</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3"/>
        </w:trPr>
        <w:tc>
          <w:tcPr>
            <w:tcW w:w="6900" w:type="dxa"/>
            <w:vAlign w:val="bottom"/>
          </w:tcPr>
          <w:p>
            <w:pPr>
              <w:ind w:left="20"/>
              <w:spacing w:after="0" w:line="153" w:lineRule="exact"/>
              <w:rPr>
                <w:sz w:val="20"/>
                <w:szCs w:val="20"/>
                <w:color w:val="auto"/>
              </w:rPr>
            </w:pPr>
            <w:r>
              <w:rPr>
                <w:rFonts w:ascii="Arial" w:cs="Arial" w:eastAsia="Arial" w:hAnsi="Arial"/>
                <w:sz w:val="14"/>
                <w:szCs w:val="14"/>
                <w:color w:val="auto"/>
              </w:rPr>
              <w:t>Cash, end of period</w:t>
            </w:r>
          </w:p>
        </w:tc>
        <w:tc>
          <w:tcPr>
            <w:tcW w:w="280" w:type="dxa"/>
            <w:vAlign w:val="bottom"/>
            <w:tcBorders>
              <w:bottom w:val="single" w:sz="8" w:color="auto"/>
            </w:tcBorders>
          </w:tcPr>
          <w:p>
            <w:pPr>
              <w:jc w:val="right"/>
              <w:ind w:right="109"/>
              <w:spacing w:after="0" w:line="140"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rPr>
              <w:t>3,544</w:t>
            </w:r>
          </w:p>
        </w:tc>
        <w:tc>
          <w:tcPr>
            <w:tcW w:w="280" w:type="dxa"/>
            <w:vAlign w:val="bottom"/>
          </w:tcPr>
          <w:p>
            <w:pPr>
              <w:spacing w:after="0"/>
              <w:rPr>
                <w:sz w:val="13"/>
                <w:szCs w:val="13"/>
                <w:color w:val="auto"/>
              </w:rPr>
            </w:pPr>
          </w:p>
        </w:tc>
        <w:tc>
          <w:tcPr>
            <w:tcW w:w="260" w:type="dxa"/>
            <w:vAlign w:val="bottom"/>
            <w:tcBorders>
              <w:bottom w:val="single" w:sz="8" w:color="auto"/>
            </w:tcBorders>
          </w:tcPr>
          <w:p>
            <w:pPr>
              <w:jc w:val="right"/>
              <w:ind w:right="109"/>
              <w:spacing w:after="0" w:line="140"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2,900</w:t>
            </w:r>
          </w:p>
        </w:tc>
        <w:tc>
          <w:tcPr>
            <w:tcW w:w="260" w:type="dxa"/>
            <w:vAlign w:val="bottom"/>
          </w:tcPr>
          <w:p>
            <w:pPr>
              <w:spacing w:after="0"/>
              <w:rPr>
                <w:sz w:val="13"/>
                <w:szCs w:val="13"/>
                <w:color w:val="auto"/>
              </w:rPr>
            </w:pPr>
          </w:p>
        </w:tc>
        <w:tc>
          <w:tcPr>
            <w:tcW w:w="260" w:type="dxa"/>
            <w:vAlign w:val="bottom"/>
            <w:tcBorders>
              <w:bottom w:val="single" w:sz="8" w:color="auto"/>
            </w:tcBorders>
          </w:tcPr>
          <w:p>
            <w:pPr>
              <w:spacing w:after="0" w:line="140"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1,655</w:t>
            </w:r>
          </w:p>
        </w:tc>
        <w:tc>
          <w:tcPr>
            <w:tcW w:w="100" w:type="dxa"/>
            <w:vAlign w:val="bottom"/>
          </w:tcPr>
          <w:p>
            <w:pPr>
              <w:spacing w:after="0"/>
              <w:rPr>
                <w:sz w:val="13"/>
                <w:szCs w:val="13"/>
                <w:color w:val="auto"/>
              </w:rPr>
            </w:pPr>
          </w:p>
        </w:tc>
      </w:tr>
      <w:tr>
        <w:trPr>
          <w:trHeight w:val="20"/>
        </w:trPr>
        <w:tc>
          <w:tcPr>
            <w:tcW w:w="6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5177155</wp:posOffset>
            </wp:positionH>
            <wp:positionV relativeFrom="paragraph">
              <wp:posOffset>-3025775</wp:posOffset>
            </wp:positionV>
            <wp:extent cx="762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6132195</wp:posOffset>
            </wp:positionH>
            <wp:positionV relativeFrom="paragraph">
              <wp:posOffset>-3025775</wp:posOffset>
            </wp:positionV>
            <wp:extent cx="673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-3025775</wp:posOffset>
            </wp:positionV>
            <wp:extent cx="6731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5177155</wp:posOffset>
            </wp:positionH>
            <wp:positionV relativeFrom="paragraph">
              <wp:posOffset>-1579880</wp:posOffset>
            </wp:positionV>
            <wp:extent cx="762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6132195</wp:posOffset>
            </wp:positionH>
            <wp:positionV relativeFrom="paragraph">
              <wp:posOffset>-1579880</wp:posOffset>
            </wp:positionV>
            <wp:extent cx="673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-1579880</wp:posOffset>
            </wp:positionV>
            <wp:extent cx="673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5177155</wp:posOffset>
            </wp:positionH>
            <wp:positionV relativeFrom="paragraph">
              <wp:posOffset>-557530</wp:posOffset>
            </wp:positionV>
            <wp:extent cx="762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6132195</wp:posOffset>
            </wp:positionH>
            <wp:positionV relativeFrom="paragraph">
              <wp:posOffset>-557530</wp:posOffset>
            </wp:positionV>
            <wp:extent cx="673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-557530</wp:posOffset>
            </wp:positionV>
            <wp:extent cx="673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5177155</wp:posOffset>
            </wp:positionH>
            <wp:positionV relativeFrom="paragraph">
              <wp:posOffset>-134620</wp:posOffset>
            </wp:positionV>
            <wp:extent cx="762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6132195</wp:posOffset>
            </wp:positionH>
            <wp:positionV relativeFrom="paragraph">
              <wp:posOffset>-134620</wp:posOffset>
            </wp:positionV>
            <wp:extent cx="673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-134620</wp:posOffset>
            </wp:positionV>
            <wp:extent cx="673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125" w:lineRule="exact"/>
        <w:rPr>
          <w:sz w:val="20"/>
          <w:szCs w:val="20"/>
          <w:color w:val="auto"/>
        </w:rPr>
      </w:pPr>
    </w:p>
    <w:p>
      <w:pPr>
        <w:ind w:left="380" w:hanging="374"/>
        <w:spacing w:after="0"/>
        <w:tabs>
          <w:tab w:leader="none" w:pos="38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Includes depreciation of fixed assets and amortization of intangible assets, exploration data costs and APS investments.</w:t>
      </w:r>
    </w:p>
    <w:p>
      <w:pPr>
        <w:spacing w:after="0" w:line="71" w:lineRule="exact"/>
        <w:rPr>
          <w:rFonts w:ascii="Arial" w:cs="Arial" w:eastAsia="Arial" w:hAnsi="Arial"/>
          <w:sz w:val="19"/>
          <w:szCs w:val="19"/>
          <w:color w:val="auto"/>
          <w:vertAlign w:val="superscript"/>
        </w:rPr>
      </w:pPr>
    </w:p>
    <w:p>
      <w:pPr>
        <w:ind w:left="380" w:hanging="374"/>
        <w:spacing w:after="0" w:line="228" w:lineRule="auto"/>
        <w:tabs>
          <w:tab w:leader="none" w:pos="38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Net of the effect of business acquisitions and divestitures.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the Notes to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Balance, January 1, 2022</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Net income</w:t>
      </w:r>
    </w:p>
    <w:p>
      <w:pPr>
        <w:ind w:left="200"/>
        <w:spacing w:after="0" w:line="231" w:lineRule="auto"/>
        <w:rPr>
          <w:sz w:val="20"/>
          <w:szCs w:val="20"/>
          <w:color w:val="auto"/>
        </w:rPr>
      </w:pPr>
      <w:r>
        <w:rPr>
          <w:rFonts w:ascii="Arial" w:cs="Arial" w:eastAsia="Arial" w:hAnsi="Arial"/>
          <w:sz w:val="12"/>
          <w:szCs w:val="12"/>
          <w:color w:val="auto"/>
        </w:rPr>
        <w:t>Currency translation adjustments</w:t>
      </w:r>
    </w:p>
    <w:p>
      <w:pPr>
        <w:ind w:left="200"/>
        <w:spacing w:after="0" w:line="232" w:lineRule="auto"/>
        <w:rPr>
          <w:sz w:val="20"/>
          <w:szCs w:val="20"/>
          <w:color w:val="auto"/>
        </w:rPr>
      </w:pPr>
      <w:r>
        <w:rPr>
          <w:rFonts w:ascii="Arial" w:cs="Arial" w:eastAsia="Arial" w:hAnsi="Arial"/>
          <w:sz w:val="12"/>
          <w:szCs w:val="12"/>
          <w:color w:val="auto"/>
        </w:rPr>
        <w:t>Changes in fair value of cash flow hedges</w:t>
      </w:r>
    </w:p>
    <w:p>
      <w:pPr>
        <w:ind w:left="200"/>
        <w:spacing w:after="0" w:line="231" w:lineRule="auto"/>
        <w:rPr>
          <w:sz w:val="20"/>
          <w:szCs w:val="20"/>
          <w:color w:val="auto"/>
        </w:rPr>
      </w:pPr>
      <w:r>
        <w:rPr>
          <w:rFonts w:ascii="Arial" w:cs="Arial" w:eastAsia="Arial" w:hAnsi="Arial"/>
          <w:sz w:val="12"/>
          <w:szCs w:val="12"/>
          <w:color w:val="auto"/>
        </w:rPr>
        <w:t>Pension and other postretirement benefit plans</w:t>
      </w:r>
    </w:p>
    <w:p>
      <w:pPr>
        <w:ind w:left="200"/>
        <w:spacing w:after="0" w:line="232" w:lineRule="auto"/>
        <w:rPr>
          <w:sz w:val="20"/>
          <w:szCs w:val="20"/>
          <w:color w:val="auto"/>
        </w:rPr>
      </w:pPr>
      <w:r>
        <w:rPr>
          <w:rFonts w:ascii="Arial" w:cs="Arial" w:eastAsia="Arial" w:hAnsi="Arial"/>
          <w:sz w:val="12"/>
          <w:szCs w:val="12"/>
          <w:color w:val="auto"/>
        </w:rPr>
        <w:t>Vesting of restricted stock, net of taxes withheld</w:t>
      </w:r>
    </w:p>
    <w:p>
      <w:pPr>
        <w:ind w:left="200"/>
        <w:spacing w:after="0" w:line="231" w:lineRule="auto"/>
        <w:rPr>
          <w:sz w:val="20"/>
          <w:szCs w:val="20"/>
          <w:color w:val="auto"/>
        </w:rPr>
      </w:pPr>
      <w:r>
        <w:rPr>
          <w:rFonts w:ascii="Arial" w:cs="Arial" w:eastAsia="Arial" w:hAnsi="Arial"/>
          <w:sz w:val="12"/>
          <w:szCs w:val="12"/>
          <w:color w:val="auto"/>
        </w:rPr>
        <w:t>Employee stock purchase plan</w:t>
      </w:r>
    </w:p>
    <w:p>
      <w:pPr>
        <w:ind w:left="200"/>
        <w:spacing w:after="0" w:line="232" w:lineRule="auto"/>
        <w:rPr>
          <w:sz w:val="20"/>
          <w:szCs w:val="20"/>
          <w:color w:val="auto"/>
        </w:rPr>
      </w:pPr>
      <w:r>
        <w:rPr>
          <w:rFonts w:ascii="Arial" w:cs="Arial" w:eastAsia="Arial" w:hAnsi="Arial"/>
          <w:sz w:val="12"/>
          <w:szCs w:val="12"/>
          <w:color w:val="auto"/>
        </w:rPr>
        <w:t>Stock-based compensation expense</w:t>
      </w:r>
    </w:p>
    <w:p>
      <w:pPr>
        <w:ind w:left="200"/>
        <w:spacing w:after="0" w:line="243" w:lineRule="auto"/>
        <w:rPr>
          <w:sz w:val="20"/>
          <w:szCs w:val="20"/>
          <w:color w:val="auto"/>
        </w:rPr>
      </w:pPr>
      <w:r>
        <w:rPr>
          <w:rFonts w:ascii="Arial" w:cs="Arial" w:eastAsia="Arial" w:hAnsi="Arial"/>
          <w:sz w:val="12"/>
          <w:szCs w:val="12"/>
          <w:color w:val="auto"/>
        </w:rPr>
        <w:t>Shares sold to optionees, less shares exchanged Dividends declared ($0.65 per share)</w:t>
      </w:r>
    </w:p>
    <w:p>
      <w:pPr>
        <w:ind w:left="200"/>
        <w:spacing w:after="0" w:line="231" w:lineRule="auto"/>
        <w:rPr>
          <w:sz w:val="20"/>
          <w:szCs w:val="20"/>
          <w:color w:val="auto"/>
        </w:rPr>
      </w:pPr>
      <w:r>
        <w:rPr>
          <w:rFonts w:ascii="Arial" w:cs="Arial" w:eastAsia="Arial" w:hAnsi="Arial"/>
          <w:sz w:val="12"/>
          <w:szCs w:val="12"/>
          <w:color w:val="auto"/>
        </w:rPr>
        <w:t>Other</w:t>
      </w:r>
    </w:p>
    <w:p>
      <w:pPr>
        <w:ind w:left="20"/>
        <w:spacing w:after="0" w:line="232" w:lineRule="auto"/>
        <w:rPr>
          <w:sz w:val="20"/>
          <w:szCs w:val="20"/>
          <w:color w:val="auto"/>
        </w:rPr>
      </w:pPr>
      <w:r>
        <w:rPr>
          <w:rFonts w:ascii="Arial" w:cs="Arial" w:eastAsia="Arial" w:hAnsi="Arial"/>
          <w:sz w:val="12"/>
          <w:szCs w:val="12"/>
          <w:color w:val="auto"/>
        </w:rPr>
        <w:t>Balance, December 31, 2022</w:t>
      </w:r>
    </w:p>
    <w:p>
      <w:pPr>
        <w:ind w:left="200"/>
        <w:spacing w:after="0" w:line="231" w:lineRule="auto"/>
        <w:rPr>
          <w:sz w:val="20"/>
          <w:szCs w:val="20"/>
          <w:color w:val="auto"/>
        </w:rPr>
      </w:pPr>
      <w:r>
        <w:rPr>
          <w:rFonts w:ascii="Arial" w:cs="Arial" w:eastAsia="Arial" w:hAnsi="Arial"/>
          <w:sz w:val="12"/>
          <w:szCs w:val="12"/>
          <w:color w:val="auto"/>
        </w:rPr>
        <w:t>Net income</w:t>
      </w:r>
    </w:p>
    <w:p>
      <w:pPr>
        <w:ind w:left="200"/>
        <w:spacing w:after="0" w:line="232" w:lineRule="auto"/>
        <w:rPr>
          <w:sz w:val="20"/>
          <w:szCs w:val="20"/>
          <w:color w:val="auto"/>
        </w:rPr>
      </w:pPr>
      <w:r>
        <w:rPr>
          <w:rFonts w:ascii="Arial" w:cs="Arial" w:eastAsia="Arial" w:hAnsi="Arial"/>
          <w:sz w:val="12"/>
          <w:szCs w:val="12"/>
          <w:color w:val="auto"/>
        </w:rPr>
        <w:t>Currency translation adjustments</w:t>
      </w:r>
    </w:p>
    <w:p>
      <w:pPr>
        <w:ind w:left="200"/>
        <w:spacing w:after="0" w:line="231" w:lineRule="auto"/>
        <w:rPr>
          <w:sz w:val="20"/>
          <w:szCs w:val="20"/>
          <w:color w:val="auto"/>
        </w:rPr>
      </w:pPr>
      <w:r>
        <w:rPr>
          <w:rFonts w:ascii="Arial" w:cs="Arial" w:eastAsia="Arial" w:hAnsi="Arial"/>
          <w:sz w:val="12"/>
          <w:szCs w:val="12"/>
          <w:color w:val="auto"/>
        </w:rPr>
        <w:t>Changes in fair value of cash flow hedges</w:t>
      </w:r>
    </w:p>
    <w:p>
      <w:pPr>
        <w:ind w:left="200"/>
        <w:spacing w:after="0" w:line="232" w:lineRule="auto"/>
        <w:rPr>
          <w:sz w:val="20"/>
          <w:szCs w:val="20"/>
          <w:color w:val="auto"/>
        </w:rPr>
      </w:pPr>
      <w:r>
        <w:rPr>
          <w:rFonts w:ascii="Arial" w:cs="Arial" w:eastAsia="Arial" w:hAnsi="Arial"/>
          <w:sz w:val="12"/>
          <w:szCs w:val="12"/>
          <w:color w:val="auto"/>
        </w:rPr>
        <w:t>Pension and other postretirement benefit plans</w:t>
      </w:r>
    </w:p>
    <w:p>
      <w:pPr>
        <w:ind w:left="200"/>
        <w:spacing w:after="0" w:line="231" w:lineRule="auto"/>
        <w:rPr>
          <w:sz w:val="20"/>
          <w:szCs w:val="20"/>
          <w:color w:val="auto"/>
        </w:rPr>
      </w:pPr>
      <w:r>
        <w:rPr>
          <w:rFonts w:ascii="Arial" w:cs="Arial" w:eastAsia="Arial" w:hAnsi="Arial"/>
          <w:sz w:val="12"/>
          <w:szCs w:val="12"/>
          <w:color w:val="auto"/>
        </w:rPr>
        <w:t>Vesting of restricted stock, net of taxes withheld</w:t>
      </w:r>
    </w:p>
    <w:p>
      <w:pPr>
        <w:ind w:left="200"/>
        <w:spacing w:after="0" w:line="232" w:lineRule="auto"/>
        <w:rPr>
          <w:sz w:val="20"/>
          <w:szCs w:val="20"/>
          <w:color w:val="auto"/>
        </w:rPr>
      </w:pPr>
      <w:r>
        <w:rPr>
          <w:rFonts w:ascii="Arial" w:cs="Arial" w:eastAsia="Arial" w:hAnsi="Arial"/>
          <w:sz w:val="12"/>
          <w:szCs w:val="12"/>
          <w:color w:val="auto"/>
        </w:rPr>
        <w:t>Employee stock purchase plan</w:t>
      </w:r>
    </w:p>
    <w:p>
      <w:pPr>
        <w:ind w:left="200"/>
        <w:spacing w:after="0" w:line="231" w:lineRule="auto"/>
        <w:rPr>
          <w:sz w:val="20"/>
          <w:szCs w:val="20"/>
          <w:color w:val="auto"/>
        </w:rPr>
      </w:pPr>
      <w:r>
        <w:rPr>
          <w:rFonts w:ascii="Arial" w:cs="Arial" w:eastAsia="Arial" w:hAnsi="Arial"/>
          <w:sz w:val="12"/>
          <w:szCs w:val="12"/>
          <w:color w:val="auto"/>
        </w:rPr>
        <w:t>Stock repurchase program</w:t>
      </w:r>
    </w:p>
    <w:p>
      <w:pPr>
        <w:ind w:left="200"/>
        <w:spacing w:after="0" w:line="232" w:lineRule="auto"/>
        <w:rPr>
          <w:sz w:val="20"/>
          <w:szCs w:val="20"/>
          <w:color w:val="auto"/>
        </w:rPr>
      </w:pPr>
      <w:r>
        <w:rPr>
          <w:rFonts w:ascii="Arial" w:cs="Arial" w:eastAsia="Arial" w:hAnsi="Arial"/>
          <w:sz w:val="12"/>
          <w:szCs w:val="12"/>
          <w:color w:val="auto"/>
        </w:rPr>
        <w:t>Stock-based compensation expense</w:t>
      </w:r>
    </w:p>
    <w:p>
      <w:pPr>
        <w:ind w:left="200"/>
        <w:spacing w:after="0" w:line="239" w:lineRule="auto"/>
        <w:rPr>
          <w:sz w:val="20"/>
          <w:szCs w:val="20"/>
          <w:color w:val="auto"/>
        </w:rPr>
      </w:pPr>
      <w:r>
        <w:rPr>
          <w:rFonts w:ascii="Arial" w:cs="Arial" w:eastAsia="Arial" w:hAnsi="Arial"/>
          <w:sz w:val="12"/>
          <w:szCs w:val="12"/>
          <w:color w:val="auto"/>
        </w:rPr>
        <w:t>Shares sold to optionees, less shares exchanged Dividends declared ($1.00 per share) Acquisition of Aker Subsea</w:t>
      </w:r>
    </w:p>
    <w:p>
      <w:pPr>
        <w:ind w:left="200"/>
        <w:spacing w:after="0" w:line="232" w:lineRule="auto"/>
        <w:rPr>
          <w:sz w:val="20"/>
          <w:szCs w:val="20"/>
          <w:color w:val="auto"/>
        </w:rPr>
      </w:pPr>
      <w:r>
        <w:rPr>
          <w:rFonts w:ascii="Arial" w:cs="Arial" w:eastAsia="Arial" w:hAnsi="Arial"/>
          <w:sz w:val="12"/>
          <w:szCs w:val="12"/>
          <w:color w:val="auto"/>
        </w:rPr>
        <w:t>Other</w:t>
      </w:r>
    </w:p>
    <w:p>
      <w:pPr>
        <w:ind w:left="20"/>
        <w:spacing w:after="0" w:line="231" w:lineRule="auto"/>
        <w:rPr>
          <w:sz w:val="20"/>
          <w:szCs w:val="20"/>
          <w:color w:val="auto"/>
        </w:rPr>
      </w:pPr>
      <w:r>
        <w:rPr>
          <w:rFonts w:ascii="Arial" w:cs="Arial" w:eastAsia="Arial" w:hAnsi="Arial"/>
          <w:sz w:val="12"/>
          <w:szCs w:val="12"/>
          <w:color w:val="auto"/>
        </w:rPr>
        <w:t>Balance, December 31, 2023</w:t>
      </w:r>
    </w:p>
    <w:p>
      <w:pPr>
        <w:ind w:left="200"/>
        <w:spacing w:after="0" w:line="232" w:lineRule="auto"/>
        <w:rPr>
          <w:sz w:val="20"/>
          <w:szCs w:val="20"/>
          <w:color w:val="auto"/>
        </w:rPr>
      </w:pPr>
      <w:r>
        <w:rPr>
          <w:rFonts w:ascii="Arial" w:cs="Arial" w:eastAsia="Arial" w:hAnsi="Arial"/>
          <w:sz w:val="12"/>
          <w:szCs w:val="12"/>
          <w:color w:val="auto"/>
        </w:rPr>
        <w:t>Net income</w:t>
      </w:r>
    </w:p>
    <w:p>
      <w:pPr>
        <w:ind w:left="200"/>
        <w:spacing w:after="0" w:line="231" w:lineRule="auto"/>
        <w:rPr>
          <w:sz w:val="20"/>
          <w:szCs w:val="20"/>
          <w:color w:val="auto"/>
        </w:rPr>
      </w:pPr>
      <w:r>
        <w:rPr>
          <w:rFonts w:ascii="Arial" w:cs="Arial" w:eastAsia="Arial" w:hAnsi="Arial"/>
          <w:sz w:val="12"/>
          <w:szCs w:val="12"/>
          <w:color w:val="auto"/>
        </w:rPr>
        <w:t>Currency translation adjustments</w:t>
      </w:r>
    </w:p>
    <w:p>
      <w:pPr>
        <w:ind w:left="200"/>
        <w:spacing w:after="0" w:line="232" w:lineRule="auto"/>
        <w:rPr>
          <w:sz w:val="20"/>
          <w:szCs w:val="20"/>
          <w:color w:val="auto"/>
        </w:rPr>
      </w:pPr>
      <w:r>
        <w:rPr>
          <w:rFonts w:ascii="Arial" w:cs="Arial" w:eastAsia="Arial" w:hAnsi="Arial"/>
          <w:sz w:val="12"/>
          <w:szCs w:val="12"/>
          <w:color w:val="auto"/>
        </w:rPr>
        <w:t>Changes in fair value of cash flow hedges</w:t>
      </w:r>
    </w:p>
    <w:p>
      <w:pPr>
        <w:ind w:left="200"/>
        <w:spacing w:after="0" w:line="231" w:lineRule="auto"/>
        <w:rPr>
          <w:sz w:val="20"/>
          <w:szCs w:val="20"/>
          <w:color w:val="auto"/>
        </w:rPr>
      </w:pPr>
      <w:r>
        <w:rPr>
          <w:rFonts w:ascii="Arial" w:cs="Arial" w:eastAsia="Arial" w:hAnsi="Arial"/>
          <w:sz w:val="12"/>
          <w:szCs w:val="12"/>
          <w:color w:val="auto"/>
        </w:rPr>
        <w:t>Pension and other postretirement benefit plans</w:t>
      </w:r>
    </w:p>
    <w:p>
      <w:pPr>
        <w:ind w:left="200"/>
        <w:spacing w:after="0" w:line="232" w:lineRule="auto"/>
        <w:rPr>
          <w:sz w:val="20"/>
          <w:szCs w:val="20"/>
          <w:color w:val="auto"/>
        </w:rPr>
      </w:pPr>
      <w:r>
        <w:rPr>
          <w:rFonts w:ascii="Arial" w:cs="Arial" w:eastAsia="Arial" w:hAnsi="Arial"/>
          <w:sz w:val="12"/>
          <w:szCs w:val="12"/>
          <w:color w:val="auto"/>
        </w:rPr>
        <w:t>Vesting of restricted stock, net of taxes withheld</w:t>
      </w:r>
    </w:p>
    <w:p>
      <w:pPr>
        <w:ind w:left="200"/>
        <w:spacing w:after="0" w:line="231" w:lineRule="auto"/>
        <w:rPr>
          <w:sz w:val="20"/>
          <w:szCs w:val="20"/>
          <w:color w:val="auto"/>
        </w:rPr>
      </w:pPr>
      <w:r>
        <w:rPr>
          <w:rFonts w:ascii="Arial" w:cs="Arial" w:eastAsia="Arial" w:hAnsi="Arial"/>
          <w:sz w:val="12"/>
          <w:szCs w:val="12"/>
          <w:color w:val="auto"/>
        </w:rPr>
        <w:t>Employee stock purchase plan</w:t>
      </w:r>
    </w:p>
    <w:p>
      <w:pPr>
        <w:ind w:left="200"/>
        <w:spacing w:after="0" w:line="232" w:lineRule="auto"/>
        <w:rPr>
          <w:sz w:val="20"/>
          <w:szCs w:val="20"/>
          <w:color w:val="auto"/>
        </w:rPr>
      </w:pPr>
      <w:r>
        <w:rPr>
          <w:rFonts w:ascii="Arial" w:cs="Arial" w:eastAsia="Arial" w:hAnsi="Arial"/>
          <w:sz w:val="12"/>
          <w:szCs w:val="12"/>
          <w:color w:val="auto"/>
        </w:rPr>
        <w:t>Stock repurchase program</w:t>
      </w:r>
    </w:p>
    <w:p>
      <w:pPr>
        <w:ind w:left="200"/>
        <w:spacing w:after="0" w:line="231" w:lineRule="auto"/>
        <w:rPr>
          <w:sz w:val="20"/>
          <w:szCs w:val="20"/>
          <w:color w:val="auto"/>
        </w:rPr>
      </w:pPr>
      <w:r>
        <w:rPr>
          <w:rFonts w:ascii="Arial" w:cs="Arial" w:eastAsia="Arial" w:hAnsi="Arial"/>
          <w:sz w:val="12"/>
          <w:szCs w:val="12"/>
          <w:color w:val="auto"/>
        </w:rPr>
        <w:t>Stock-based compensation expense</w:t>
      </w:r>
    </w:p>
    <w:p>
      <w:pPr>
        <w:spacing w:after="0" w:line="1" w:lineRule="exact"/>
        <w:rPr>
          <w:sz w:val="20"/>
          <w:szCs w:val="20"/>
          <w:color w:val="auto"/>
        </w:rPr>
      </w:pPr>
    </w:p>
    <w:p>
      <w:pPr>
        <w:ind w:left="200"/>
        <w:spacing w:after="0" w:line="243" w:lineRule="auto"/>
        <w:rPr>
          <w:sz w:val="20"/>
          <w:szCs w:val="20"/>
          <w:color w:val="auto"/>
        </w:rPr>
      </w:pPr>
      <w:r>
        <w:rPr>
          <w:rFonts w:ascii="Arial" w:cs="Arial" w:eastAsia="Arial" w:hAnsi="Arial"/>
          <w:sz w:val="12"/>
          <w:szCs w:val="12"/>
          <w:color w:val="auto"/>
        </w:rPr>
        <w:t>Shares sold to optionees, less shares exchanged Dividends declared ($1.10 per share)</w:t>
      </w:r>
    </w:p>
    <w:p>
      <w:pPr>
        <w:ind w:left="200"/>
        <w:spacing w:after="0"/>
        <w:rPr>
          <w:sz w:val="20"/>
          <w:szCs w:val="20"/>
          <w:color w:val="auto"/>
        </w:rPr>
      </w:pPr>
      <w:r>
        <w:rPr>
          <w:rFonts w:ascii="Arial" w:cs="Arial" w:eastAsia="Arial" w:hAnsi="Arial"/>
          <w:sz w:val="12"/>
          <w:szCs w:val="12"/>
          <w:color w:val="auto"/>
        </w:rPr>
        <w:t>Other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Balance, December 31, 2024</w:t>
      </w:r>
    </w:p>
    <w:p>
      <w:pPr>
        <w:spacing w:after="0" w:line="20" w:lineRule="exact"/>
        <w:rPr>
          <w:sz w:val="20"/>
          <w:szCs w:val="20"/>
          <w:color w:val="auto"/>
        </w:rPr>
      </w:pPr>
      <w:r>
        <w:rPr>
          <w:sz w:val="20"/>
          <w:szCs w:val="20"/>
          <w:color w:val="auto"/>
        </w:rPr>
        <w:br w:type="column"/>
      </w:r>
    </w:p>
    <w:p>
      <w:pPr>
        <w:jc w:val="center"/>
        <w:ind w:right="3260"/>
        <w:spacing w:after="0"/>
        <w:rPr>
          <w:sz w:val="20"/>
          <w:szCs w:val="20"/>
          <w:color w:val="auto"/>
        </w:rPr>
      </w:pPr>
      <w:r>
        <w:rPr>
          <w:rFonts w:ascii="Arial" w:cs="Arial" w:eastAsia="Arial" w:hAnsi="Arial"/>
          <w:sz w:val="16"/>
          <w:szCs w:val="16"/>
          <w:b w:val="1"/>
          <w:bCs w:val="1"/>
          <w:color w:val="auto"/>
        </w:rPr>
        <w:t>SCHLUMBERGER LIMITED AND SUBSIDIARIES</w:t>
      </w:r>
    </w:p>
    <w:p>
      <w:pPr>
        <w:spacing w:after="0" w:line="109" w:lineRule="exact"/>
        <w:rPr>
          <w:sz w:val="20"/>
          <w:szCs w:val="20"/>
          <w:color w:val="auto"/>
        </w:rPr>
      </w:pPr>
    </w:p>
    <w:p>
      <w:pPr>
        <w:jc w:val="center"/>
        <w:ind w:right="3260"/>
        <w:spacing w:after="0"/>
        <w:rPr>
          <w:sz w:val="20"/>
          <w:szCs w:val="20"/>
          <w:color w:val="auto"/>
        </w:rPr>
      </w:pPr>
      <w:r>
        <w:rPr>
          <w:rFonts w:ascii="Arial" w:cs="Arial" w:eastAsia="Arial" w:hAnsi="Arial"/>
          <w:sz w:val="15"/>
          <w:szCs w:val="15"/>
          <w:b w:val="1"/>
          <w:bCs w:val="1"/>
          <w:color w:val="auto"/>
        </w:rPr>
        <w:t>CONSOLIDATED STATEMENT OF STOCKHOLDERS’ EQUITY</w:t>
      </w:r>
    </w:p>
    <w:p>
      <w:pPr>
        <w:spacing w:after="0" w:line="198" w:lineRule="exact"/>
        <w:rPr>
          <w:sz w:val="20"/>
          <w:szCs w:val="20"/>
          <w:color w:val="auto"/>
        </w:rPr>
      </w:pPr>
    </w:p>
    <w:tbl>
      <w:tblPr>
        <w:tblLayout w:type="fixed"/>
        <w:tblInd w:w="140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vMerge w:val="restart"/>
          </w:tcPr>
          <w:p>
            <w:pPr>
              <w:jc w:val="center"/>
              <w:ind w:right="159"/>
              <w:spacing w:after="0"/>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2"/>
                <w:szCs w:val="12"/>
                <w:i w:val="1"/>
                <w:iCs w:val="1"/>
                <w:color w:val="auto"/>
              </w:rPr>
              <w:t>(Stated in millions)</w:t>
            </w:r>
          </w:p>
        </w:tc>
        <w:tc>
          <w:tcPr>
            <w:tcW w:w="0" w:type="dxa"/>
            <w:vAlign w:val="bottom"/>
          </w:tcPr>
          <w:p>
            <w:pPr>
              <w:spacing w:after="0"/>
              <w:rPr>
                <w:sz w:val="1"/>
                <w:szCs w:val="1"/>
                <w:color w:val="auto"/>
              </w:rPr>
            </w:pPr>
          </w:p>
        </w:tc>
      </w:tr>
      <w:tr>
        <w:trPr>
          <w:trHeight w:val="102"/>
        </w:trPr>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359"/>
              <w:spacing w:after="0" w:line="133" w:lineRule="exact"/>
              <w:rPr>
                <w:sz w:val="20"/>
                <w:szCs w:val="20"/>
                <w:color w:val="auto"/>
              </w:rPr>
            </w:pPr>
            <w:r>
              <w:rPr>
                <w:rFonts w:ascii="Arial" w:cs="Arial" w:eastAsia="Arial" w:hAnsi="Arial"/>
                <w:sz w:val="12"/>
                <w:szCs w:val="12"/>
                <w:b w:val="1"/>
                <w:bCs w:val="1"/>
                <w:color w:val="auto"/>
                <w:w w:val="99"/>
              </w:rPr>
              <w:t>Other</w:t>
            </w: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rPr>
              <w:t>Noncontrollin</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1360" w:type="dxa"/>
            <w:vAlign w:val="bottom"/>
            <w:gridSpan w:val="3"/>
            <w:vMerge w:val="restart"/>
          </w:tcPr>
          <w:p>
            <w:pPr>
              <w:jc w:val="right"/>
              <w:ind w:right="18"/>
              <w:spacing w:after="0"/>
              <w:rPr>
                <w:sz w:val="20"/>
                <w:szCs w:val="20"/>
                <w:color w:val="auto"/>
              </w:rPr>
            </w:pPr>
            <w:r>
              <w:rPr>
                <w:rFonts w:ascii="Arial" w:cs="Arial" w:eastAsia="Arial" w:hAnsi="Arial"/>
                <w:sz w:val="12"/>
                <w:szCs w:val="12"/>
                <w:b w:val="1"/>
                <w:bCs w:val="1"/>
                <w:color w:val="auto"/>
              </w:rPr>
              <w:t>Common Stock</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2"/>
                <w:szCs w:val="12"/>
                <w:b w:val="1"/>
                <w:bCs w:val="1"/>
                <w:color w:val="auto"/>
              </w:rPr>
              <w:t>Retained</w:t>
            </w:r>
          </w:p>
        </w:tc>
        <w:tc>
          <w:tcPr>
            <w:tcW w:w="1100" w:type="dxa"/>
            <w:vAlign w:val="bottom"/>
            <w:gridSpan w:val="3"/>
          </w:tcPr>
          <w:p>
            <w:pPr>
              <w:jc w:val="center"/>
              <w:ind w:right="179"/>
              <w:spacing w:after="0" w:line="133" w:lineRule="exact"/>
              <w:rPr>
                <w:sz w:val="20"/>
                <w:szCs w:val="20"/>
                <w:color w:val="auto"/>
              </w:rPr>
            </w:pPr>
            <w:r>
              <w:rPr>
                <w:rFonts w:ascii="Arial" w:cs="Arial" w:eastAsia="Arial" w:hAnsi="Arial"/>
                <w:sz w:val="12"/>
                <w:szCs w:val="12"/>
                <w:b w:val="1"/>
                <w:bCs w:val="1"/>
                <w:color w:val="auto"/>
              </w:rPr>
              <w:t>Comprehensi</w:t>
            </w:r>
          </w:p>
        </w:tc>
        <w:tc>
          <w:tcPr>
            <w:tcW w:w="9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vMerge w:val="continue"/>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359"/>
              <w:spacing w:after="0"/>
              <w:rPr>
                <w:sz w:val="20"/>
                <w:szCs w:val="20"/>
                <w:color w:val="auto"/>
              </w:rPr>
            </w:pPr>
            <w:r>
              <w:rPr>
                <w:rFonts w:ascii="Arial" w:cs="Arial" w:eastAsia="Arial" w:hAnsi="Arial"/>
                <w:sz w:val="12"/>
                <w:szCs w:val="12"/>
                <w:b w:val="1"/>
                <w:bCs w:val="1"/>
                <w:color w:val="auto"/>
                <w:w w:val="89"/>
              </w:rPr>
              <w:t>ve</w:t>
            </w:r>
          </w:p>
        </w:tc>
        <w:tc>
          <w:tcPr>
            <w:tcW w:w="140" w:type="dxa"/>
            <w:vAlign w:val="bottom"/>
          </w:tcPr>
          <w:p>
            <w:pPr>
              <w:spacing w:after="0"/>
              <w:rPr>
                <w:sz w:val="11"/>
                <w:szCs w:val="11"/>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g</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940" w:type="dxa"/>
            <w:vAlign w:val="bottom"/>
            <w:gridSpan w:val="2"/>
          </w:tcPr>
          <w:p>
            <w:pPr>
              <w:jc w:val="right"/>
              <w:ind w:right="480"/>
              <w:spacing w:after="0" w:line="126" w:lineRule="exact"/>
              <w:rPr>
                <w:sz w:val="20"/>
                <w:szCs w:val="20"/>
                <w:color w:val="auto"/>
              </w:rPr>
            </w:pPr>
            <w:r>
              <w:rPr>
                <w:rFonts w:ascii="Arial" w:cs="Arial" w:eastAsia="Arial" w:hAnsi="Arial"/>
                <w:sz w:val="12"/>
                <w:szCs w:val="12"/>
                <w:b w:val="1"/>
                <w:bCs w:val="1"/>
                <w:color w:val="auto"/>
              </w:rPr>
              <w:t>Issued</w:t>
            </w:r>
          </w:p>
        </w:tc>
        <w:tc>
          <w:tcPr>
            <w:tcW w:w="880" w:type="dxa"/>
            <w:vAlign w:val="bottom"/>
            <w:gridSpan w:val="2"/>
          </w:tcPr>
          <w:p>
            <w:pPr>
              <w:jc w:val="right"/>
              <w:ind w:right="58"/>
              <w:spacing w:after="0" w:line="126" w:lineRule="exact"/>
              <w:rPr>
                <w:sz w:val="20"/>
                <w:szCs w:val="20"/>
                <w:color w:val="auto"/>
              </w:rPr>
            </w:pPr>
            <w:r>
              <w:rPr>
                <w:rFonts w:ascii="Arial" w:cs="Arial" w:eastAsia="Arial" w:hAnsi="Arial"/>
                <w:sz w:val="12"/>
                <w:szCs w:val="12"/>
                <w:b w:val="1"/>
                <w:bCs w:val="1"/>
                <w:color w:val="auto"/>
              </w:rPr>
              <w:t>In Treasury</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right"/>
              <w:ind w:right="400"/>
              <w:spacing w:after="0" w:line="126" w:lineRule="exact"/>
              <w:rPr>
                <w:sz w:val="20"/>
                <w:szCs w:val="20"/>
                <w:color w:val="auto"/>
              </w:rPr>
            </w:pPr>
            <w:r>
              <w:rPr>
                <w:rFonts w:ascii="Arial" w:cs="Arial" w:eastAsia="Arial" w:hAnsi="Arial"/>
                <w:sz w:val="12"/>
                <w:szCs w:val="12"/>
                <w:b w:val="1"/>
                <w:bCs w:val="1"/>
                <w:color w:val="auto"/>
              </w:rPr>
              <w:t>Earnings</w:t>
            </w:r>
          </w:p>
        </w:tc>
        <w:tc>
          <w:tcPr>
            <w:tcW w:w="180" w:type="dxa"/>
            <w:vAlign w:val="bottom"/>
          </w:tcPr>
          <w:p>
            <w:pPr>
              <w:spacing w:after="0"/>
              <w:rPr>
                <w:sz w:val="10"/>
                <w:szCs w:val="10"/>
                <w:color w:val="auto"/>
              </w:rPr>
            </w:pPr>
          </w:p>
        </w:tc>
        <w:tc>
          <w:tcPr>
            <w:tcW w:w="920" w:type="dxa"/>
            <w:vAlign w:val="bottom"/>
            <w:gridSpan w:val="2"/>
          </w:tcPr>
          <w:p>
            <w:pPr>
              <w:jc w:val="center"/>
              <w:ind w:right="359"/>
              <w:spacing w:after="0" w:line="126" w:lineRule="exact"/>
              <w:rPr>
                <w:sz w:val="20"/>
                <w:szCs w:val="20"/>
                <w:color w:val="auto"/>
              </w:rPr>
            </w:pPr>
            <w:r>
              <w:rPr>
                <w:rFonts w:ascii="Arial" w:cs="Arial" w:eastAsia="Arial" w:hAnsi="Arial"/>
                <w:sz w:val="12"/>
                <w:szCs w:val="12"/>
                <w:b w:val="1"/>
                <w:bCs w:val="1"/>
                <w:color w:val="auto"/>
                <w:w w:val="99"/>
              </w:rPr>
              <w:t>Loss</w:t>
            </w:r>
          </w:p>
        </w:tc>
        <w:tc>
          <w:tcPr>
            <w:tcW w:w="140" w:type="dxa"/>
            <w:vAlign w:val="bottom"/>
          </w:tcPr>
          <w:p>
            <w:pPr>
              <w:spacing w:after="0"/>
              <w:rPr>
                <w:sz w:val="10"/>
                <w:szCs w:val="10"/>
                <w:color w:val="auto"/>
              </w:rPr>
            </w:pPr>
          </w:p>
        </w:tc>
        <w:tc>
          <w:tcPr>
            <w:tcW w:w="840" w:type="dxa"/>
            <w:vAlign w:val="bottom"/>
            <w:gridSpan w:val="2"/>
          </w:tcPr>
          <w:p>
            <w:pPr>
              <w:jc w:val="center"/>
              <w:ind w:right="240"/>
              <w:spacing w:after="0" w:line="126" w:lineRule="exact"/>
              <w:rPr>
                <w:sz w:val="20"/>
                <w:szCs w:val="20"/>
                <w:color w:val="auto"/>
              </w:rPr>
            </w:pPr>
            <w:r>
              <w:rPr>
                <w:rFonts w:ascii="Arial" w:cs="Arial" w:eastAsia="Arial" w:hAnsi="Arial"/>
                <w:sz w:val="12"/>
                <w:szCs w:val="12"/>
                <w:b w:val="1"/>
                <w:bCs w:val="1"/>
                <w:color w:val="auto"/>
              </w:rPr>
              <w:t>Interests</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jc w:val="right"/>
              <w:ind w:right="380"/>
              <w:spacing w:after="0" w:line="126"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09"/>
        </w:trPr>
        <w:tc>
          <w:tcPr>
            <w:tcW w:w="160" w:type="dxa"/>
            <w:vAlign w:val="bottom"/>
            <w:tcBorders>
              <w:top w:val="single" w:sz="8" w:color="auto"/>
            </w:tcBorders>
          </w:tcPr>
          <w:p>
            <w:pPr>
              <w:jc w:val="right"/>
              <w:ind w:right="18"/>
              <w:spacing w:after="0" w:line="109" w:lineRule="exact"/>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rPr>
              <w:t>12,608</w:t>
            </w:r>
          </w:p>
        </w:tc>
        <w:tc>
          <w:tcPr>
            <w:tcW w:w="220" w:type="dxa"/>
            <w:vAlign w:val="bottom"/>
          </w:tcPr>
          <w:p>
            <w:pPr>
              <w:spacing w:after="0"/>
              <w:rPr>
                <w:sz w:val="9"/>
                <w:szCs w:val="9"/>
                <w:color w:val="auto"/>
              </w:rPr>
            </w:pPr>
          </w:p>
        </w:tc>
        <w:tc>
          <w:tcPr>
            <w:tcW w:w="420" w:type="dxa"/>
            <w:vAlign w:val="bottom"/>
            <w:tcBorders>
              <w:top w:val="single" w:sz="8" w:color="auto"/>
            </w:tcBorders>
          </w:tcPr>
          <w:p>
            <w:pPr>
              <w:jc w:val="right"/>
              <w:ind w:right="278"/>
              <w:spacing w:after="0" w:line="109" w:lineRule="exact"/>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rPr>
              <w:t>(2,233</w:t>
            </w:r>
          </w:p>
        </w:tc>
        <w:tc>
          <w:tcPr>
            <w:tcW w:w="220" w:type="dxa"/>
            <w:vAlign w:val="bottom"/>
          </w:tcPr>
          <w:p>
            <w:pPr>
              <w:jc w:val="right"/>
              <w:ind w:right="98"/>
              <w:spacing w:after="0" w:line="109" w:lineRule="exact"/>
              <w:rPr>
                <w:sz w:val="20"/>
                <w:szCs w:val="20"/>
                <w:color w:val="auto"/>
              </w:rPr>
            </w:pPr>
            <w:r>
              <w:rPr>
                <w:rFonts w:ascii="Arial" w:cs="Arial" w:eastAsia="Arial" w:hAnsi="Arial"/>
                <w:sz w:val="12"/>
                <w:szCs w:val="12"/>
                <w:color w:val="auto"/>
                <w:w w:val="98"/>
              </w:rPr>
              <w:t>)</w:t>
            </w:r>
          </w:p>
        </w:tc>
        <w:tc>
          <w:tcPr>
            <w:tcW w:w="12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rPr>
              <w:t>8,199</w:t>
            </w:r>
          </w:p>
        </w:tc>
        <w:tc>
          <w:tcPr>
            <w:tcW w:w="220" w:type="dxa"/>
            <w:vAlign w:val="bottom"/>
          </w:tcPr>
          <w:p>
            <w:pPr>
              <w:spacing w:after="0"/>
              <w:rPr>
                <w:sz w:val="9"/>
                <w:szCs w:val="9"/>
                <w:color w:val="auto"/>
              </w:rPr>
            </w:pPr>
          </w:p>
        </w:tc>
        <w:tc>
          <w:tcPr>
            <w:tcW w:w="180" w:type="dxa"/>
            <w:vAlign w:val="bottom"/>
            <w:tcBorders>
              <w:top w:val="single" w:sz="8" w:color="auto"/>
            </w:tcBorders>
          </w:tcPr>
          <w:p>
            <w:pPr>
              <w:jc w:val="right"/>
              <w:ind w:right="38"/>
              <w:spacing w:after="0" w:line="109" w:lineRule="exact"/>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rPr>
              <w:t>(3,570</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rPr>
              <w:t>282</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top w:val="single" w:sz="8" w:color="auto"/>
            </w:tcBorders>
          </w:tcPr>
          <w:p>
            <w:pPr>
              <w:jc w:val="right"/>
              <w:ind w:right="58"/>
              <w:spacing w:after="0" w:line="109" w:lineRule="exact"/>
              <w:rPr>
                <w:sz w:val="20"/>
                <w:szCs w:val="20"/>
                <w:color w:val="auto"/>
              </w:rPr>
            </w:pPr>
            <w:r>
              <w:rPr>
                <w:rFonts w:ascii="Arial" w:cs="Arial" w:eastAsia="Arial" w:hAnsi="Arial"/>
                <w:sz w:val="12"/>
                <w:szCs w:val="12"/>
                <w:color w:val="auto"/>
              </w:rPr>
              <w:t>$</w:t>
            </w:r>
          </w:p>
        </w:tc>
        <w:tc>
          <w:tcPr>
            <w:tcW w:w="74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rPr>
              <w:t>15,286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3,441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51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3,492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119"/>
              <w:spacing w:after="0" w:line="133" w:lineRule="exact"/>
              <w:rPr>
                <w:sz w:val="20"/>
                <w:szCs w:val="20"/>
                <w:color w:val="auto"/>
              </w:rPr>
            </w:pPr>
            <w:r>
              <w:rPr>
                <w:rFonts w:ascii="Arial" w:cs="Arial" w:eastAsia="Arial" w:hAnsi="Arial"/>
                <w:sz w:val="12"/>
                <w:szCs w:val="12"/>
                <w:color w:val="auto"/>
              </w:rPr>
              <w:t>(26 )</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(26 )</w:t>
            </w: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119"/>
              <w:spacing w:after="0" w:line="133" w:lineRule="exact"/>
              <w:rPr>
                <w:sz w:val="20"/>
                <w:szCs w:val="20"/>
                <w:color w:val="auto"/>
              </w:rPr>
            </w:pPr>
            <w:r>
              <w:rPr>
                <w:rFonts w:ascii="Arial" w:cs="Arial" w:eastAsia="Arial" w:hAnsi="Arial"/>
                <w:sz w:val="12"/>
                <w:szCs w:val="12"/>
                <w:color w:val="auto"/>
              </w:rPr>
              <w:t>(31 )</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(31 )</w:t>
            </w: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119"/>
              <w:spacing w:after="0" w:line="133" w:lineRule="exact"/>
              <w:rPr>
                <w:sz w:val="20"/>
                <w:szCs w:val="20"/>
                <w:color w:val="auto"/>
              </w:rPr>
            </w:pPr>
            <w:r>
              <w:rPr>
                <w:rFonts w:ascii="Arial" w:cs="Arial" w:eastAsia="Arial" w:hAnsi="Arial"/>
                <w:sz w:val="12"/>
                <w:szCs w:val="12"/>
                <w:color w:val="auto"/>
              </w:rPr>
              <w:t>(229 )</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(229 )</w:t>
            </w: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94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(795 )</w:t>
            </w:r>
          </w:p>
        </w:tc>
        <w:tc>
          <w:tcPr>
            <w:tcW w:w="42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702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(93 )</w:t>
            </w: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94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(222 )</w:t>
            </w:r>
          </w:p>
        </w:tc>
        <w:tc>
          <w:tcPr>
            <w:tcW w:w="42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364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142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313</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313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94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(67 )</w:t>
            </w:r>
          </w:p>
        </w:tc>
        <w:tc>
          <w:tcPr>
            <w:tcW w:w="42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148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81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(921 )</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(921 )</w:t>
            </w:r>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w:t>
            </w:r>
          </w:p>
        </w:tc>
        <w:tc>
          <w:tcPr>
            <w:tcW w:w="220" w:type="dxa"/>
            <w:vAlign w:val="bottom"/>
            <w:vMerge w:val="restart"/>
          </w:tcPr>
          <w:p>
            <w:pPr>
              <w:jc w:val="right"/>
              <w:ind w:right="98"/>
              <w:spacing w:after="0"/>
              <w:rPr>
                <w:sz w:val="20"/>
                <w:szCs w:val="20"/>
                <w:color w:val="auto"/>
              </w:rPr>
            </w:pPr>
            <w:r>
              <w:rPr>
                <w:rFonts w:ascii="Arial" w:cs="Arial" w:eastAsia="Arial" w:hAnsi="Arial"/>
                <w:sz w:val="12"/>
                <w:szCs w:val="12"/>
                <w:color w:val="auto"/>
                <w:w w:val="98"/>
              </w:rPr>
              <w:t>)</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200" w:type="dxa"/>
            <w:vAlign w:val="bottom"/>
            <w:vMerge w:val="restart"/>
          </w:tcPr>
          <w:p>
            <w:pPr>
              <w:jc w:val="right"/>
              <w:ind w:right="119"/>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2"/>
                <w:szCs w:val="12"/>
                <w:color w:val="auto"/>
              </w:rPr>
              <w:t>(29 )</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(25 )</w:t>
            </w:r>
          </w:p>
        </w:tc>
        <w:tc>
          <w:tcPr>
            <w:tcW w:w="0" w:type="dxa"/>
            <w:vAlign w:val="bottom"/>
          </w:tcPr>
          <w:p>
            <w:pPr>
              <w:spacing w:after="0"/>
              <w:rPr>
                <w:sz w:val="1"/>
                <w:szCs w:val="1"/>
                <w:color w:val="auto"/>
              </w:rPr>
            </w:pPr>
          </w:p>
        </w:tc>
      </w:tr>
      <w:tr>
        <w:trPr>
          <w:trHeight w:val="109"/>
        </w:trPr>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rPr>
              <w:t>11,837</w:t>
            </w:r>
          </w:p>
        </w:tc>
        <w:tc>
          <w:tcPr>
            <w:tcW w:w="22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rPr>
              <w:t>(1,016</w:t>
            </w:r>
          </w:p>
        </w:tc>
        <w:tc>
          <w:tcPr>
            <w:tcW w:w="220" w:type="dxa"/>
            <w:vAlign w:val="bottom"/>
            <w:vMerge w:val="continue"/>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rPr>
              <w:t>10,719</w:t>
            </w:r>
          </w:p>
        </w:tc>
        <w:tc>
          <w:tcPr>
            <w:tcW w:w="2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rPr>
              <w:t>(3,855</w:t>
            </w:r>
          </w:p>
        </w:tc>
        <w:tc>
          <w:tcPr>
            <w:tcW w:w="200" w:type="dxa"/>
            <w:vAlign w:val="bottom"/>
            <w:vMerge w:val="continue"/>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rPr>
              <w:t>304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rPr>
              <w:t>17,989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4,203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72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4,275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119"/>
              <w:spacing w:after="0" w:line="133" w:lineRule="exact"/>
              <w:rPr>
                <w:sz w:val="20"/>
                <w:szCs w:val="20"/>
                <w:color w:val="auto"/>
              </w:rPr>
            </w:pPr>
            <w:r>
              <w:rPr>
                <w:rFonts w:ascii="Arial" w:cs="Arial" w:eastAsia="Arial" w:hAnsi="Arial"/>
                <w:sz w:val="12"/>
                <w:szCs w:val="12"/>
                <w:color w:val="auto"/>
              </w:rPr>
              <w:t>(113 )</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(113 )</w:t>
            </w: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158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158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119"/>
              <w:spacing w:after="0" w:line="133" w:lineRule="exact"/>
              <w:rPr>
                <w:sz w:val="20"/>
                <w:szCs w:val="20"/>
                <w:color w:val="auto"/>
              </w:rPr>
            </w:pPr>
            <w:r>
              <w:rPr>
                <w:rFonts w:ascii="Arial" w:cs="Arial" w:eastAsia="Arial" w:hAnsi="Arial"/>
                <w:sz w:val="12"/>
                <w:szCs w:val="12"/>
                <w:color w:val="auto"/>
              </w:rPr>
              <w:t>(414 )</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(414 )</w:t>
            </w: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94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(702 )</w:t>
            </w:r>
          </w:p>
        </w:tc>
        <w:tc>
          <w:tcPr>
            <w:tcW w:w="42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533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(169 )</w:t>
            </w: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94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(162 )</w:t>
            </w:r>
          </w:p>
        </w:tc>
        <w:tc>
          <w:tcPr>
            <w:tcW w:w="42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353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191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jc w:val="right"/>
              <w:ind w:right="98"/>
              <w:spacing w:after="0" w:line="133" w:lineRule="exact"/>
              <w:rPr>
                <w:sz w:val="20"/>
                <w:szCs w:val="20"/>
                <w:color w:val="auto"/>
              </w:rPr>
            </w:pPr>
            <w:r>
              <w:rPr>
                <w:rFonts w:ascii="Arial" w:cs="Arial" w:eastAsia="Arial" w:hAnsi="Arial"/>
                <w:sz w:val="12"/>
                <w:szCs w:val="12"/>
                <w:color w:val="auto"/>
              </w:rPr>
              <w:t>(694 )</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(694 )</w:t>
            </w: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293</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293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94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(53 )</w:t>
            </w:r>
          </w:p>
        </w:tc>
        <w:tc>
          <w:tcPr>
            <w:tcW w:w="42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143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(1,425 )</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(1,425 )</w:t>
            </w: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413</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841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1,254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(2 )</w:t>
            </w:r>
          </w:p>
        </w:tc>
        <w:tc>
          <w:tcPr>
            <w:tcW w:w="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119"/>
              <w:spacing w:after="0"/>
              <w:rPr>
                <w:sz w:val="20"/>
                <w:szCs w:val="20"/>
                <w:color w:val="auto"/>
              </w:rPr>
            </w:pPr>
            <w:r>
              <w:rPr>
                <w:rFonts w:ascii="Arial" w:cs="Arial" w:eastAsia="Arial" w:hAnsi="Arial"/>
                <w:sz w:val="12"/>
                <w:szCs w:val="12"/>
                <w:color w:val="auto"/>
              </w:rPr>
              <w:t>(30 )</w:t>
            </w:r>
          </w:p>
        </w:tc>
        <w:tc>
          <w:tcPr>
            <w:tcW w:w="1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2"/>
                <w:szCs w:val="12"/>
                <w:color w:val="auto"/>
              </w:rPr>
              <w:t>(47 )</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(76 )</w:t>
            </w:r>
          </w:p>
        </w:tc>
        <w:tc>
          <w:tcPr>
            <w:tcW w:w="0" w:type="dxa"/>
            <w:vAlign w:val="bottom"/>
          </w:tcPr>
          <w:p>
            <w:pPr>
              <w:spacing w:after="0"/>
              <w:rPr>
                <w:sz w:val="1"/>
                <w:szCs w:val="1"/>
                <w:color w:val="auto"/>
              </w:rPr>
            </w:pPr>
          </w:p>
        </w:tc>
      </w:tr>
      <w:tr>
        <w:trPr>
          <w:trHeight w:val="109"/>
        </w:trPr>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rPr>
              <w:t>11,624</w:t>
            </w:r>
          </w:p>
        </w:tc>
        <w:tc>
          <w:tcPr>
            <w:tcW w:w="22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rPr>
              <w:t>(678</w:t>
            </w:r>
          </w:p>
        </w:tc>
        <w:tc>
          <w:tcPr>
            <w:tcW w:w="220" w:type="dxa"/>
            <w:vAlign w:val="bottom"/>
          </w:tcPr>
          <w:p>
            <w:pPr>
              <w:jc w:val="right"/>
              <w:ind w:right="98"/>
              <w:spacing w:after="0" w:line="109" w:lineRule="exact"/>
              <w:rPr>
                <w:sz w:val="20"/>
                <w:szCs w:val="20"/>
                <w:color w:val="auto"/>
              </w:rPr>
            </w:pPr>
            <w:r>
              <w:rPr>
                <w:rFonts w:ascii="Arial" w:cs="Arial" w:eastAsia="Arial" w:hAnsi="Arial"/>
                <w:sz w:val="12"/>
                <w:szCs w:val="12"/>
                <w:color w:val="auto"/>
                <w:w w:val="98"/>
              </w:rPr>
              <w:t>)</w:t>
            </w: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rPr>
              <w:t>13,497</w:t>
            </w:r>
          </w:p>
        </w:tc>
        <w:tc>
          <w:tcPr>
            <w:tcW w:w="2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rPr>
              <w:t>(4,254</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rPr>
              <w:t>1,170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rPr>
              <w:t>21,359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4,461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118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4,579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119"/>
              <w:spacing w:after="0" w:line="133" w:lineRule="exact"/>
              <w:rPr>
                <w:sz w:val="20"/>
                <w:szCs w:val="20"/>
                <w:color w:val="auto"/>
              </w:rPr>
            </w:pPr>
            <w:r>
              <w:rPr>
                <w:rFonts w:ascii="Arial" w:cs="Arial" w:eastAsia="Arial" w:hAnsi="Arial"/>
                <w:sz w:val="12"/>
                <w:szCs w:val="12"/>
                <w:color w:val="auto"/>
              </w:rPr>
              <w:t>(138 )</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(138 )</w:t>
            </w: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119"/>
              <w:spacing w:after="0" w:line="133" w:lineRule="exact"/>
              <w:rPr>
                <w:sz w:val="20"/>
                <w:szCs w:val="20"/>
                <w:color w:val="auto"/>
              </w:rPr>
            </w:pPr>
            <w:r>
              <w:rPr>
                <w:rFonts w:ascii="Arial" w:cs="Arial" w:eastAsia="Arial" w:hAnsi="Arial"/>
                <w:sz w:val="12"/>
                <w:szCs w:val="12"/>
                <w:color w:val="auto"/>
              </w:rPr>
              <w:t>(566 )</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(566 )</w:t>
            </w: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94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(407 )</w:t>
            </w:r>
          </w:p>
        </w:tc>
        <w:tc>
          <w:tcPr>
            <w:tcW w:w="42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317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(90 )</w:t>
            </w: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94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(65 )</w:t>
            </w:r>
          </w:p>
        </w:tc>
        <w:tc>
          <w:tcPr>
            <w:tcW w:w="42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284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219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jc w:val="right"/>
              <w:ind w:right="98"/>
              <w:spacing w:after="0" w:line="133" w:lineRule="exact"/>
              <w:rPr>
                <w:sz w:val="20"/>
                <w:szCs w:val="20"/>
                <w:color w:val="auto"/>
              </w:rPr>
            </w:pPr>
            <w:r>
              <w:rPr>
                <w:rFonts w:ascii="Arial" w:cs="Arial" w:eastAsia="Arial" w:hAnsi="Arial"/>
                <w:sz w:val="12"/>
                <w:szCs w:val="12"/>
                <w:color w:val="auto"/>
              </w:rPr>
              <w:t>(1,737 )</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(1,737 )</w:t>
            </w: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316</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316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94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(10 )</w:t>
            </w:r>
          </w:p>
        </w:tc>
        <w:tc>
          <w:tcPr>
            <w:tcW w:w="42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39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(1,563 )</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(1,563 )</w:t>
            </w:r>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w:t>
            </w:r>
          </w:p>
        </w:tc>
        <w:tc>
          <w:tcPr>
            <w:tcW w:w="220" w:type="dxa"/>
            <w:vAlign w:val="bottom"/>
            <w:vMerge w:val="restart"/>
          </w:tcPr>
          <w:p>
            <w:pPr>
              <w:jc w:val="right"/>
              <w:ind w:right="98"/>
              <w:spacing w:after="0"/>
              <w:rPr>
                <w:sz w:val="20"/>
                <w:szCs w:val="20"/>
                <w:color w:val="auto"/>
              </w:rPr>
            </w:pPr>
            <w:r>
              <w:rPr>
                <w:rFonts w:ascii="Arial" w:cs="Arial" w:eastAsia="Arial" w:hAnsi="Arial"/>
                <w:sz w:val="12"/>
                <w:szCs w:val="12"/>
                <w:color w:val="auto"/>
                <w:w w:val="98"/>
              </w:rPr>
              <w:t>)</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w:t>
            </w:r>
          </w:p>
        </w:tc>
        <w:tc>
          <w:tcPr>
            <w:tcW w:w="200" w:type="dxa"/>
            <w:vAlign w:val="bottom"/>
            <w:vMerge w:val="restart"/>
          </w:tcPr>
          <w:p>
            <w:pPr>
              <w:jc w:val="right"/>
              <w:ind w:right="119"/>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2"/>
                <w:szCs w:val="12"/>
                <w:color w:val="auto"/>
              </w:rPr>
              <w:t>(68 )</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(62 )</w:t>
            </w:r>
          </w:p>
        </w:tc>
        <w:tc>
          <w:tcPr>
            <w:tcW w:w="0" w:type="dxa"/>
            <w:vAlign w:val="bottom"/>
          </w:tcPr>
          <w:p>
            <w:pPr>
              <w:spacing w:after="0"/>
              <w:rPr>
                <w:sz w:val="1"/>
                <w:szCs w:val="1"/>
                <w:color w:val="auto"/>
              </w:rPr>
            </w:pPr>
          </w:p>
        </w:tc>
      </w:tr>
      <w:tr>
        <w:trPr>
          <w:trHeight w:val="126"/>
        </w:trPr>
        <w:tc>
          <w:tcPr>
            <w:tcW w:w="160" w:type="dxa"/>
            <w:vAlign w:val="bottom"/>
            <w:tcBorders>
              <w:top w:val="single" w:sz="8" w:color="auto"/>
              <w:bottom w:val="single" w:sz="8" w:color="auto"/>
            </w:tcBorders>
          </w:tcPr>
          <w:p>
            <w:pPr>
              <w:jc w:val="right"/>
              <w:ind w:right="18"/>
              <w:spacing w:after="0" w:line="126" w:lineRule="exact"/>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11,458</w:t>
            </w:r>
          </w:p>
        </w:tc>
        <w:tc>
          <w:tcPr>
            <w:tcW w:w="220" w:type="dxa"/>
            <w:vAlign w:val="bottom"/>
          </w:tcPr>
          <w:p>
            <w:pPr>
              <w:spacing w:after="0"/>
              <w:rPr>
                <w:sz w:val="10"/>
                <w:szCs w:val="10"/>
                <w:color w:val="auto"/>
              </w:rPr>
            </w:pPr>
          </w:p>
        </w:tc>
        <w:tc>
          <w:tcPr>
            <w:tcW w:w="420" w:type="dxa"/>
            <w:vAlign w:val="bottom"/>
            <w:tcBorders>
              <w:top w:val="single" w:sz="8" w:color="auto"/>
              <w:bottom w:val="single" w:sz="8" w:color="auto"/>
            </w:tcBorders>
          </w:tcPr>
          <w:p>
            <w:pPr>
              <w:jc w:val="right"/>
              <w:ind w:right="278"/>
              <w:spacing w:after="0" w:line="126" w:lineRule="exact"/>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(1,773</w:t>
            </w:r>
          </w:p>
        </w:tc>
        <w:tc>
          <w:tcPr>
            <w:tcW w:w="220" w:type="dxa"/>
            <w:vAlign w:val="bottom"/>
            <w:vMerge w:val="continue"/>
          </w:tcPr>
          <w:p>
            <w:pPr>
              <w:spacing w:after="0"/>
              <w:rPr>
                <w:sz w:val="10"/>
                <w:szCs w:val="10"/>
                <w:color w:val="auto"/>
              </w:rPr>
            </w:pPr>
          </w:p>
        </w:tc>
        <w:tc>
          <w:tcPr>
            <w:tcW w:w="12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16,395</w:t>
            </w:r>
          </w:p>
        </w:tc>
        <w:tc>
          <w:tcPr>
            <w:tcW w:w="22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38"/>
              <w:spacing w:after="0" w:line="126" w:lineRule="exact"/>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(4,950</w:t>
            </w:r>
          </w:p>
        </w:tc>
        <w:tc>
          <w:tcPr>
            <w:tcW w:w="200" w:type="dxa"/>
            <w:vAlign w:val="bottom"/>
            <w:vMerge w:val="continue"/>
          </w:tcPr>
          <w:p>
            <w:pPr>
              <w:spacing w:after="0"/>
              <w:rPr>
                <w:sz w:val="10"/>
                <w:szCs w:val="10"/>
                <w:color w:val="auto"/>
              </w:rPr>
            </w:pPr>
          </w:p>
        </w:tc>
        <w:tc>
          <w:tcPr>
            <w:tcW w:w="14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1,220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bottom w:val="single" w:sz="8" w:color="auto"/>
            </w:tcBorders>
          </w:tcPr>
          <w:p>
            <w:pPr>
              <w:jc w:val="right"/>
              <w:ind w:right="58"/>
              <w:spacing w:after="0" w:line="126" w:lineRule="exact"/>
              <w:rPr>
                <w:sz w:val="20"/>
                <w:szCs w:val="20"/>
                <w:color w:val="auto"/>
              </w:rPr>
            </w:pPr>
            <w:r>
              <w:rPr>
                <w:rFonts w:ascii="Arial" w:cs="Arial" w:eastAsia="Arial" w:hAnsi="Arial"/>
                <w:sz w:val="12"/>
                <w:szCs w:val="12"/>
                <w:color w:val="auto"/>
              </w:rPr>
              <w:t>$</w:t>
            </w:r>
          </w:p>
        </w:tc>
        <w:tc>
          <w:tcPr>
            <w:tcW w:w="74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22,350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-2078355</wp:posOffset>
            </wp:positionH>
            <wp:positionV relativeFrom="paragraph">
              <wp:posOffset>-3177540</wp:posOffset>
            </wp:positionV>
            <wp:extent cx="7134225" cy="844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225" cy="8445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-3008630</wp:posOffset>
            </wp:positionV>
            <wp:extent cx="7134225" cy="844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4225" cy="8445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-2839720</wp:posOffset>
            </wp:positionV>
            <wp:extent cx="7134225" cy="844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225" cy="8445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-2670175</wp:posOffset>
            </wp:positionV>
            <wp:extent cx="7134225" cy="844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225" cy="8445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-2501265</wp:posOffset>
            </wp:positionV>
            <wp:extent cx="7134225" cy="844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4225" cy="8445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-2154555</wp:posOffset>
            </wp:positionV>
            <wp:extent cx="7134225" cy="844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4225" cy="8445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-1985645</wp:posOffset>
            </wp:positionV>
            <wp:extent cx="7134225" cy="844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4225" cy="8445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-1816735</wp:posOffset>
            </wp:positionV>
            <wp:extent cx="7134225" cy="844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4225" cy="8445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-1647825</wp:posOffset>
            </wp:positionV>
            <wp:extent cx="7134225" cy="844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4225" cy="8445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-1478915</wp:posOffset>
            </wp:positionV>
            <wp:extent cx="7134225" cy="844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4225" cy="8445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-1309370</wp:posOffset>
            </wp:positionV>
            <wp:extent cx="7134225" cy="844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4225" cy="8445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-1132205</wp:posOffset>
            </wp:positionV>
            <wp:extent cx="7134225" cy="844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4225" cy="8445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-963295</wp:posOffset>
            </wp:positionV>
            <wp:extent cx="7134225" cy="844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4225" cy="8445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-793750</wp:posOffset>
            </wp:positionV>
            <wp:extent cx="7134225" cy="844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4225" cy="8445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-624840</wp:posOffset>
            </wp:positionV>
            <wp:extent cx="7134225" cy="844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4225" cy="8445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-455930</wp:posOffset>
            </wp:positionV>
            <wp:extent cx="7134225" cy="844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4225" cy="8445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-287020</wp:posOffset>
            </wp:positionV>
            <wp:extent cx="7134225" cy="844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4225" cy="8445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-2332355</wp:posOffset>
            </wp:positionV>
            <wp:extent cx="7134225" cy="927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4225" cy="9271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-109220</wp:posOffset>
            </wp:positionV>
            <wp:extent cx="7134225" cy="1098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4225" cy="1098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380"/>
            <w:col w:w="7900"/>
          </w:cols>
          <w:pgMar w:left="320" w:top="977" w:right="399" w:bottom="1440" w:gutter="0" w:footer="0" w:header="0"/>
        </w:sectPr>
      </w:pP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the Notes to Consolidated Financial Statements</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977" w:right="399" w:bottom="1440" w:gutter="0" w:footer="0" w:header="0"/>
          <w:type w:val="continuous"/>
        </w:sectPr>
      </w:pPr>
    </w:p>
    <w:bookmarkStart w:id="33" w:name="page34"/>
    <w:bookmarkEnd w:id="33"/>
    <w:p>
      <w:pPr>
        <w:jc w:val="center"/>
        <w:ind w:right="40"/>
        <w:spacing w:after="0"/>
        <w:rPr>
          <w:sz w:val="20"/>
          <w:szCs w:val="20"/>
          <w:color w:val="auto"/>
        </w:rPr>
      </w:pPr>
      <w:r>
        <w:rPr>
          <w:rFonts w:ascii="Arial" w:cs="Arial" w:eastAsia="Arial" w:hAnsi="Arial"/>
          <w:sz w:val="16"/>
          <w:szCs w:val="16"/>
          <w:b w:val="1"/>
          <w:bCs w:val="1"/>
          <w:color w:val="auto"/>
        </w:rPr>
        <w:t>SCHLUMBERGER LIMITED AND SUBSIDIARIES</w:t>
      </w:r>
    </w:p>
    <w:p>
      <w:pPr>
        <w:spacing w:after="0" w:line="10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SHARES OF COMMON STOCK</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15"/>
        </w:trPr>
        <w:tc>
          <w:tcPr>
            <w:tcW w:w="6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Shares</w:t>
            </w:r>
          </w:p>
        </w:tc>
      </w:tr>
      <w:tr>
        <w:trPr>
          <w:trHeight w:val="200"/>
        </w:trPr>
        <w:tc>
          <w:tcPr>
            <w:tcW w:w="6540" w:type="dxa"/>
            <w:vAlign w:val="bottom"/>
          </w:tcPr>
          <w:p>
            <w:pPr>
              <w:spacing w:after="0"/>
              <w:rPr>
                <w:sz w:val="17"/>
                <w:szCs w:val="17"/>
                <w:color w:val="auto"/>
              </w:rPr>
            </w:pPr>
          </w:p>
        </w:tc>
        <w:tc>
          <w:tcPr>
            <w:tcW w:w="9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w w:val="98"/>
              </w:rPr>
              <w:t>Issued</w:t>
            </w:r>
          </w:p>
        </w:tc>
        <w:tc>
          <w:tcPr>
            <w:tcW w:w="4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w w:val="97"/>
              </w:rPr>
              <w:t>In Treasury</w:t>
            </w:r>
          </w:p>
        </w:tc>
        <w:tc>
          <w:tcPr>
            <w:tcW w:w="2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7"/>
                <w:szCs w:val="17"/>
                <w:color w:val="auto"/>
              </w:rPr>
            </w:pPr>
          </w:p>
        </w:tc>
      </w:tr>
      <w:tr>
        <w:trPr>
          <w:trHeight w:val="180"/>
        </w:trPr>
        <w:tc>
          <w:tcPr>
            <w:tcW w:w="7480" w:type="dxa"/>
            <w:vAlign w:val="bottom"/>
            <w:gridSpan w:val="2"/>
            <w:shd w:val="clear" w:color="auto" w:fill="CFF0FC"/>
          </w:tcPr>
          <w:p>
            <w:pPr>
              <w:ind w:left="20"/>
              <w:spacing w:after="0" w:line="180" w:lineRule="exact"/>
              <w:rPr>
                <w:sz w:val="20"/>
                <w:szCs w:val="20"/>
                <w:color w:val="auto"/>
              </w:rPr>
            </w:pPr>
            <w:r>
              <w:rPr>
                <w:rFonts w:ascii="Arial" w:cs="Arial" w:eastAsia="Arial" w:hAnsi="Arial"/>
                <w:sz w:val="16"/>
                <w:szCs w:val="16"/>
                <w:color w:val="auto"/>
              </w:rPr>
              <w:t>Balance, January 1, 2022</w:t>
            </w:r>
          </w:p>
        </w:tc>
        <w:tc>
          <w:tcPr>
            <w:tcW w:w="4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94"/>
              </w:rPr>
              <w:t>1,434</w:t>
            </w: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w w:val="97"/>
              </w:rPr>
              <w:t>(31 )</w:t>
            </w:r>
          </w:p>
        </w:tc>
        <w:tc>
          <w:tcPr>
            <w:tcW w:w="14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1,403</w:t>
            </w:r>
          </w:p>
        </w:tc>
        <w:tc>
          <w:tcPr>
            <w:tcW w:w="120" w:type="dxa"/>
            <w:vAlign w:val="bottom"/>
            <w:shd w:val="clear" w:color="auto" w:fill="CFF0FC"/>
          </w:tcPr>
          <w:p>
            <w:pPr>
              <w:spacing w:after="0"/>
              <w:rPr>
                <w:sz w:val="15"/>
                <w:szCs w:val="15"/>
                <w:color w:val="auto"/>
              </w:rPr>
            </w:pPr>
          </w:p>
        </w:tc>
      </w:tr>
      <w:tr>
        <w:trPr>
          <w:trHeight w:val="186"/>
        </w:trPr>
        <w:tc>
          <w:tcPr>
            <w:tcW w:w="7480" w:type="dxa"/>
            <w:vAlign w:val="bottom"/>
            <w:gridSpan w:val="2"/>
          </w:tcPr>
          <w:p>
            <w:pPr>
              <w:ind w:left="200"/>
              <w:spacing w:after="0"/>
              <w:rPr>
                <w:sz w:val="20"/>
                <w:szCs w:val="20"/>
                <w:color w:val="auto"/>
              </w:rPr>
            </w:pPr>
            <w:r>
              <w:rPr>
                <w:rFonts w:ascii="Arial" w:cs="Arial" w:eastAsia="Arial" w:hAnsi="Arial"/>
                <w:sz w:val="16"/>
                <w:szCs w:val="16"/>
                <w:color w:val="auto"/>
              </w:rPr>
              <w:t>Employee stock purchase plan</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r>
      <w:tr>
        <w:trPr>
          <w:trHeight w:val="186"/>
        </w:trPr>
        <w:tc>
          <w:tcPr>
            <w:tcW w:w="74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Vesting of restricted stock, net of taxes withheld</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6"/>
                <w:szCs w:val="16"/>
                <w:color w:val="auto"/>
              </w:rPr>
            </w:pPr>
          </w:p>
        </w:tc>
      </w:tr>
      <w:tr>
        <w:trPr>
          <w:trHeight w:val="186"/>
        </w:trPr>
        <w:tc>
          <w:tcPr>
            <w:tcW w:w="6540" w:type="dxa"/>
            <w:vAlign w:val="bottom"/>
          </w:tcPr>
          <w:p>
            <w:pPr>
              <w:ind w:left="200"/>
              <w:spacing w:after="0"/>
              <w:rPr>
                <w:sz w:val="20"/>
                <w:szCs w:val="20"/>
                <w:color w:val="auto"/>
              </w:rPr>
            </w:pPr>
            <w:r>
              <w:rPr>
                <w:rFonts w:ascii="Arial" w:cs="Arial" w:eastAsia="Arial" w:hAnsi="Arial"/>
                <w:sz w:val="16"/>
                <w:szCs w:val="16"/>
                <w:color w:val="auto"/>
              </w:rPr>
              <w:t>Shares sold to optionees, less shares exchanged</w:t>
            </w: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r>
      <w:tr>
        <w:trPr>
          <w:trHeight w:val="180"/>
        </w:trPr>
        <w:tc>
          <w:tcPr>
            <w:tcW w:w="7480" w:type="dxa"/>
            <w:vAlign w:val="bottom"/>
            <w:gridSpan w:val="2"/>
            <w:shd w:val="clear" w:color="auto" w:fill="CFF0FC"/>
          </w:tcPr>
          <w:p>
            <w:pPr>
              <w:ind w:left="20"/>
              <w:spacing w:after="0" w:line="180" w:lineRule="exact"/>
              <w:rPr>
                <w:sz w:val="20"/>
                <w:szCs w:val="20"/>
                <w:color w:val="auto"/>
              </w:rPr>
            </w:pPr>
            <w:r>
              <w:rPr>
                <w:rFonts w:ascii="Arial" w:cs="Arial" w:eastAsia="Arial" w:hAnsi="Arial"/>
                <w:sz w:val="16"/>
                <w:szCs w:val="16"/>
                <w:color w:val="auto"/>
              </w:rPr>
              <w:t>Balance, December 31, 2022</w:t>
            </w:r>
          </w:p>
        </w:tc>
        <w:tc>
          <w:tcPr>
            <w:tcW w:w="4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94"/>
              </w:rPr>
              <w:t>1,434</w:t>
            </w: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w w:val="97"/>
              </w:rPr>
              <w:t>(14 )</w:t>
            </w:r>
          </w:p>
        </w:tc>
        <w:tc>
          <w:tcPr>
            <w:tcW w:w="14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1,420</w:t>
            </w:r>
          </w:p>
        </w:tc>
        <w:tc>
          <w:tcPr>
            <w:tcW w:w="120" w:type="dxa"/>
            <w:vAlign w:val="bottom"/>
            <w:shd w:val="clear" w:color="auto" w:fill="CFF0FC"/>
          </w:tcPr>
          <w:p>
            <w:pPr>
              <w:spacing w:after="0"/>
              <w:rPr>
                <w:sz w:val="15"/>
                <w:szCs w:val="15"/>
                <w:color w:val="auto"/>
              </w:rPr>
            </w:pPr>
          </w:p>
        </w:tc>
      </w:tr>
      <w:tr>
        <w:trPr>
          <w:trHeight w:val="186"/>
        </w:trPr>
        <w:tc>
          <w:tcPr>
            <w:tcW w:w="7480" w:type="dxa"/>
            <w:vAlign w:val="bottom"/>
            <w:gridSpan w:val="2"/>
          </w:tcPr>
          <w:p>
            <w:pPr>
              <w:ind w:left="200"/>
              <w:spacing w:after="0"/>
              <w:rPr>
                <w:sz w:val="20"/>
                <w:szCs w:val="20"/>
                <w:color w:val="auto"/>
              </w:rPr>
            </w:pPr>
            <w:r>
              <w:rPr>
                <w:rFonts w:ascii="Arial" w:cs="Arial" w:eastAsia="Arial" w:hAnsi="Arial"/>
                <w:sz w:val="16"/>
                <w:szCs w:val="16"/>
                <w:color w:val="auto"/>
              </w:rPr>
              <w:t>Employee stock purchase plan</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r>
      <w:tr>
        <w:trPr>
          <w:trHeight w:val="186"/>
        </w:trPr>
        <w:tc>
          <w:tcPr>
            <w:tcW w:w="74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Vesting of restricted stock, net of taxes withheld</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FF0FC"/>
          </w:tcPr>
          <w:p>
            <w:pPr>
              <w:spacing w:after="0"/>
              <w:rPr>
                <w:sz w:val="16"/>
                <w:szCs w:val="16"/>
                <w:color w:val="auto"/>
              </w:rPr>
            </w:pPr>
          </w:p>
        </w:tc>
      </w:tr>
      <w:tr>
        <w:trPr>
          <w:trHeight w:val="186"/>
        </w:trPr>
        <w:tc>
          <w:tcPr>
            <w:tcW w:w="7480" w:type="dxa"/>
            <w:vAlign w:val="bottom"/>
            <w:gridSpan w:val="2"/>
          </w:tcPr>
          <w:p>
            <w:pPr>
              <w:ind w:left="200"/>
              <w:spacing w:after="0"/>
              <w:rPr>
                <w:sz w:val="20"/>
                <w:szCs w:val="20"/>
                <w:color w:val="auto"/>
              </w:rPr>
            </w:pPr>
            <w:r>
              <w:rPr>
                <w:rFonts w:ascii="Arial" w:cs="Arial" w:eastAsia="Arial" w:hAnsi="Arial"/>
                <w:sz w:val="16"/>
                <w:szCs w:val="16"/>
                <w:color w:val="auto"/>
              </w:rPr>
              <w:t>Shares sold to optionees, less shares exchanged</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r>
      <w:tr>
        <w:trPr>
          <w:trHeight w:val="186"/>
        </w:trPr>
        <w:tc>
          <w:tcPr>
            <w:tcW w:w="74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Stock repurchase program</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7"/>
              </w:rPr>
              <w:t>(13 )</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(13 )</w:t>
            </w:r>
          </w:p>
        </w:tc>
      </w:tr>
      <w:tr>
        <w:trPr>
          <w:trHeight w:val="186"/>
        </w:trPr>
        <w:tc>
          <w:tcPr>
            <w:tcW w:w="6540" w:type="dxa"/>
            <w:vAlign w:val="bottom"/>
          </w:tcPr>
          <w:p>
            <w:pPr>
              <w:ind w:left="200"/>
              <w:spacing w:after="0"/>
              <w:rPr>
                <w:sz w:val="20"/>
                <w:szCs w:val="20"/>
                <w:color w:val="auto"/>
              </w:rPr>
            </w:pPr>
            <w:r>
              <w:rPr>
                <w:rFonts w:ascii="Arial" w:cs="Arial" w:eastAsia="Arial" w:hAnsi="Arial"/>
                <w:sz w:val="16"/>
                <w:szCs w:val="16"/>
                <w:color w:val="auto"/>
              </w:rPr>
              <w:t>Acquisition of Aker Subsea</w:t>
            </w: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r>
      <w:tr>
        <w:trPr>
          <w:trHeight w:val="180"/>
        </w:trPr>
        <w:tc>
          <w:tcPr>
            <w:tcW w:w="7480" w:type="dxa"/>
            <w:vAlign w:val="bottom"/>
            <w:gridSpan w:val="2"/>
            <w:shd w:val="clear" w:color="auto" w:fill="CFF0FC"/>
          </w:tcPr>
          <w:p>
            <w:pPr>
              <w:ind w:left="20"/>
              <w:spacing w:after="0" w:line="180" w:lineRule="exact"/>
              <w:rPr>
                <w:sz w:val="20"/>
                <w:szCs w:val="20"/>
                <w:color w:val="auto"/>
              </w:rPr>
            </w:pPr>
            <w:r>
              <w:rPr>
                <w:rFonts w:ascii="Arial" w:cs="Arial" w:eastAsia="Arial" w:hAnsi="Arial"/>
                <w:sz w:val="16"/>
                <w:szCs w:val="16"/>
                <w:color w:val="auto"/>
              </w:rPr>
              <w:t>Balance, December 31, 2023</w:t>
            </w:r>
          </w:p>
        </w:tc>
        <w:tc>
          <w:tcPr>
            <w:tcW w:w="4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94"/>
              </w:rPr>
              <w:t>1,439</w:t>
            </w: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w w:val="97"/>
              </w:rPr>
              <w:t>(12 )</w:t>
            </w:r>
          </w:p>
        </w:tc>
        <w:tc>
          <w:tcPr>
            <w:tcW w:w="14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1,427</w:t>
            </w:r>
          </w:p>
        </w:tc>
        <w:tc>
          <w:tcPr>
            <w:tcW w:w="120" w:type="dxa"/>
            <w:vAlign w:val="bottom"/>
            <w:shd w:val="clear" w:color="auto" w:fill="CFF0FC"/>
          </w:tcPr>
          <w:p>
            <w:pPr>
              <w:spacing w:after="0"/>
              <w:rPr>
                <w:sz w:val="15"/>
                <w:szCs w:val="15"/>
                <w:color w:val="auto"/>
              </w:rPr>
            </w:pPr>
          </w:p>
        </w:tc>
      </w:tr>
      <w:tr>
        <w:trPr>
          <w:trHeight w:val="186"/>
        </w:trPr>
        <w:tc>
          <w:tcPr>
            <w:tcW w:w="7480" w:type="dxa"/>
            <w:vAlign w:val="bottom"/>
            <w:gridSpan w:val="2"/>
          </w:tcPr>
          <w:p>
            <w:pPr>
              <w:ind w:left="200"/>
              <w:spacing w:after="0"/>
              <w:rPr>
                <w:sz w:val="20"/>
                <w:szCs w:val="20"/>
                <w:color w:val="auto"/>
              </w:rPr>
            </w:pPr>
            <w:r>
              <w:rPr>
                <w:rFonts w:ascii="Arial" w:cs="Arial" w:eastAsia="Arial" w:hAnsi="Arial"/>
                <w:sz w:val="16"/>
                <w:szCs w:val="16"/>
                <w:color w:val="auto"/>
              </w:rPr>
              <w:t>Employee stock purchase plan</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r>
      <w:tr>
        <w:trPr>
          <w:trHeight w:val="186"/>
        </w:trPr>
        <w:tc>
          <w:tcPr>
            <w:tcW w:w="74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Vesting of restricted stock, net of taxes withheld</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0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6"/>
                <w:szCs w:val="16"/>
                <w:color w:val="auto"/>
              </w:rPr>
            </w:pPr>
          </w:p>
        </w:tc>
      </w:tr>
      <w:tr>
        <w:trPr>
          <w:trHeight w:val="186"/>
        </w:trPr>
        <w:tc>
          <w:tcPr>
            <w:tcW w:w="7480" w:type="dxa"/>
            <w:vAlign w:val="bottom"/>
            <w:gridSpan w:val="2"/>
          </w:tcPr>
          <w:p>
            <w:pPr>
              <w:ind w:left="200"/>
              <w:spacing w:after="0"/>
              <w:rPr>
                <w:sz w:val="20"/>
                <w:szCs w:val="20"/>
                <w:color w:val="auto"/>
              </w:rPr>
            </w:pPr>
            <w:r>
              <w:rPr>
                <w:rFonts w:ascii="Arial" w:cs="Arial" w:eastAsia="Arial" w:hAnsi="Arial"/>
                <w:sz w:val="16"/>
                <w:szCs w:val="16"/>
                <w:color w:val="auto"/>
              </w:rPr>
              <w:t>Shares sold to optionees, less shares exchanged</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r>
      <w:tr>
        <w:trPr>
          <w:trHeight w:val="186"/>
        </w:trPr>
        <w:tc>
          <w:tcPr>
            <w:tcW w:w="6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 repurchase program</w:t>
            </w:r>
          </w:p>
        </w:tc>
        <w:tc>
          <w:tcPr>
            <w:tcW w:w="94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7"/>
              </w:rPr>
              <w:t>(38 )</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(38 )</w:t>
            </w:r>
          </w:p>
        </w:tc>
      </w:tr>
      <w:tr>
        <w:trPr>
          <w:trHeight w:val="180"/>
        </w:trPr>
        <w:tc>
          <w:tcPr>
            <w:tcW w:w="6540" w:type="dxa"/>
            <w:vAlign w:val="bottom"/>
          </w:tcPr>
          <w:p>
            <w:pPr>
              <w:ind w:left="20"/>
              <w:spacing w:after="0" w:line="167" w:lineRule="exact"/>
              <w:rPr>
                <w:sz w:val="20"/>
                <w:szCs w:val="20"/>
                <w:color w:val="auto"/>
              </w:rPr>
            </w:pPr>
            <w:r>
              <w:rPr>
                <w:rFonts w:ascii="Arial" w:cs="Arial" w:eastAsia="Arial" w:hAnsi="Arial"/>
                <w:sz w:val="16"/>
                <w:szCs w:val="16"/>
                <w:color w:val="auto"/>
              </w:rPr>
              <w:t>Balance, December 31, 2024</w:t>
            </w:r>
          </w:p>
        </w:tc>
        <w:tc>
          <w:tcPr>
            <w:tcW w:w="94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4"/>
              </w:rPr>
              <w:t>1,439</w:t>
            </w:r>
          </w:p>
        </w:tc>
        <w:tc>
          <w:tcPr>
            <w:tcW w:w="200" w:type="dxa"/>
            <w:vAlign w:val="bottom"/>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4"/>
              </w:rPr>
              <w:t>(38</w:t>
            </w:r>
          </w:p>
        </w:tc>
        <w:tc>
          <w:tcPr>
            <w:tcW w:w="200" w:type="dxa"/>
            <w:vAlign w:val="bottom"/>
          </w:tcPr>
          <w:p>
            <w:pPr>
              <w:jc w:val="right"/>
              <w:ind w:right="60"/>
              <w:spacing w:after="0" w:line="160" w:lineRule="exact"/>
              <w:rPr>
                <w:sz w:val="20"/>
                <w:szCs w:val="20"/>
                <w:color w:val="auto"/>
              </w:rPr>
            </w:pPr>
            <w:r>
              <w:rPr>
                <w:rFonts w:ascii="Arial" w:cs="Arial" w:eastAsia="Arial" w:hAnsi="Arial"/>
                <w:sz w:val="16"/>
                <w:szCs w:val="16"/>
                <w:color w:val="auto"/>
                <w:w w:val="74"/>
              </w:rPr>
              <w:t>)</w:t>
            </w:r>
          </w:p>
        </w:tc>
        <w:tc>
          <w:tcPr>
            <w:tcW w:w="14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1,401</w:t>
            </w:r>
          </w:p>
        </w:tc>
        <w:tc>
          <w:tcPr>
            <w:tcW w:w="120" w:type="dxa"/>
            <w:vAlign w:val="bottom"/>
          </w:tcPr>
          <w:p>
            <w:pPr>
              <w:spacing w:after="0"/>
              <w:rPr>
                <w:sz w:val="15"/>
                <w:szCs w:val="15"/>
                <w:color w:val="auto"/>
              </w:rPr>
            </w:pPr>
          </w:p>
        </w:tc>
      </w:tr>
      <w:tr>
        <w:trPr>
          <w:trHeight w:val="20"/>
        </w:trPr>
        <w:tc>
          <w:tcPr>
            <w:tcW w:w="6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the Notes to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4" w:name="page35"/>
    <w:bookmarkEnd w:id="34"/>
    <w:p>
      <w:pPr>
        <w:jc w:val="center"/>
        <w:ind w:right="40"/>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spacing w:after="0" w:line="189" w:lineRule="exact"/>
        <w:rPr>
          <w:sz w:val="20"/>
          <w:szCs w:val="20"/>
          <w:color w:val="auto"/>
        </w:rPr>
      </w:pPr>
    </w:p>
    <w:p>
      <w:pPr>
        <w:ind w:left="220" w:hanging="214"/>
        <w:spacing w:after="0"/>
        <w:tabs>
          <w:tab w:leader="none" w:pos="22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Business Description</w:t>
      </w:r>
    </w:p>
    <w:p>
      <w:pPr>
        <w:spacing w:after="0" w:line="10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Schlumberger Limited (Schlumberger N.V., incorporated in Curaçao) and its consolidated subsidiaries (collectively, “SLB”) form a global technology company that drives energy innovation for a balanced planet. With a global footprint in more than 100 countries and employees representing almost twice as many nationalities, SLB works each day on innovating energy technology, delivering digital at scale, decarbonizing industries, and developing and scaling new energy systems that accelerate the energy transition.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Announced Transaction</w:t>
      </w:r>
    </w:p>
    <w:p>
      <w:pPr>
        <w:spacing w:after="0" w:line="10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April 2, 2024, SLB announced a definitive agreement to purchase ChampionX Corporation ("ChampionX") in an all-stock transaction. ChampionX is a global leader in chemistry solutions, artificial lift systems, and highly engineered equipment and technologies that help companies drill for and produce oil and gas safely, efficiently, and sustainably around the world. Under the terms of the agreement, ChampionX shareholders will receive 0.735 shares of SLB common stock in exchange for each ChampionX share. At the closing of the transaction ChampionX shareholders will own approximately 9% of SLB's outstanding shares of common stock. ChampionX reported revenue of approximately $2.7 billion for the nine months ended September 30, 2024. The transaction, which is subject to regulatory approvals and other customary closing conditions, received the approval of the ChampionX stockholders at a special meeting held on June 18, 2024. It is anticipated that the transaction will close in the first quarter of 2025.</w:t>
      </w:r>
    </w:p>
    <w:p>
      <w:pPr>
        <w:spacing w:after="0" w:line="187" w:lineRule="exact"/>
        <w:rPr>
          <w:sz w:val="20"/>
          <w:szCs w:val="20"/>
          <w:color w:val="auto"/>
        </w:rPr>
      </w:pPr>
    </w:p>
    <w:p>
      <w:pPr>
        <w:ind w:left="220" w:hanging="214"/>
        <w:spacing w:after="0"/>
        <w:tabs>
          <w:tab w:leader="none" w:pos="22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Summary of Accounting Policies</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of SLB have been prepared in accordance with accounting principles generally accepted in the United States of America.</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0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preparation of financial statements requires management to make estimates and assumptions that affect the reported amounts of assets and liabilities, the disclosure of contingent liabilities at the date of the financial statements and the reported amounts of revenue and expenses during the reporting period. On an ongoing basis, SLB evaluates its estimates, including those related to collectibility of accounts receivable; revenue recognized for certain long-term construction-type contracts over time; recoverability of fixed assets, goodwill, intangible assets, Asset Performance Solutions investments, and investments in affiliates; income taxes; exploration data; contingencies and actuarial assumptions for employee benefit plans. SLB bases its estimates on historical experience and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SLB recognizes revenue upon the transfer of control of promised products or services to customers at an amount that reflects the consideration it expects to receive in exchange for these products or services. The vast majority of SLB’s services and product offerings are short-term in nature. The time between invoicing and when payment is due under these arrangements is generally between 30 to 60 days.</w:t>
      </w:r>
    </w:p>
    <w:p>
      <w:pPr>
        <w:spacing w:after="0" w:line="14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Revenue is recognized for certain long-term construction-type contracts over time. These contracts involve significant design and engineering efforts in order to satisfy custom designs for customer-specific applications. Revenue is recognized as work progresses on each contract. Progress is measured by the ratio of actual costs incurred to date on the project in relation to total estimated project costs. The estimate of total project costs has a significant impact on both the amount of revenue recognized as well as the related profit on a project. Revenue and profits on contracts can also be significantly affected by change orders and claims. Due to the nature of these projects, adjustments to estimates of contract revenue and total contract costs may be required as work progresses. Progress billings are generally issued upon completion of certain phases of work as stipulated in the contract. Any expected losses on a project are recorded in full in the period in which they become probable.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Total backlog was $5.4 billion at December 31, 2024, of which approximately 55% is expected to be recognized as revenue during 2025.</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Short-term Investments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i w:val="1"/>
          <w:iCs w:val="1"/>
          <w:color w:val="auto"/>
        </w:rPr>
        <w:t xml:space="preserve">Short-term investments </w:t>
      </w:r>
      <w:r>
        <w:rPr>
          <w:rFonts w:ascii="Arial" w:cs="Arial" w:eastAsia="Arial" w:hAnsi="Arial"/>
          <w:sz w:val="16"/>
          <w:szCs w:val="16"/>
          <w:color w:val="auto"/>
        </w:rPr>
        <w:t>are comprised primarily of money market funds, time deposits, certificates of deposit, commercial paper, bonds, and notes,</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which are denominated in US dollars and are stated at cost plus accrued interest, which approximates fair value.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purposes of the </w:t>
      </w:r>
      <w:r>
        <w:rPr>
          <w:rFonts w:ascii="Arial" w:cs="Arial" w:eastAsia="Arial" w:hAnsi="Arial"/>
          <w:sz w:val="16"/>
          <w:szCs w:val="16"/>
          <w:i w:val="1"/>
          <w:iCs w:val="1"/>
          <w:color w:val="auto"/>
        </w:rPr>
        <w:t>Consolidated Statement of Cash Flows</w:t>
      </w:r>
      <w:r>
        <w:rPr>
          <w:rFonts w:ascii="Arial" w:cs="Arial" w:eastAsia="Arial" w:hAnsi="Arial"/>
          <w:sz w:val="16"/>
          <w:szCs w:val="16"/>
          <w:color w:val="auto"/>
        </w:rPr>
        <w:t xml:space="preserve">, SLB does not consider </w:t>
      </w:r>
      <w:r>
        <w:rPr>
          <w:rFonts w:ascii="Arial" w:cs="Arial" w:eastAsia="Arial" w:hAnsi="Arial"/>
          <w:sz w:val="16"/>
          <w:szCs w:val="16"/>
          <w:i w:val="1"/>
          <w:iCs w:val="1"/>
          <w:color w:val="auto"/>
        </w:rPr>
        <w:t>Short-term investments</w:t>
      </w:r>
      <w:r>
        <w:rPr>
          <w:rFonts w:ascii="Arial" w:cs="Arial" w:eastAsia="Arial" w:hAnsi="Arial"/>
          <w:sz w:val="16"/>
          <w:szCs w:val="16"/>
          <w:color w:val="auto"/>
        </w:rPr>
        <w:t xml:space="preserve"> to be cash equivalents.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auto"/>
        </w:rPr>
        <w:t>Investments in Affiliated Companies</w:t>
      </w:r>
    </w:p>
    <w:p>
      <w:pPr>
        <w:spacing w:after="0" w:line="10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Investments in companies in which SLB does not have a controlling financial interest, but over which it has significant influence, are accounted for using the equity method. SLB’s share of the after-tax earnings of equity method investees is included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Investments in privately held companies in which SLB does not have the ability to exercise significant influence are accounted for using the cost method. Investments in publicly traded companies in which SLB does not have the ability to exercise significant influence are reported at fair value, with unrealized gains and losses reported as a component of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Exploration Data</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SLB’s exploration data library consists of completed and in-process seismic surveys that are licensed on a nonexclusive basis. SLB capitalizes costs directly incurred in acquiring and processing the exploration data. Such costs are charged to </w:t>
      </w:r>
      <w:r>
        <w:rPr>
          <w:rFonts w:ascii="Arial" w:cs="Arial" w:eastAsia="Arial" w:hAnsi="Arial"/>
          <w:sz w:val="16"/>
          <w:szCs w:val="16"/>
          <w:i w:val="1"/>
          <w:iCs w:val="1"/>
          <w:color w:val="auto"/>
        </w:rPr>
        <w:t>Cost of services</w:t>
      </w:r>
      <w:r>
        <w:rPr>
          <w:rFonts w:ascii="Arial" w:cs="Arial" w:eastAsia="Arial" w:hAnsi="Arial"/>
          <w:sz w:val="16"/>
          <w:szCs w:val="16"/>
          <w:color w:val="auto"/>
        </w:rPr>
        <w:t xml:space="preserve"> based on the percentage of the total costs to the estimated total revenue that SLB expects to receive from the sales of such data. However, an individual survey generally will not carry a net book value greater than a 4-year, straight-line amortized value.</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carrying value of the exploration data library is reviewed for impairment annually as well as when an event or change in circumstance indicating impairment may have occurred. Adjustments to the carrying value are recorded when it is determined that estimated future cash flows, which involve significant judgment on the part of SLB, would not be sufficient to recover the carrying value of the surveys. Significant adverse changes in SLB’s estimated future cash flows could result in impairment charges in a future period.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Asset Performance Solutions</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Asset Performance Solutions (“APS”) projects are generally focused on developing and co-managing production of customers’ assets under long-term agreements. SLB invests its own services and products into the field development activities and operations and is compensated on a fee-per-barrel basis or based on cash flow generated. This includes certain arrangements whereby SLB is only compensated based on incremental production that it helps deliver above a mutually agreed baseline.</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SLB capitalizes its investments in a project including the direct costs associated with providing its services or products. These capitalized investments are amortized to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as the related production is achieved based on the units of production method, whereby each unit produced is assigned a pro-rata portion of the unamortized costs based on estimated total production, resulting in a matching of revenue with the applicable costs.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Credit Risk</w:t>
      </w:r>
    </w:p>
    <w:p>
      <w:pPr>
        <w:spacing w:after="0" w:line="10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SLB is exposed to concentrations of credit risk primarily relating to cash, short-term investments, receivables from clients, and derivative financial instruments. SLB places its cash and short-term investments with financial institutions and corporations and limits the amount of credit exposure with any one of them. SLB regularly evaluates the creditworthiness of the issuers in which it invests. By using derivative financial instruments to hedge certain exposures, SLB exposes itself to some credit risk. SLB minimizes this credit risk by entering into transactions with high-quality counterparties, limiting the exposure to each counterparty and monitoring the financial condition of its counterparties.</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a large multinational company, SLB’s accounts receivable are spread over many countries and customers. The United States represented 11% of SLB’s net accounts receivable balance at December 31, 2024. No other country accounted for greater than 10% of SLB’s accounts receivable balance. SLB maintains an allowance for uncollectible accounts receivable based on expected collectibility and performs ongoing credit evaluations of its customers’ financial condition. If the financial condition of SLB’s customers were to deteriorate resulting in an impairment of their ability to make payments, adjustments to the allowance may be required.</w:t>
      </w:r>
    </w:p>
    <w:p>
      <w:pPr>
        <w:spacing w:after="0" w:line="156"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 xml:space="preserve">See Note 10 - </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 xml:space="preserve"> for details regarding outstanding credit default swaps that SLB has issued to certain financial institutions.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auto"/>
        </w:rPr>
        <w:t>Earnings per Share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from basic to diluted earnings per share of SLB:</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5"/>
          </w:tcPr>
          <w:p>
            <w:pPr>
              <w:jc w:val="right"/>
              <w:ind w:right="14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55"/>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220"/>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24"/>
                <w:szCs w:val="24"/>
                <w:color w:val="auto"/>
              </w:rPr>
            </w:pPr>
          </w:p>
        </w:tc>
        <w:tc>
          <w:tcPr>
            <w:tcW w:w="1360" w:type="dxa"/>
            <w:vAlign w:val="bottom"/>
          </w:tcPr>
          <w:p>
            <w:pPr>
              <w:jc w:val="right"/>
              <w:ind w:right="321"/>
              <w:spacing w:after="0"/>
              <w:rPr>
                <w:sz w:val="20"/>
                <w:szCs w:val="20"/>
                <w:color w:val="auto"/>
              </w:rPr>
            </w:pPr>
            <w:r>
              <w:rPr>
                <w:rFonts w:ascii="Arial" w:cs="Arial" w:eastAsia="Arial" w:hAnsi="Arial"/>
                <w:sz w:val="16"/>
                <w:szCs w:val="16"/>
                <w:color w:val="auto"/>
              </w:rPr>
              <w:t>Average</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Attributable to</w:t>
            </w:r>
          </w:p>
        </w:tc>
        <w:tc>
          <w:tcPr>
            <w:tcW w:w="220" w:type="dxa"/>
            <w:vAlign w:val="bottom"/>
          </w:tcPr>
          <w:p>
            <w:pPr>
              <w:spacing w:after="0"/>
              <w:rPr>
                <w:sz w:val="16"/>
                <w:szCs w:val="16"/>
                <w:color w:val="auto"/>
              </w:rPr>
            </w:pPr>
          </w:p>
        </w:tc>
        <w:tc>
          <w:tcPr>
            <w:tcW w:w="1360" w:type="dxa"/>
            <w:vAlign w:val="bottom"/>
          </w:tcPr>
          <w:p>
            <w:pPr>
              <w:jc w:val="right"/>
              <w:ind w:right="341"/>
              <w:spacing w:after="0"/>
              <w:rPr>
                <w:sz w:val="20"/>
                <w:szCs w:val="20"/>
                <w:color w:val="auto"/>
              </w:rPr>
            </w:pPr>
            <w:r>
              <w:rPr>
                <w:rFonts w:ascii="Arial" w:cs="Arial" w:eastAsia="Arial" w:hAnsi="Arial"/>
                <w:sz w:val="16"/>
                <w:szCs w:val="16"/>
                <w:color w:val="auto"/>
              </w:rPr>
              <w:t>Shares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Earnings per</w:t>
            </w:r>
          </w:p>
        </w:tc>
      </w:tr>
      <w:tr>
        <w:trPr>
          <w:trHeight w:val="200"/>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440"/>
              <w:spacing w:after="0"/>
              <w:rPr>
                <w:sz w:val="20"/>
                <w:szCs w:val="20"/>
                <w:color w:val="auto"/>
              </w:rPr>
            </w:pPr>
            <w:r>
              <w:rPr>
                <w:rFonts w:ascii="Arial" w:cs="Arial" w:eastAsia="Arial" w:hAnsi="Arial"/>
                <w:sz w:val="16"/>
                <w:szCs w:val="16"/>
                <w:color w:val="auto"/>
              </w:rPr>
              <w:t>SLB</w:t>
            </w:r>
          </w:p>
        </w:tc>
        <w:tc>
          <w:tcPr>
            <w:tcW w:w="220" w:type="dxa"/>
            <w:vAlign w:val="bottom"/>
          </w:tcPr>
          <w:p>
            <w:pPr>
              <w:spacing w:after="0"/>
              <w:rPr>
                <w:sz w:val="17"/>
                <w:szCs w:val="17"/>
                <w:color w:val="auto"/>
              </w:rPr>
            </w:pPr>
          </w:p>
        </w:tc>
        <w:tc>
          <w:tcPr>
            <w:tcW w:w="1360" w:type="dxa"/>
            <w:vAlign w:val="bottom"/>
          </w:tcPr>
          <w:p>
            <w:pPr>
              <w:jc w:val="right"/>
              <w:ind w:right="181"/>
              <w:spacing w:after="0"/>
              <w:rPr>
                <w:sz w:val="20"/>
                <w:szCs w:val="20"/>
                <w:color w:val="auto"/>
              </w:rPr>
            </w:pPr>
            <w:r>
              <w:rPr>
                <w:rFonts w:ascii="Arial" w:cs="Arial" w:eastAsia="Arial" w:hAnsi="Arial"/>
                <w:sz w:val="16"/>
                <w:szCs w:val="16"/>
                <w:color w:val="auto"/>
              </w:rPr>
              <w:t>Outstanding</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300"/>
              <w:spacing w:after="0"/>
              <w:rPr>
                <w:sz w:val="20"/>
                <w:szCs w:val="20"/>
                <w:color w:val="auto"/>
              </w:rPr>
            </w:pPr>
            <w:r>
              <w:rPr>
                <w:rFonts w:ascii="Arial" w:cs="Arial" w:eastAsia="Arial" w:hAnsi="Arial"/>
                <w:sz w:val="16"/>
                <w:szCs w:val="16"/>
                <w:color w:val="auto"/>
              </w:rPr>
              <w:t>Share</w:t>
            </w:r>
          </w:p>
        </w:tc>
      </w:tr>
      <w:tr>
        <w:trPr>
          <w:trHeight w:val="180"/>
        </w:trPr>
        <w:tc>
          <w:tcPr>
            <w:tcW w:w="664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b w:val="1"/>
                <w:bCs w:val="1"/>
                <w:color w:val="auto"/>
              </w:rPr>
              <w:t>2024:</w:t>
            </w:r>
          </w:p>
        </w:tc>
        <w:tc>
          <w:tcPr>
            <w:tcW w:w="120" w:type="dxa"/>
            <w:vAlign w:val="bottom"/>
            <w:tcBorders>
              <w:top w:val="single" w:sz="8" w:color="auto"/>
            </w:tcBorders>
            <w:shd w:val="clear" w:color="auto" w:fill="CFF0FC"/>
          </w:tcPr>
          <w:p>
            <w:pPr>
              <w:spacing w:after="0"/>
              <w:rPr>
                <w:sz w:val="15"/>
                <w:szCs w:val="15"/>
                <w:color w:val="auto"/>
              </w:rPr>
            </w:pPr>
          </w:p>
        </w:tc>
        <w:tc>
          <w:tcPr>
            <w:tcW w:w="12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6"/>
        </w:trPr>
        <w:tc>
          <w:tcPr>
            <w:tcW w:w="6640" w:type="dxa"/>
            <w:vAlign w:val="bottom"/>
          </w:tcPr>
          <w:p>
            <w:pPr>
              <w:ind w:left="20"/>
              <w:spacing w:after="0" w:line="167" w:lineRule="exact"/>
              <w:rPr>
                <w:sz w:val="20"/>
                <w:szCs w:val="20"/>
                <w:color w:val="auto"/>
              </w:rPr>
            </w:pPr>
            <w:r>
              <w:rPr>
                <w:rFonts w:ascii="Arial" w:cs="Arial" w:eastAsia="Arial" w:hAnsi="Arial"/>
                <w:sz w:val="16"/>
                <w:szCs w:val="16"/>
                <w:b w:val="1"/>
                <w:bCs w:val="1"/>
                <w:color w:val="auto"/>
              </w:rPr>
              <w:t>Basic</w:t>
            </w:r>
          </w:p>
        </w:tc>
        <w:tc>
          <w:tcPr>
            <w:tcW w:w="120" w:type="dxa"/>
            <w:vAlign w:val="bottom"/>
          </w:tcPr>
          <w:p>
            <w:pPr>
              <w:jc w:val="right"/>
              <w:spacing w:after="0" w:line="167" w:lineRule="exact"/>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spacing w:after="0" w:line="167" w:lineRule="exact"/>
              <w:rPr>
                <w:sz w:val="20"/>
                <w:szCs w:val="20"/>
                <w:color w:val="auto"/>
              </w:rPr>
            </w:pPr>
            <w:r>
              <w:rPr>
                <w:rFonts w:ascii="Arial" w:cs="Arial" w:eastAsia="Arial" w:hAnsi="Arial"/>
                <w:sz w:val="16"/>
                <w:szCs w:val="16"/>
                <w:b w:val="1"/>
                <w:bCs w:val="1"/>
                <w:color w:val="auto"/>
              </w:rPr>
              <w:t>4,461</w:t>
            </w:r>
          </w:p>
        </w:tc>
        <w:tc>
          <w:tcPr>
            <w:tcW w:w="1580" w:type="dxa"/>
            <w:vAlign w:val="bottom"/>
            <w:gridSpan w:val="2"/>
          </w:tcPr>
          <w:p>
            <w:pPr>
              <w:jc w:val="right"/>
              <w:spacing w:after="0" w:line="167" w:lineRule="exact"/>
              <w:rPr>
                <w:sz w:val="20"/>
                <w:szCs w:val="20"/>
                <w:color w:val="auto"/>
              </w:rPr>
            </w:pPr>
            <w:r>
              <w:rPr>
                <w:rFonts w:ascii="Arial" w:cs="Arial" w:eastAsia="Arial" w:hAnsi="Arial"/>
                <w:sz w:val="16"/>
                <w:szCs w:val="16"/>
                <w:b w:val="1"/>
                <w:bCs w:val="1"/>
                <w:color w:val="auto"/>
              </w:rPr>
              <w:t>1,421</w:t>
            </w:r>
          </w:p>
        </w:tc>
        <w:tc>
          <w:tcPr>
            <w:tcW w:w="400" w:type="dxa"/>
            <w:vAlign w:val="bottom"/>
            <w:gridSpan w:val="2"/>
          </w:tcPr>
          <w:p>
            <w:pPr>
              <w:jc w:val="right"/>
              <w:ind w:right="40"/>
              <w:spacing w:after="0" w:line="167" w:lineRule="exact"/>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line="167" w:lineRule="exact"/>
              <w:rPr>
                <w:sz w:val="20"/>
                <w:szCs w:val="20"/>
                <w:color w:val="auto"/>
              </w:rPr>
            </w:pPr>
            <w:r>
              <w:rPr>
                <w:rFonts w:ascii="Arial" w:cs="Arial" w:eastAsia="Arial" w:hAnsi="Arial"/>
                <w:sz w:val="16"/>
                <w:szCs w:val="16"/>
                <w:b w:val="1"/>
                <w:bCs w:val="1"/>
                <w:color w:val="auto"/>
              </w:rPr>
              <w:t>3.14</w:t>
            </w:r>
          </w:p>
        </w:tc>
        <w:tc>
          <w:tcPr>
            <w:tcW w:w="100" w:type="dxa"/>
            <w:vAlign w:val="bottom"/>
          </w:tcPr>
          <w:p>
            <w:pPr>
              <w:spacing w:after="0"/>
              <w:rPr>
                <w:sz w:val="16"/>
                <w:szCs w:val="16"/>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640" w:type="dxa"/>
            <w:vAlign w:val="bottom"/>
            <w:shd w:val="clear" w:color="auto" w:fill="CFF0FC"/>
          </w:tcPr>
          <w:p>
            <w:pPr>
              <w:ind w:left="20"/>
              <w:spacing w:after="0" w:line="166" w:lineRule="exact"/>
              <w:rPr>
                <w:sz w:val="20"/>
                <w:szCs w:val="20"/>
                <w:color w:val="auto"/>
              </w:rPr>
            </w:pPr>
            <w:r>
              <w:rPr>
                <w:rFonts w:ascii="Arial" w:cs="Arial" w:eastAsia="Arial" w:hAnsi="Arial"/>
                <w:sz w:val="16"/>
                <w:szCs w:val="16"/>
                <w:b w:val="1"/>
                <w:bCs w:val="1"/>
                <w:color w:val="auto"/>
              </w:rPr>
              <w:t>Dilutive impact of stock options and restricted stock</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6" w:lineRule="exact"/>
              <w:rPr>
                <w:sz w:val="20"/>
                <w:szCs w:val="20"/>
                <w:color w:val="auto"/>
              </w:rPr>
            </w:pPr>
            <w:r>
              <w:rPr>
                <w:rFonts w:ascii="Arial" w:cs="Arial" w:eastAsia="Arial" w:hAnsi="Arial"/>
                <w:sz w:val="16"/>
                <w:szCs w:val="16"/>
                <w:b w:val="1"/>
                <w:bCs w:val="1"/>
                <w:color w:val="auto"/>
              </w:rPr>
              <w:t>-</w:t>
            </w:r>
          </w:p>
        </w:tc>
        <w:tc>
          <w:tcPr>
            <w:tcW w:w="1580" w:type="dxa"/>
            <w:vAlign w:val="bottom"/>
            <w:gridSpan w:val="2"/>
            <w:shd w:val="clear" w:color="auto" w:fill="CFF0FC"/>
          </w:tcPr>
          <w:p>
            <w:pPr>
              <w:jc w:val="right"/>
              <w:spacing w:after="0" w:line="166" w:lineRule="exact"/>
              <w:rPr>
                <w:sz w:val="20"/>
                <w:szCs w:val="20"/>
                <w:color w:val="auto"/>
              </w:rPr>
            </w:pPr>
            <w:r>
              <w:rPr>
                <w:rFonts w:ascii="Arial" w:cs="Arial" w:eastAsia="Arial" w:hAnsi="Arial"/>
                <w:sz w:val="16"/>
                <w:szCs w:val="16"/>
                <w:b w:val="1"/>
                <w:bCs w:val="1"/>
                <w:color w:val="auto"/>
              </w:rPr>
              <w:t>15</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0"/>
        </w:trPr>
        <w:tc>
          <w:tcPr>
            <w:tcW w:w="6640" w:type="dxa"/>
            <w:vAlign w:val="bottom"/>
          </w:tcPr>
          <w:p>
            <w:pPr>
              <w:ind w:left="20"/>
              <w:spacing w:after="0" w:line="167" w:lineRule="exact"/>
              <w:rPr>
                <w:sz w:val="20"/>
                <w:szCs w:val="20"/>
                <w:color w:val="auto"/>
              </w:rPr>
            </w:pPr>
            <w:r>
              <w:rPr>
                <w:rFonts w:ascii="Arial" w:cs="Arial" w:eastAsia="Arial" w:hAnsi="Arial"/>
                <w:sz w:val="16"/>
                <w:szCs w:val="16"/>
                <w:b w:val="1"/>
                <w:bCs w:val="1"/>
                <w:color w:val="auto"/>
              </w:rPr>
              <w:t>Diluted</w:t>
            </w:r>
          </w:p>
        </w:tc>
        <w:tc>
          <w:tcPr>
            <w:tcW w:w="12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b w:val="1"/>
                <w:bCs w:val="1"/>
                <w:color w:val="auto"/>
              </w:rPr>
              <w:t>4,461</w:t>
            </w:r>
          </w:p>
        </w:tc>
        <w:tc>
          <w:tcPr>
            <w:tcW w:w="220" w:type="dxa"/>
            <w:vAlign w:val="bottom"/>
          </w:tcPr>
          <w:p>
            <w:pPr>
              <w:spacing w:after="0"/>
              <w:rPr>
                <w:sz w:val="15"/>
                <w:szCs w:val="15"/>
                <w:color w:val="auto"/>
              </w:rPr>
            </w:pPr>
          </w:p>
        </w:tc>
        <w:tc>
          <w:tcPr>
            <w:tcW w:w="136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b w:val="1"/>
                <w:bCs w:val="1"/>
                <w:color w:val="auto"/>
              </w:rPr>
              <w:t>1,436</w:t>
            </w:r>
          </w:p>
        </w:tc>
        <w:tc>
          <w:tcPr>
            <w:tcW w:w="400" w:type="dxa"/>
            <w:vAlign w:val="bottom"/>
            <w:gridSpan w:val="2"/>
          </w:tcPr>
          <w:p>
            <w:pPr>
              <w:jc w:val="right"/>
              <w:ind w:right="40"/>
              <w:spacing w:after="0" w:line="160" w:lineRule="exact"/>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line="160" w:lineRule="exact"/>
              <w:rPr>
                <w:sz w:val="20"/>
                <w:szCs w:val="20"/>
                <w:color w:val="auto"/>
              </w:rPr>
            </w:pPr>
            <w:r>
              <w:rPr>
                <w:rFonts w:ascii="Arial" w:cs="Arial" w:eastAsia="Arial" w:hAnsi="Arial"/>
                <w:sz w:val="16"/>
                <w:szCs w:val="16"/>
                <w:b w:val="1"/>
                <w:bCs w:val="1"/>
                <w:color w:val="auto"/>
              </w:rPr>
              <w:t>3.11</w:t>
            </w:r>
          </w:p>
        </w:tc>
        <w:tc>
          <w:tcPr>
            <w:tcW w:w="100" w:type="dxa"/>
            <w:vAlign w:val="bottom"/>
          </w:tcPr>
          <w:p>
            <w:pPr>
              <w:spacing w:after="0"/>
              <w:rPr>
                <w:sz w:val="15"/>
                <w:szCs w:val="15"/>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640" w:type="dxa"/>
            <w:vAlign w:val="bottom"/>
            <w:shd w:val="clear" w:color="auto" w:fill="CFF0FC"/>
          </w:tcPr>
          <w:p>
            <w:pPr>
              <w:ind w:left="20"/>
              <w:spacing w:after="0" w:line="166" w:lineRule="exact"/>
              <w:rPr>
                <w:sz w:val="20"/>
                <w:szCs w:val="20"/>
                <w:color w:val="auto"/>
              </w:rPr>
            </w:pPr>
            <w:r>
              <w:rPr>
                <w:rFonts w:ascii="Arial" w:cs="Arial" w:eastAsia="Arial" w:hAnsi="Arial"/>
                <w:sz w:val="16"/>
                <w:szCs w:val="16"/>
                <w:color w:val="auto"/>
              </w:rPr>
              <w:t>2023:</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6"/>
        </w:trPr>
        <w:tc>
          <w:tcPr>
            <w:tcW w:w="6640" w:type="dxa"/>
            <w:vAlign w:val="bottom"/>
          </w:tcPr>
          <w:p>
            <w:pPr>
              <w:ind w:left="20"/>
              <w:spacing w:after="0" w:line="167" w:lineRule="exact"/>
              <w:rPr>
                <w:sz w:val="20"/>
                <w:szCs w:val="20"/>
                <w:color w:val="auto"/>
              </w:rPr>
            </w:pPr>
            <w:r>
              <w:rPr>
                <w:rFonts w:ascii="Arial" w:cs="Arial" w:eastAsia="Arial" w:hAnsi="Arial"/>
                <w:sz w:val="16"/>
                <w:szCs w:val="16"/>
                <w:color w:val="auto"/>
              </w:rPr>
              <w:t>Basic</w:t>
            </w:r>
          </w:p>
        </w:tc>
        <w:tc>
          <w:tcPr>
            <w:tcW w:w="120" w:type="dxa"/>
            <w:vAlign w:val="bottom"/>
          </w:tcPr>
          <w:p>
            <w:pPr>
              <w:jc w:val="right"/>
              <w:spacing w:after="0" w:line="167" w:lineRule="exact"/>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line="167" w:lineRule="exact"/>
              <w:rPr>
                <w:sz w:val="20"/>
                <w:szCs w:val="20"/>
                <w:color w:val="auto"/>
              </w:rPr>
            </w:pPr>
            <w:r>
              <w:rPr>
                <w:rFonts w:ascii="Arial" w:cs="Arial" w:eastAsia="Arial" w:hAnsi="Arial"/>
                <w:sz w:val="16"/>
                <w:szCs w:val="16"/>
                <w:color w:val="auto"/>
              </w:rPr>
              <w:t>4,203</w:t>
            </w:r>
          </w:p>
        </w:tc>
        <w:tc>
          <w:tcPr>
            <w:tcW w:w="1580" w:type="dxa"/>
            <w:vAlign w:val="bottom"/>
            <w:gridSpan w:val="2"/>
          </w:tcPr>
          <w:p>
            <w:pPr>
              <w:jc w:val="right"/>
              <w:spacing w:after="0" w:line="167" w:lineRule="exact"/>
              <w:rPr>
                <w:sz w:val="20"/>
                <w:szCs w:val="20"/>
                <w:color w:val="auto"/>
              </w:rPr>
            </w:pPr>
            <w:r>
              <w:rPr>
                <w:rFonts w:ascii="Arial" w:cs="Arial" w:eastAsia="Arial" w:hAnsi="Arial"/>
                <w:sz w:val="16"/>
                <w:szCs w:val="16"/>
                <w:color w:val="auto"/>
              </w:rPr>
              <w:t>1,425</w:t>
            </w:r>
          </w:p>
        </w:tc>
        <w:tc>
          <w:tcPr>
            <w:tcW w:w="400" w:type="dxa"/>
            <w:vAlign w:val="bottom"/>
            <w:gridSpan w:val="2"/>
          </w:tcPr>
          <w:p>
            <w:pPr>
              <w:jc w:val="right"/>
              <w:ind w:right="40"/>
              <w:spacing w:after="0" w:line="167"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67" w:lineRule="exact"/>
              <w:rPr>
                <w:sz w:val="20"/>
                <w:szCs w:val="20"/>
                <w:color w:val="auto"/>
              </w:rPr>
            </w:pPr>
            <w:r>
              <w:rPr>
                <w:rFonts w:ascii="Arial" w:cs="Arial" w:eastAsia="Arial" w:hAnsi="Arial"/>
                <w:sz w:val="16"/>
                <w:szCs w:val="16"/>
                <w:color w:val="auto"/>
              </w:rPr>
              <w:t>2.95</w:t>
            </w:r>
          </w:p>
        </w:tc>
        <w:tc>
          <w:tcPr>
            <w:tcW w:w="100" w:type="dxa"/>
            <w:vAlign w:val="bottom"/>
          </w:tcPr>
          <w:p>
            <w:pPr>
              <w:spacing w:after="0"/>
              <w:rPr>
                <w:sz w:val="16"/>
                <w:szCs w:val="16"/>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640" w:type="dxa"/>
            <w:vAlign w:val="bottom"/>
            <w:tcBorders>
              <w:bottom w:val="single" w:sz="8" w:color="CFF0FC"/>
            </w:tcBorders>
            <w:shd w:val="clear" w:color="auto" w:fill="CFF0FC"/>
          </w:tcPr>
          <w:p>
            <w:pPr>
              <w:ind w:left="20"/>
              <w:spacing w:after="0" w:line="166" w:lineRule="exact"/>
              <w:rPr>
                <w:sz w:val="20"/>
                <w:szCs w:val="20"/>
                <w:color w:val="auto"/>
              </w:rPr>
            </w:pPr>
            <w:r>
              <w:rPr>
                <w:rFonts w:ascii="Arial" w:cs="Arial" w:eastAsia="Arial" w:hAnsi="Arial"/>
                <w:sz w:val="16"/>
                <w:szCs w:val="16"/>
                <w:color w:val="auto"/>
              </w:rPr>
              <w:t>Dilutive impact of stock options and restricted stock</w:t>
            </w:r>
          </w:p>
        </w:tc>
        <w:tc>
          <w:tcPr>
            <w:tcW w:w="12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line="166"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line="166" w:lineRule="exact"/>
              <w:rPr>
                <w:sz w:val="20"/>
                <w:szCs w:val="20"/>
                <w:color w:val="auto"/>
              </w:rPr>
            </w:pPr>
            <w:r>
              <w:rPr>
                <w:rFonts w:ascii="Arial" w:cs="Arial" w:eastAsia="Arial" w:hAnsi="Arial"/>
                <w:sz w:val="16"/>
                <w:szCs w:val="16"/>
                <w:color w:val="auto"/>
              </w:rPr>
              <w:t>18</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r>
      <w:tr>
        <w:trPr>
          <w:trHeight w:val="180"/>
        </w:trPr>
        <w:tc>
          <w:tcPr>
            <w:tcW w:w="6640" w:type="dxa"/>
            <w:vAlign w:val="bottom"/>
          </w:tcPr>
          <w:p>
            <w:pPr>
              <w:ind w:left="20"/>
              <w:spacing w:after="0" w:line="167" w:lineRule="exact"/>
              <w:rPr>
                <w:sz w:val="20"/>
                <w:szCs w:val="20"/>
                <w:color w:val="auto"/>
              </w:rPr>
            </w:pPr>
            <w:r>
              <w:rPr>
                <w:rFonts w:ascii="Arial" w:cs="Arial" w:eastAsia="Arial" w:hAnsi="Arial"/>
                <w:sz w:val="16"/>
                <w:szCs w:val="16"/>
                <w:color w:val="auto"/>
              </w:rPr>
              <w:t>Diluted</w:t>
            </w:r>
          </w:p>
        </w:tc>
        <w:tc>
          <w:tcPr>
            <w:tcW w:w="120" w:type="dxa"/>
            <w:vAlign w:val="bottom"/>
          </w:tcPr>
          <w:p>
            <w:pPr>
              <w:jc w:val="right"/>
              <w:spacing w:after="0" w:line="167" w:lineRule="exact"/>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line="167" w:lineRule="exact"/>
              <w:rPr>
                <w:sz w:val="20"/>
                <w:szCs w:val="20"/>
                <w:color w:val="auto"/>
              </w:rPr>
            </w:pPr>
            <w:r>
              <w:rPr>
                <w:rFonts w:ascii="Arial" w:cs="Arial" w:eastAsia="Arial" w:hAnsi="Arial"/>
                <w:sz w:val="16"/>
                <w:szCs w:val="16"/>
                <w:color w:val="auto"/>
              </w:rPr>
              <w:t>4,203</w:t>
            </w:r>
          </w:p>
        </w:tc>
        <w:tc>
          <w:tcPr>
            <w:tcW w:w="1580" w:type="dxa"/>
            <w:vAlign w:val="bottom"/>
            <w:gridSpan w:val="2"/>
          </w:tcPr>
          <w:p>
            <w:pPr>
              <w:jc w:val="right"/>
              <w:spacing w:after="0" w:line="167" w:lineRule="exact"/>
              <w:rPr>
                <w:sz w:val="20"/>
                <w:szCs w:val="20"/>
                <w:color w:val="auto"/>
              </w:rPr>
            </w:pPr>
            <w:r>
              <w:rPr>
                <w:rFonts w:ascii="Arial" w:cs="Arial" w:eastAsia="Arial" w:hAnsi="Arial"/>
                <w:sz w:val="16"/>
                <w:szCs w:val="16"/>
                <w:color w:val="auto"/>
              </w:rPr>
              <w:t>1,443</w:t>
            </w:r>
          </w:p>
        </w:tc>
        <w:tc>
          <w:tcPr>
            <w:tcW w:w="400" w:type="dxa"/>
            <w:vAlign w:val="bottom"/>
            <w:gridSpan w:val="2"/>
          </w:tcPr>
          <w:p>
            <w:pPr>
              <w:jc w:val="right"/>
              <w:ind w:right="40"/>
              <w:spacing w:after="0" w:line="167"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67" w:lineRule="exact"/>
              <w:rPr>
                <w:sz w:val="20"/>
                <w:szCs w:val="20"/>
                <w:color w:val="auto"/>
              </w:rPr>
            </w:pPr>
            <w:r>
              <w:rPr>
                <w:rFonts w:ascii="Arial" w:cs="Arial" w:eastAsia="Arial" w:hAnsi="Arial"/>
                <w:sz w:val="16"/>
                <w:szCs w:val="16"/>
                <w:color w:val="auto"/>
              </w:rPr>
              <w:t>2.91</w:t>
            </w:r>
          </w:p>
        </w:tc>
        <w:tc>
          <w:tcPr>
            <w:tcW w:w="100" w:type="dxa"/>
            <w:vAlign w:val="bottom"/>
          </w:tcPr>
          <w:p>
            <w:pPr>
              <w:spacing w:after="0"/>
              <w:rPr>
                <w:sz w:val="15"/>
                <w:szCs w:val="15"/>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640" w:type="dxa"/>
            <w:vAlign w:val="bottom"/>
            <w:shd w:val="clear" w:color="auto" w:fill="CFF0FC"/>
          </w:tcPr>
          <w:p>
            <w:pPr>
              <w:ind w:left="20"/>
              <w:spacing w:after="0" w:line="166" w:lineRule="exact"/>
              <w:rPr>
                <w:sz w:val="20"/>
                <w:szCs w:val="20"/>
                <w:color w:val="auto"/>
              </w:rPr>
            </w:pPr>
            <w:r>
              <w:rPr>
                <w:rFonts w:ascii="Arial" w:cs="Arial" w:eastAsia="Arial" w:hAnsi="Arial"/>
                <w:sz w:val="16"/>
                <w:szCs w:val="16"/>
                <w:color w:val="auto"/>
              </w:rPr>
              <w:t>2022:</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6"/>
        </w:trPr>
        <w:tc>
          <w:tcPr>
            <w:tcW w:w="6640" w:type="dxa"/>
            <w:vAlign w:val="bottom"/>
          </w:tcPr>
          <w:p>
            <w:pPr>
              <w:ind w:left="20"/>
              <w:spacing w:after="0" w:line="167" w:lineRule="exact"/>
              <w:rPr>
                <w:sz w:val="20"/>
                <w:szCs w:val="20"/>
                <w:color w:val="auto"/>
              </w:rPr>
            </w:pPr>
            <w:r>
              <w:rPr>
                <w:rFonts w:ascii="Arial" w:cs="Arial" w:eastAsia="Arial" w:hAnsi="Arial"/>
                <w:sz w:val="16"/>
                <w:szCs w:val="16"/>
                <w:color w:val="auto"/>
              </w:rPr>
              <w:t>Basic</w:t>
            </w:r>
          </w:p>
        </w:tc>
        <w:tc>
          <w:tcPr>
            <w:tcW w:w="120" w:type="dxa"/>
            <w:vAlign w:val="bottom"/>
          </w:tcPr>
          <w:p>
            <w:pPr>
              <w:jc w:val="right"/>
              <w:spacing w:after="0" w:line="167" w:lineRule="exact"/>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line="167" w:lineRule="exact"/>
              <w:rPr>
                <w:sz w:val="20"/>
                <w:szCs w:val="20"/>
                <w:color w:val="auto"/>
              </w:rPr>
            </w:pPr>
            <w:r>
              <w:rPr>
                <w:rFonts w:ascii="Arial" w:cs="Arial" w:eastAsia="Arial" w:hAnsi="Arial"/>
                <w:sz w:val="16"/>
                <w:szCs w:val="16"/>
                <w:color w:val="auto"/>
              </w:rPr>
              <w:t>3,441</w:t>
            </w:r>
          </w:p>
        </w:tc>
        <w:tc>
          <w:tcPr>
            <w:tcW w:w="1580" w:type="dxa"/>
            <w:vAlign w:val="bottom"/>
            <w:gridSpan w:val="2"/>
          </w:tcPr>
          <w:p>
            <w:pPr>
              <w:jc w:val="right"/>
              <w:spacing w:after="0" w:line="167" w:lineRule="exact"/>
              <w:rPr>
                <w:sz w:val="20"/>
                <w:szCs w:val="20"/>
                <w:color w:val="auto"/>
              </w:rPr>
            </w:pPr>
            <w:r>
              <w:rPr>
                <w:rFonts w:ascii="Arial" w:cs="Arial" w:eastAsia="Arial" w:hAnsi="Arial"/>
                <w:sz w:val="16"/>
                <w:szCs w:val="16"/>
                <w:color w:val="auto"/>
              </w:rPr>
              <w:t>1,416</w:t>
            </w:r>
          </w:p>
        </w:tc>
        <w:tc>
          <w:tcPr>
            <w:tcW w:w="400" w:type="dxa"/>
            <w:vAlign w:val="bottom"/>
            <w:gridSpan w:val="2"/>
          </w:tcPr>
          <w:p>
            <w:pPr>
              <w:jc w:val="right"/>
              <w:ind w:right="40"/>
              <w:spacing w:after="0" w:line="167"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67" w:lineRule="exact"/>
              <w:rPr>
                <w:sz w:val="20"/>
                <w:szCs w:val="20"/>
                <w:color w:val="auto"/>
              </w:rPr>
            </w:pPr>
            <w:r>
              <w:rPr>
                <w:rFonts w:ascii="Arial" w:cs="Arial" w:eastAsia="Arial" w:hAnsi="Arial"/>
                <w:sz w:val="16"/>
                <w:szCs w:val="16"/>
                <w:color w:val="auto"/>
              </w:rPr>
              <w:t>2.43</w:t>
            </w:r>
          </w:p>
        </w:tc>
        <w:tc>
          <w:tcPr>
            <w:tcW w:w="100" w:type="dxa"/>
            <w:vAlign w:val="bottom"/>
          </w:tcPr>
          <w:p>
            <w:pPr>
              <w:spacing w:after="0"/>
              <w:rPr>
                <w:sz w:val="16"/>
                <w:szCs w:val="16"/>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640" w:type="dxa"/>
            <w:vAlign w:val="bottom"/>
            <w:tcBorders>
              <w:bottom w:val="single" w:sz="8" w:color="CFF0FC"/>
            </w:tcBorders>
            <w:shd w:val="clear" w:color="auto" w:fill="CFF0FC"/>
          </w:tcPr>
          <w:p>
            <w:pPr>
              <w:ind w:left="20"/>
              <w:spacing w:after="0" w:line="166" w:lineRule="exact"/>
              <w:rPr>
                <w:sz w:val="20"/>
                <w:szCs w:val="20"/>
                <w:color w:val="auto"/>
              </w:rPr>
            </w:pPr>
            <w:r>
              <w:rPr>
                <w:rFonts w:ascii="Arial" w:cs="Arial" w:eastAsia="Arial" w:hAnsi="Arial"/>
                <w:sz w:val="16"/>
                <w:szCs w:val="16"/>
                <w:color w:val="auto"/>
              </w:rPr>
              <w:t>Dilutive impact of stock options and restricted stock</w:t>
            </w:r>
          </w:p>
        </w:tc>
        <w:tc>
          <w:tcPr>
            <w:tcW w:w="12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line="166"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line="166" w:lineRule="exact"/>
              <w:rPr>
                <w:sz w:val="20"/>
                <w:szCs w:val="20"/>
                <w:color w:val="auto"/>
              </w:rPr>
            </w:pPr>
            <w:r>
              <w:rPr>
                <w:rFonts w:ascii="Arial" w:cs="Arial" w:eastAsia="Arial" w:hAnsi="Arial"/>
                <w:sz w:val="16"/>
                <w:szCs w:val="16"/>
                <w:color w:val="auto"/>
              </w:rPr>
              <w:t>21</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r>
      <w:tr>
        <w:trPr>
          <w:trHeight w:val="180"/>
        </w:trPr>
        <w:tc>
          <w:tcPr>
            <w:tcW w:w="6640" w:type="dxa"/>
            <w:vAlign w:val="bottom"/>
          </w:tcPr>
          <w:p>
            <w:pPr>
              <w:ind w:left="20"/>
              <w:spacing w:after="0" w:line="167" w:lineRule="exact"/>
              <w:rPr>
                <w:sz w:val="20"/>
                <w:szCs w:val="20"/>
                <w:color w:val="auto"/>
              </w:rPr>
            </w:pPr>
            <w:r>
              <w:rPr>
                <w:rFonts w:ascii="Arial" w:cs="Arial" w:eastAsia="Arial" w:hAnsi="Arial"/>
                <w:sz w:val="16"/>
                <w:szCs w:val="16"/>
                <w:color w:val="auto"/>
              </w:rPr>
              <w:t>Diluted</w:t>
            </w:r>
          </w:p>
        </w:tc>
        <w:tc>
          <w:tcPr>
            <w:tcW w:w="120" w:type="dxa"/>
            <w:vAlign w:val="bottom"/>
          </w:tcPr>
          <w:p>
            <w:pPr>
              <w:jc w:val="right"/>
              <w:spacing w:after="0" w:line="167" w:lineRule="exact"/>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line="167" w:lineRule="exact"/>
              <w:rPr>
                <w:sz w:val="20"/>
                <w:szCs w:val="20"/>
                <w:color w:val="auto"/>
              </w:rPr>
            </w:pPr>
            <w:r>
              <w:rPr>
                <w:rFonts w:ascii="Arial" w:cs="Arial" w:eastAsia="Arial" w:hAnsi="Arial"/>
                <w:sz w:val="16"/>
                <w:szCs w:val="16"/>
                <w:color w:val="auto"/>
              </w:rPr>
              <w:t>3,441</w:t>
            </w:r>
          </w:p>
        </w:tc>
        <w:tc>
          <w:tcPr>
            <w:tcW w:w="1580" w:type="dxa"/>
            <w:vAlign w:val="bottom"/>
            <w:gridSpan w:val="2"/>
          </w:tcPr>
          <w:p>
            <w:pPr>
              <w:jc w:val="right"/>
              <w:spacing w:after="0" w:line="167" w:lineRule="exact"/>
              <w:rPr>
                <w:sz w:val="20"/>
                <w:szCs w:val="20"/>
                <w:color w:val="auto"/>
              </w:rPr>
            </w:pPr>
            <w:r>
              <w:rPr>
                <w:rFonts w:ascii="Arial" w:cs="Arial" w:eastAsia="Arial" w:hAnsi="Arial"/>
                <w:sz w:val="16"/>
                <w:szCs w:val="16"/>
                <w:color w:val="auto"/>
              </w:rPr>
              <w:t>1,437</w:t>
            </w:r>
          </w:p>
        </w:tc>
        <w:tc>
          <w:tcPr>
            <w:tcW w:w="400" w:type="dxa"/>
            <w:vAlign w:val="bottom"/>
            <w:gridSpan w:val="2"/>
          </w:tcPr>
          <w:p>
            <w:pPr>
              <w:jc w:val="right"/>
              <w:ind w:right="40"/>
              <w:spacing w:after="0" w:line="167"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67" w:lineRule="exact"/>
              <w:rPr>
                <w:sz w:val="20"/>
                <w:szCs w:val="20"/>
                <w:color w:val="auto"/>
              </w:rPr>
            </w:pPr>
            <w:r>
              <w:rPr>
                <w:rFonts w:ascii="Arial" w:cs="Arial" w:eastAsia="Arial" w:hAnsi="Arial"/>
                <w:sz w:val="16"/>
                <w:szCs w:val="16"/>
                <w:color w:val="auto"/>
              </w:rPr>
              <w:t>2.39</w:t>
            </w:r>
          </w:p>
        </w:tc>
        <w:tc>
          <w:tcPr>
            <w:tcW w:w="100" w:type="dxa"/>
            <w:vAlign w:val="bottom"/>
          </w:tcPr>
          <w:p>
            <w:pPr>
              <w:spacing w:after="0"/>
              <w:rPr>
                <w:sz w:val="15"/>
                <w:szCs w:val="15"/>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5067300</wp:posOffset>
            </wp:positionH>
            <wp:positionV relativeFrom="paragraph">
              <wp:posOffset>-683895</wp:posOffset>
            </wp:positionV>
            <wp:extent cx="762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6073140</wp:posOffset>
            </wp:positionH>
            <wp:positionV relativeFrom="paragraph">
              <wp:posOffset>-683895</wp:posOffset>
            </wp:positionV>
            <wp:extent cx="673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5067300</wp:posOffset>
            </wp:positionH>
            <wp:positionV relativeFrom="paragraph">
              <wp:posOffset>-151765</wp:posOffset>
            </wp:positionV>
            <wp:extent cx="762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6073140</wp:posOffset>
            </wp:positionH>
            <wp:positionV relativeFrom="paragraph">
              <wp:posOffset>-151765</wp:posOffset>
            </wp:positionV>
            <wp:extent cx="673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number of outstanding employee stock options to purchase shares of SLB common stock that were not included in the computation of diluted earnings per share, because to do so would have had an anti-dilutive effect,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69"/>
        </w:trPr>
        <w:tc>
          <w:tcPr>
            <w:tcW w:w="6540" w:type="dxa"/>
            <w:vAlign w:val="bottom"/>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2023</w:t>
            </w:r>
          </w:p>
        </w:tc>
        <w:tc>
          <w:tcPr>
            <w:tcW w:w="200" w:type="dxa"/>
            <w:vAlign w:val="bottom"/>
          </w:tcPr>
          <w:p>
            <w:pPr>
              <w:spacing w:after="0"/>
              <w:rPr>
                <w:sz w:val="24"/>
                <w:szCs w:val="24"/>
                <w:color w:val="auto"/>
              </w:rPr>
            </w:pPr>
          </w:p>
        </w:tc>
        <w:tc>
          <w:tcPr>
            <w:tcW w:w="1400" w:type="dxa"/>
            <w:vAlign w:val="bottom"/>
            <w:tcBorders>
              <w:bottom w:val="single" w:sz="8" w:color="auto"/>
            </w:tcBorders>
          </w:tcPr>
          <w:p>
            <w:pPr>
              <w:jc w:val="right"/>
              <w:ind w:right="445"/>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4"/>
                <w:szCs w:val="24"/>
                <w:color w:val="auto"/>
              </w:rPr>
            </w:pPr>
          </w:p>
        </w:tc>
      </w:tr>
      <w:tr>
        <w:trPr>
          <w:trHeight w:val="180"/>
        </w:trPr>
        <w:tc>
          <w:tcPr>
            <w:tcW w:w="7560" w:type="dxa"/>
            <w:vAlign w:val="bottom"/>
            <w:gridSpan w:val="2"/>
            <w:shd w:val="clear" w:color="auto" w:fill="CFF0FC"/>
          </w:tcPr>
          <w:p>
            <w:pPr>
              <w:jc w:val="right"/>
              <w:ind w:right="5780"/>
              <w:spacing w:after="0" w:line="180" w:lineRule="exact"/>
              <w:rPr>
                <w:sz w:val="20"/>
                <w:szCs w:val="20"/>
                <w:color w:val="auto"/>
              </w:rPr>
            </w:pPr>
            <w:r>
              <w:rPr>
                <w:rFonts w:ascii="Arial" w:cs="Arial" w:eastAsia="Arial" w:hAnsi="Arial"/>
                <w:sz w:val="16"/>
                <w:szCs w:val="16"/>
                <w:color w:val="auto"/>
                <w:w w:val="99"/>
              </w:rPr>
              <w:t>Employee stock options</w:t>
            </w:r>
          </w:p>
        </w:tc>
        <w:tc>
          <w:tcPr>
            <w:tcW w:w="3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16</w:t>
            </w:r>
          </w:p>
        </w:tc>
        <w:tc>
          <w:tcPr>
            <w:tcW w:w="160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21</w:t>
            </w:r>
          </w:p>
        </w:tc>
        <w:tc>
          <w:tcPr>
            <w:tcW w:w="160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15"/>
                <w:szCs w:val="15"/>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w:t>
      </w:r>
      <w:r>
        <w:rPr>
          <w:rFonts w:ascii="Arial" w:cs="Arial" w:eastAsia="Arial" w:hAnsi="Arial"/>
          <w:sz w:val="16"/>
          <w:szCs w:val="16"/>
          <w:b w:val="1"/>
          <w:bCs w:val="1"/>
          <w:u w:val="single" w:color="auto"/>
          <w:color w:val="auto"/>
        </w:rPr>
        <w:t>Charges and Credits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SLB recorded the following charges and credits during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2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81"/>
        </w:trPr>
        <w:tc>
          <w:tcPr>
            <w:tcW w:w="5760" w:type="dxa"/>
            <w:vAlign w:val="bottom"/>
          </w:tcPr>
          <w:p>
            <w:pPr>
              <w:spacing w:after="0"/>
              <w:rPr>
                <w:sz w:val="24"/>
                <w:szCs w:val="24"/>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6"/>
                <w:szCs w:val="16"/>
                <w:color w:val="auto"/>
              </w:rPr>
              <w:t>Pretax Charge</w:t>
            </w:r>
          </w:p>
        </w:tc>
        <w:tc>
          <w:tcPr>
            <w:tcW w:w="120" w:type="dxa"/>
            <w:vAlign w:val="bottom"/>
          </w:tcPr>
          <w:p>
            <w:pPr>
              <w:spacing w:after="0"/>
              <w:rPr>
                <w:sz w:val="24"/>
                <w:szCs w:val="24"/>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w w:val="98"/>
              </w:rPr>
              <w:t>Tax Benefit</w:t>
            </w:r>
          </w:p>
        </w:tc>
        <w:tc>
          <w:tcPr>
            <w:tcW w:w="24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0"/>
        </w:trPr>
        <w:tc>
          <w:tcPr>
            <w:tcW w:w="5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(Credit)</w:t>
            </w:r>
          </w:p>
        </w:tc>
        <w:tc>
          <w:tcPr>
            <w:tcW w:w="120" w:type="dxa"/>
            <w:vAlign w:val="bottom"/>
          </w:tcPr>
          <w:p>
            <w:pPr>
              <w:spacing w:after="0"/>
              <w:rPr>
                <w:sz w:val="17"/>
                <w:szCs w:val="17"/>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(Expense)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40"/>
              <w:spacing w:after="0"/>
              <w:rPr>
                <w:sz w:val="20"/>
                <w:szCs w:val="20"/>
                <w:color w:val="auto"/>
              </w:rPr>
            </w:pPr>
            <w:r>
              <w:rPr>
                <w:rFonts w:ascii="Arial" w:cs="Arial" w:eastAsia="Arial" w:hAnsi="Arial"/>
                <w:sz w:val="16"/>
                <w:szCs w:val="16"/>
                <w:color w:val="auto"/>
              </w:rPr>
              <w:t>Interest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6"/>
                <w:szCs w:val="16"/>
                <w:color w:val="auto"/>
              </w:rPr>
              <w:t>Net</w:t>
            </w:r>
          </w:p>
        </w:tc>
      </w:tr>
      <w:tr>
        <w:trPr>
          <w:trHeight w:val="180"/>
        </w:trPr>
        <w:tc>
          <w:tcPr>
            <w:tcW w:w="57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i w:val="1"/>
                <w:iCs w:val="1"/>
                <w:color w:val="auto"/>
              </w:rPr>
              <w:t>First quarter:</w:t>
            </w:r>
          </w:p>
        </w:tc>
        <w:tc>
          <w:tcPr>
            <w:tcW w:w="20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6"/>
        </w:trPr>
        <w:tc>
          <w:tcPr>
            <w:tcW w:w="5760" w:type="dxa"/>
            <w:vAlign w:val="bottom"/>
          </w:tcPr>
          <w:p>
            <w:pPr>
              <w:ind w:left="200"/>
              <w:spacing w:after="0"/>
              <w:rPr>
                <w:sz w:val="20"/>
                <w:szCs w:val="20"/>
                <w:color w:val="auto"/>
              </w:rPr>
            </w:pPr>
            <w:r>
              <w:rPr>
                <w:rFonts w:ascii="Arial" w:cs="Arial" w:eastAsia="Arial" w:hAnsi="Arial"/>
                <w:sz w:val="16"/>
                <w:szCs w:val="16"/>
                <w:color w:val="auto"/>
              </w:rPr>
              <w:t>Merger &amp; integration</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6"/>
                <w:szCs w:val="16"/>
                <w:color w:val="auto"/>
              </w:rPr>
            </w:pPr>
          </w:p>
        </w:tc>
      </w:tr>
      <w:tr>
        <w:trPr>
          <w:trHeight w:val="18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Second quarter:</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6"/>
        </w:trPr>
        <w:tc>
          <w:tcPr>
            <w:tcW w:w="5760" w:type="dxa"/>
            <w:vAlign w:val="bottom"/>
          </w:tcPr>
          <w:p>
            <w:pPr>
              <w:ind w:left="200"/>
              <w:spacing w:after="0"/>
              <w:rPr>
                <w:sz w:val="20"/>
                <w:szCs w:val="20"/>
                <w:color w:val="auto"/>
              </w:rPr>
            </w:pPr>
            <w:r>
              <w:rPr>
                <w:rFonts w:ascii="Arial" w:cs="Arial" w:eastAsia="Arial" w:hAnsi="Arial"/>
                <w:sz w:val="16"/>
                <w:szCs w:val="16"/>
                <w:color w:val="auto"/>
              </w:rPr>
              <w:t>Workforce reductions</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6"/>
                <w:szCs w:val="16"/>
                <w:color w:val="auto"/>
              </w:rPr>
            </w:pPr>
          </w:p>
        </w:tc>
      </w:tr>
      <w:tr>
        <w:trPr>
          <w:trHeight w:val="186"/>
        </w:trPr>
        <w:tc>
          <w:tcPr>
            <w:tcW w:w="5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Merger &amp; integration</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FF0FC"/>
          </w:tcPr>
          <w:p>
            <w:pPr>
              <w:spacing w:after="0"/>
              <w:rPr>
                <w:sz w:val="16"/>
                <w:szCs w:val="16"/>
                <w:color w:val="auto"/>
              </w:rPr>
            </w:pPr>
          </w:p>
        </w:tc>
      </w:tr>
      <w:tr>
        <w:trPr>
          <w:trHeight w:val="186"/>
        </w:trPr>
        <w:tc>
          <w:tcPr>
            <w:tcW w:w="5760" w:type="dxa"/>
            <w:vAlign w:val="bottom"/>
          </w:tcPr>
          <w:p>
            <w:pPr>
              <w:ind w:left="20"/>
              <w:spacing w:after="0"/>
              <w:rPr>
                <w:sz w:val="20"/>
                <w:szCs w:val="20"/>
                <w:color w:val="auto"/>
              </w:rPr>
            </w:pPr>
            <w:r>
              <w:rPr>
                <w:rFonts w:ascii="Arial" w:cs="Arial" w:eastAsia="Arial" w:hAnsi="Arial"/>
                <w:sz w:val="16"/>
                <w:szCs w:val="16"/>
                <w:i w:val="1"/>
                <w:iCs w:val="1"/>
                <w:color w:val="auto"/>
              </w:rPr>
              <w:t>Third quarter</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186"/>
        </w:trPr>
        <w:tc>
          <w:tcPr>
            <w:tcW w:w="5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Workforce reductions</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FF0FC"/>
          </w:tcPr>
          <w:p>
            <w:pPr>
              <w:spacing w:after="0"/>
              <w:rPr>
                <w:sz w:val="16"/>
                <w:szCs w:val="16"/>
                <w:color w:val="auto"/>
              </w:rPr>
            </w:pPr>
          </w:p>
        </w:tc>
      </w:tr>
      <w:tr>
        <w:trPr>
          <w:trHeight w:val="186"/>
        </w:trPr>
        <w:tc>
          <w:tcPr>
            <w:tcW w:w="5760" w:type="dxa"/>
            <w:vAlign w:val="bottom"/>
          </w:tcPr>
          <w:p>
            <w:pPr>
              <w:ind w:left="200"/>
              <w:spacing w:after="0"/>
              <w:rPr>
                <w:sz w:val="20"/>
                <w:szCs w:val="20"/>
                <w:color w:val="auto"/>
              </w:rPr>
            </w:pPr>
            <w:r>
              <w:rPr>
                <w:rFonts w:ascii="Arial" w:cs="Arial" w:eastAsia="Arial" w:hAnsi="Arial"/>
                <w:sz w:val="16"/>
                <w:szCs w:val="16"/>
                <w:color w:val="auto"/>
              </w:rPr>
              <w:t>Merger &amp; integration</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6"/>
                <w:szCs w:val="16"/>
                <w:color w:val="auto"/>
              </w:rPr>
            </w:pPr>
          </w:p>
        </w:tc>
      </w:tr>
      <w:tr>
        <w:trPr>
          <w:trHeight w:val="18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Fourth quarter</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r>
      <w:tr>
        <w:trPr>
          <w:trHeight w:val="186"/>
        </w:trPr>
        <w:tc>
          <w:tcPr>
            <w:tcW w:w="5760" w:type="dxa"/>
            <w:vAlign w:val="bottom"/>
          </w:tcPr>
          <w:p>
            <w:pPr>
              <w:ind w:left="200"/>
              <w:spacing w:after="0"/>
              <w:rPr>
                <w:sz w:val="20"/>
                <w:szCs w:val="20"/>
                <w:color w:val="auto"/>
              </w:rPr>
            </w:pPr>
            <w:r>
              <w:rPr>
                <w:rFonts w:ascii="Arial" w:cs="Arial" w:eastAsia="Arial" w:hAnsi="Arial"/>
                <w:sz w:val="16"/>
                <w:szCs w:val="16"/>
                <w:color w:val="auto"/>
              </w:rPr>
              <w:t>Asset impairments</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6"/>
                <w:szCs w:val="16"/>
                <w:color w:val="auto"/>
              </w:rPr>
            </w:pPr>
          </w:p>
        </w:tc>
      </w:tr>
      <w:tr>
        <w:trPr>
          <w:trHeight w:val="186"/>
        </w:trPr>
        <w:tc>
          <w:tcPr>
            <w:tcW w:w="5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Merger &amp; integration</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FF0FC"/>
          </w:tcPr>
          <w:p>
            <w:pPr>
              <w:spacing w:after="0"/>
              <w:rPr>
                <w:sz w:val="16"/>
                <w:szCs w:val="16"/>
                <w:color w:val="auto"/>
              </w:rPr>
            </w:pPr>
          </w:p>
        </w:tc>
      </w:tr>
      <w:tr>
        <w:trPr>
          <w:trHeight w:val="186"/>
        </w:trPr>
        <w:tc>
          <w:tcPr>
            <w:tcW w:w="5760" w:type="dxa"/>
            <w:vAlign w:val="bottom"/>
          </w:tcPr>
          <w:p>
            <w:pPr>
              <w:ind w:left="200"/>
              <w:spacing w:after="0"/>
              <w:rPr>
                <w:sz w:val="20"/>
                <w:szCs w:val="20"/>
                <w:color w:val="auto"/>
              </w:rPr>
            </w:pPr>
            <w:r>
              <w:rPr>
                <w:rFonts w:ascii="Arial" w:cs="Arial" w:eastAsia="Arial" w:hAnsi="Arial"/>
                <w:sz w:val="16"/>
                <w:szCs w:val="16"/>
                <w:color w:val="auto"/>
              </w:rPr>
              <w:t>Workforce reductions</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6"/>
                <w:szCs w:val="16"/>
                <w:color w:val="auto"/>
              </w:rPr>
            </w:pPr>
          </w:p>
        </w:tc>
      </w:tr>
      <w:tr>
        <w:trPr>
          <w:trHeight w:val="186"/>
        </w:trPr>
        <w:tc>
          <w:tcPr>
            <w:tcW w:w="5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sale of investment</w:t>
            </w: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(24 )</w:t>
            </w: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(24 )</w:t>
            </w:r>
          </w:p>
        </w:tc>
      </w:tr>
      <w:tr>
        <w:trPr>
          <w:trHeight w:val="180"/>
        </w:trPr>
        <w:tc>
          <w:tcPr>
            <w:tcW w:w="576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20"/>
              <w:spacing w:after="0" w:line="180"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541</w:t>
            </w: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87</w:t>
            </w:r>
          </w:p>
        </w:tc>
        <w:tc>
          <w:tcPr>
            <w:tcW w:w="24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20"/>
              <w:spacing w:after="0" w:line="180"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27</w:t>
            </w: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80"/>
              <w:spacing w:after="0" w:line="180"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427</w:t>
            </w:r>
          </w:p>
        </w:tc>
        <w:tc>
          <w:tcPr>
            <w:tcW w:w="120" w:type="dxa"/>
            <w:vAlign w:val="bottom"/>
            <w:tcBorders>
              <w:top w:val="single" w:sz="8" w:color="CFF0FC"/>
            </w:tcBorders>
          </w:tcPr>
          <w:p>
            <w:pPr>
              <w:spacing w:after="0"/>
              <w:rPr>
                <w:sz w:val="15"/>
                <w:szCs w:val="15"/>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4391025</wp:posOffset>
            </wp:positionH>
            <wp:positionV relativeFrom="paragraph">
              <wp:posOffset>-151765</wp:posOffset>
            </wp:positionV>
            <wp:extent cx="673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5278755</wp:posOffset>
            </wp:positionH>
            <wp:positionV relativeFrom="paragraph">
              <wp:posOffset>-151765</wp:posOffset>
            </wp:positionV>
            <wp:extent cx="6731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6166485</wp:posOffset>
            </wp:positionH>
            <wp:positionV relativeFrom="paragraph">
              <wp:posOffset>-151765</wp:posOffset>
            </wp:positionV>
            <wp:extent cx="6731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7062470</wp:posOffset>
            </wp:positionH>
            <wp:positionV relativeFrom="paragraph">
              <wp:posOffset>-151765</wp:posOffset>
            </wp:positionV>
            <wp:extent cx="762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pacing w:after="0" w:line="25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During the second quarter of 2024, SLB commenced a program to realign and optimize its support and service delivery structure in certain parts of its organization. As a result, SLB recorded severance charges of $111 million during the second quarter, $65 million during the third quarter, and $61 million during the fourth quarter which are classified in </w:t>
      </w:r>
      <w:r>
        <w:rPr>
          <w:rFonts w:ascii="Arial" w:cs="Arial" w:eastAsia="Arial" w:hAnsi="Arial"/>
          <w:sz w:val="16"/>
          <w:szCs w:val="16"/>
          <w:i w:val="1"/>
          <w:iCs w:val="1"/>
          <w:color w:val="auto"/>
        </w:rPr>
        <w:t>Restructuring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SLB may record additional charges relating to workforce reductions in 2025 as it continues to realign and optimize its structure.</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In connection with the October 2023 acquisition of the Aker Solutions ("Aker") subsea business (see Note 6 - </w:t>
      </w:r>
      <w:r>
        <w:rPr>
          <w:rFonts w:ascii="Arial" w:cs="Arial" w:eastAsia="Arial" w:hAnsi="Arial"/>
          <w:sz w:val="16"/>
          <w:szCs w:val="16"/>
          <w:i w:val="1"/>
          <w:iCs w:val="1"/>
          <w:color w:val="auto"/>
        </w:rPr>
        <w:t>Acquisition</w:t>
      </w:r>
      <w:r>
        <w:rPr>
          <w:rFonts w:ascii="Arial" w:cs="Arial" w:eastAsia="Arial" w:hAnsi="Arial"/>
          <w:sz w:val="16"/>
          <w:szCs w:val="16"/>
          <w:color w:val="auto"/>
        </w:rPr>
        <w:t>) and the pending ChampionX transaction, SLB recorded $165 million of charges during 2024, consisting of: $43 million relating to the amortization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7" w:name="page38"/>
    <w:bookmarkEnd w:id="37"/>
    <w:p>
      <w:pPr>
        <w:spacing w:after="0" w:line="277" w:lineRule="auto"/>
        <w:rPr>
          <w:sz w:val="20"/>
          <w:szCs w:val="20"/>
          <w:color w:val="auto"/>
        </w:rPr>
      </w:pPr>
      <w:r>
        <w:rPr>
          <w:rFonts w:ascii="Arial" w:cs="Arial" w:eastAsia="Arial" w:hAnsi="Arial"/>
          <w:sz w:val="16"/>
          <w:szCs w:val="16"/>
          <w:color w:val="auto"/>
        </w:rPr>
        <w:t xml:space="preserve">purchase accounting adjustments associated with the write-up of acquired inventories to its estimated fair value (classified in </w:t>
      </w:r>
      <w:r>
        <w:rPr>
          <w:rFonts w:ascii="Arial" w:cs="Arial" w:eastAsia="Arial" w:hAnsi="Arial"/>
          <w:sz w:val="16"/>
          <w:szCs w:val="16"/>
          <w:i w:val="1"/>
          <w:iCs w:val="1"/>
          <w:color w:val="auto"/>
        </w:rPr>
        <w:t>Cost of sales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 of Income)</w:t>
      </w:r>
      <w:r>
        <w:rPr>
          <w:rFonts w:ascii="Arial" w:cs="Arial" w:eastAsia="Arial" w:hAnsi="Arial"/>
          <w:sz w:val="16"/>
          <w:szCs w:val="16"/>
          <w:color w:val="auto"/>
        </w:rPr>
        <w:t>, and $122 million of other merger and integration-related costs which are classified in</w:t>
      </w:r>
      <w:r>
        <w:rPr>
          <w:rFonts w:ascii="Arial" w:cs="Arial" w:eastAsia="Arial" w:hAnsi="Arial"/>
          <w:sz w:val="16"/>
          <w:szCs w:val="16"/>
          <w:i w:val="1"/>
          <w:iCs w:val="1"/>
          <w:color w:val="auto"/>
        </w:rPr>
        <w:t xml:space="preserve"> Merger &amp; integration</w:t>
      </w:r>
      <w:r>
        <w:rPr>
          <w:rFonts w:ascii="Arial" w:cs="Arial" w:eastAsia="Arial" w:hAnsi="Arial"/>
          <w:sz w:val="16"/>
          <w:szCs w:val="16"/>
          <w:color w:val="auto"/>
        </w:rPr>
        <w:t>.</w:t>
      </w:r>
    </w:p>
    <w:p>
      <w:pPr>
        <w:spacing w:after="0" w:line="134"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 xml:space="preserve">During the fourth quarter of 2024, SLB recorded other restructuring charges consisting of $93 million of impairments relating to equity investments and $69 million of fixed asset impairments. These charges are classified in </w:t>
      </w:r>
      <w:r>
        <w:rPr>
          <w:rFonts w:ascii="Arial" w:cs="Arial" w:eastAsia="Arial" w:hAnsi="Arial"/>
          <w:sz w:val="16"/>
          <w:szCs w:val="16"/>
          <w:i w:val="1"/>
          <w:iCs w:val="1"/>
          <w:color w:val="auto"/>
        </w:rPr>
        <w:t>Restructuring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 xml:space="preserve">During the fourth quarter of 2024, SLB sold an investment accounted for under the equity method. SLB received proceeds of $51 million and recognized a gain of $24 million, which is classified in </w:t>
      </w:r>
      <w:r>
        <w:rPr>
          <w:rFonts w:ascii="Arial" w:cs="Arial" w:eastAsia="Arial" w:hAnsi="Arial"/>
          <w:sz w:val="16"/>
          <w:szCs w:val="16"/>
          <w:i w:val="1"/>
          <w:iCs w:val="1"/>
          <w:color w:val="auto"/>
        </w:rPr>
        <w:t>Interest &amp; other, net</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SLB recorded the following charges and credits during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2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81"/>
        </w:trPr>
        <w:tc>
          <w:tcPr>
            <w:tcW w:w="5760" w:type="dxa"/>
            <w:vAlign w:val="bottom"/>
          </w:tcPr>
          <w:p>
            <w:pPr>
              <w:spacing w:after="0"/>
              <w:rPr>
                <w:sz w:val="24"/>
                <w:szCs w:val="24"/>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6"/>
                <w:szCs w:val="16"/>
                <w:color w:val="auto"/>
              </w:rPr>
              <w:t>Pretax Charge</w:t>
            </w:r>
          </w:p>
        </w:tc>
        <w:tc>
          <w:tcPr>
            <w:tcW w:w="120" w:type="dxa"/>
            <w:vAlign w:val="bottom"/>
          </w:tcPr>
          <w:p>
            <w:pPr>
              <w:spacing w:after="0"/>
              <w:rPr>
                <w:sz w:val="24"/>
                <w:szCs w:val="2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6"/>
                <w:szCs w:val="16"/>
                <w:color w:val="auto"/>
                <w:w w:val="98"/>
              </w:rPr>
              <w:t>Tax Benefit</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0"/>
        </w:trPr>
        <w:tc>
          <w:tcPr>
            <w:tcW w:w="5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(Credit)</w:t>
            </w:r>
          </w:p>
        </w:tc>
        <w:tc>
          <w:tcPr>
            <w:tcW w:w="120" w:type="dxa"/>
            <w:vAlign w:val="bottom"/>
          </w:tcPr>
          <w:p>
            <w:pPr>
              <w:spacing w:after="0"/>
              <w:rPr>
                <w:sz w:val="17"/>
                <w:szCs w:val="17"/>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6"/>
                <w:szCs w:val="16"/>
                <w:color w:val="auto"/>
              </w:rPr>
              <w:t>(Expense)</w:t>
            </w:r>
          </w:p>
        </w:tc>
        <w:tc>
          <w:tcPr>
            <w:tcW w:w="180" w:type="dxa"/>
            <w:vAlign w:val="bottom"/>
          </w:tcPr>
          <w:p>
            <w:pPr>
              <w:spacing w:after="0"/>
              <w:rPr>
                <w:sz w:val="17"/>
                <w:szCs w:val="17"/>
                <w:color w:val="auto"/>
              </w:rPr>
            </w:pPr>
          </w:p>
        </w:tc>
        <w:tc>
          <w:tcPr>
            <w:tcW w:w="980" w:type="dxa"/>
            <w:vAlign w:val="bottom"/>
          </w:tcPr>
          <w:p>
            <w:pPr>
              <w:jc w:val="right"/>
              <w:ind w:right="200"/>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6"/>
                <w:szCs w:val="16"/>
                <w:color w:val="auto"/>
              </w:rPr>
              <w:t>Net</w:t>
            </w:r>
          </w:p>
        </w:tc>
      </w:tr>
      <w:tr>
        <w:trPr>
          <w:trHeight w:val="180"/>
        </w:trPr>
        <w:tc>
          <w:tcPr>
            <w:tcW w:w="57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i w:val="1"/>
                <w:iCs w:val="1"/>
                <w:color w:val="auto"/>
              </w:rPr>
              <w:t>First quarter:</w:t>
            </w:r>
          </w:p>
        </w:tc>
        <w:tc>
          <w:tcPr>
            <w:tcW w:w="20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6"/>
        </w:trPr>
        <w:tc>
          <w:tcPr>
            <w:tcW w:w="5760" w:type="dxa"/>
            <w:vAlign w:val="bottom"/>
          </w:tcPr>
          <w:p>
            <w:pPr>
              <w:ind w:left="200"/>
              <w:spacing w:after="0"/>
              <w:rPr>
                <w:sz w:val="20"/>
                <w:szCs w:val="20"/>
                <w:color w:val="auto"/>
              </w:rPr>
            </w:pPr>
            <w:r>
              <w:rPr>
                <w:rFonts w:ascii="Arial" w:cs="Arial" w:eastAsia="Arial" w:hAnsi="Arial"/>
                <w:sz w:val="16"/>
                <w:szCs w:val="16"/>
                <w:color w:val="auto"/>
              </w:rPr>
              <w:t>Gain on sale of Liberty shares</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(36 )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(8 )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(28 )</w:t>
            </w:r>
          </w:p>
        </w:tc>
      </w:tr>
      <w:tr>
        <w:trPr>
          <w:trHeight w:val="18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Fourth quarter:</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6"/>
        </w:trPr>
        <w:tc>
          <w:tcPr>
            <w:tcW w:w="5760" w:type="dxa"/>
            <w:vAlign w:val="bottom"/>
          </w:tcPr>
          <w:p>
            <w:pPr>
              <w:ind w:left="200"/>
              <w:spacing w:after="0"/>
              <w:rPr>
                <w:sz w:val="20"/>
                <w:szCs w:val="20"/>
                <w:color w:val="auto"/>
              </w:rPr>
            </w:pPr>
            <w:r>
              <w:rPr>
                <w:rFonts w:ascii="Arial" w:cs="Arial" w:eastAsia="Arial" w:hAnsi="Arial"/>
                <w:sz w:val="16"/>
                <w:szCs w:val="16"/>
                <w:color w:val="auto"/>
              </w:rPr>
              <w:t>Merger and integration</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6"/>
                <w:szCs w:val="16"/>
                <w:color w:val="auto"/>
              </w:rPr>
            </w:pPr>
          </w:p>
        </w:tc>
      </w:tr>
      <w:tr>
        <w:trPr>
          <w:trHeight w:val="186"/>
        </w:trPr>
        <w:tc>
          <w:tcPr>
            <w:tcW w:w="5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Currency devaluation loss in Argentina</w:t>
            </w:r>
          </w:p>
        </w:tc>
        <w:tc>
          <w:tcPr>
            <w:tcW w:w="20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4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FF0FC"/>
          </w:tcPr>
          <w:p>
            <w:pPr>
              <w:spacing w:after="0"/>
              <w:rPr>
                <w:sz w:val="16"/>
                <w:szCs w:val="16"/>
                <w:color w:val="auto"/>
              </w:rPr>
            </w:pPr>
          </w:p>
        </w:tc>
      </w:tr>
      <w:tr>
        <w:trPr>
          <w:trHeight w:val="180"/>
        </w:trPr>
        <w:tc>
          <w:tcPr>
            <w:tcW w:w="5760" w:type="dxa"/>
            <w:vAlign w:val="bottom"/>
          </w:tcPr>
          <w:p>
            <w:pPr>
              <w:spacing w:after="0"/>
              <w:rPr>
                <w:sz w:val="15"/>
                <w:szCs w:val="15"/>
                <w:color w:val="auto"/>
              </w:rPr>
            </w:pPr>
          </w:p>
        </w:tc>
        <w:tc>
          <w:tcPr>
            <w:tcW w:w="200" w:type="dxa"/>
            <w:vAlign w:val="bottom"/>
            <w:tcBorders>
              <w:bottom w:val="single" w:sz="8" w:color="auto"/>
            </w:tcBorders>
          </w:tcPr>
          <w:p>
            <w:pPr>
              <w:jc w:val="right"/>
              <w:ind w:right="20"/>
              <w:spacing w:after="0" w:line="180"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110</w:t>
            </w:r>
          </w:p>
        </w:tc>
        <w:tc>
          <w:tcPr>
            <w:tcW w:w="2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8</w:t>
            </w: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80"/>
              <w:spacing w:after="0" w:line="180"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102</w:t>
            </w:r>
          </w:p>
        </w:tc>
        <w:tc>
          <w:tcPr>
            <w:tcW w:w="120" w:type="dxa"/>
            <w:vAlign w:val="bottom"/>
          </w:tcPr>
          <w:p>
            <w:pPr>
              <w:spacing w:after="0"/>
              <w:rPr>
                <w:sz w:val="15"/>
                <w:szCs w:val="15"/>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First quarter 2023:</w:t>
      </w:r>
    </w:p>
    <w:p>
      <w:pPr>
        <w:spacing w:after="0" w:line="107" w:lineRule="exact"/>
        <w:rPr>
          <w:sz w:val="20"/>
          <w:szCs w:val="20"/>
          <w:color w:val="auto"/>
        </w:rPr>
      </w:pPr>
    </w:p>
    <w:p>
      <w:pPr>
        <w:jc w:val="both"/>
        <w:ind w:left="760" w:hanging="379"/>
        <w:spacing w:after="0" w:line="254" w:lineRule="auto"/>
        <w:tabs>
          <w:tab w:leader="none" w:pos="76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On December 31, 2020, SLB contributed its onshore hydraulic fracturing business in the United States and Canada, including its pressure pumping, pumpdown perforating and Permian frac sand business, to Liberty Energy Inc. (“Liberty”) in exchange for an equity interest in Liberty. During the first quarter of 2023, SLB sold all of its remaining approximately 9 million shares of Liberty and received net proceeds of $137 million. As a result, SLB recognized a gain of $36 million which is classified in </w:t>
      </w:r>
      <w:r>
        <w:rPr>
          <w:rFonts w:ascii="Arial" w:cs="Arial" w:eastAsia="Arial" w:hAnsi="Arial"/>
          <w:sz w:val="16"/>
          <w:szCs w:val="16"/>
          <w:i w:val="1"/>
          <w:iCs w:val="1"/>
          <w:color w:val="auto"/>
        </w:rPr>
        <w:t>Interest &amp; other income, net</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Fourth quarter 2023:</w:t>
      </w:r>
    </w:p>
    <w:p>
      <w:pPr>
        <w:spacing w:after="0" w:line="107" w:lineRule="exact"/>
        <w:rPr>
          <w:sz w:val="20"/>
          <w:szCs w:val="20"/>
          <w:color w:val="auto"/>
        </w:rPr>
      </w:pPr>
    </w:p>
    <w:p>
      <w:pPr>
        <w:jc w:val="both"/>
        <w:ind w:left="760" w:hanging="379"/>
        <w:spacing w:after="0" w:line="254" w:lineRule="auto"/>
        <w:tabs>
          <w:tab w:leader="none" w:pos="76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In connection with SLB’s acquisition of the Aker subsea business, SLB recorded the following charges: $23 million of acquisition-related transaction costs, including advisory and legal fees; $11 million relating to the amortization of purchase accounting adjustments associated with the write-up of acquired inventories to its estimated fair value; and $22 million of other merger and integration-related costs. $45 million of these costs are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with the remaining $11 million classified in </w:t>
      </w:r>
      <w:r>
        <w:rPr>
          <w:rFonts w:ascii="Arial" w:cs="Arial" w:eastAsia="Arial" w:hAnsi="Arial"/>
          <w:sz w:val="16"/>
          <w:szCs w:val="16"/>
          <w:i w:val="1"/>
          <w:iCs w:val="1"/>
          <w:color w:val="auto"/>
        </w:rPr>
        <w:t>Cost of sales</w:t>
      </w:r>
      <w:r>
        <w:rPr>
          <w:rFonts w:ascii="Arial" w:cs="Arial" w:eastAsia="Arial" w:hAnsi="Arial"/>
          <w:sz w:val="16"/>
          <w:szCs w:val="16"/>
          <w:color w:val="auto"/>
        </w:rPr>
        <w:t>.</w:t>
      </w:r>
    </w:p>
    <w:p>
      <w:pPr>
        <w:spacing w:after="0" w:line="72" w:lineRule="exact"/>
        <w:rPr>
          <w:rFonts w:ascii="Times New Roman" w:cs="Times New Roman" w:eastAsia="Times New Roman" w:hAnsi="Times New Roman"/>
          <w:sz w:val="16"/>
          <w:szCs w:val="16"/>
          <w:color w:val="auto"/>
        </w:rPr>
      </w:pPr>
    </w:p>
    <w:p>
      <w:pPr>
        <w:jc w:val="both"/>
        <w:ind w:left="760" w:hanging="379"/>
        <w:spacing w:after="0" w:line="254" w:lineRule="auto"/>
        <w:tabs>
          <w:tab w:leader="none" w:pos="76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Although SLB’s functional currency in Argentina is the US dollar, a portion of its transactions are denominated in pesos. During the fourth quarter of 2023, Argentina devalued its peso relative to the US dollar by approximately 55%. As a result, SLB recorded a $90 million devaluation charge. $61 million of this charge is classified in </w:t>
      </w:r>
      <w:r>
        <w:rPr>
          <w:rFonts w:ascii="Arial" w:cs="Arial" w:eastAsia="Arial" w:hAnsi="Arial"/>
          <w:sz w:val="16"/>
          <w:szCs w:val="16"/>
          <w:i w:val="1"/>
          <w:iCs w:val="1"/>
          <w:color w:val="auto"/>
        </w:rPr>
        <w:t>Cost of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with the remaining $29 million classified in </w:t>
      </w:r>
      <w:r>
        <w:rPr>
          <w:rFonts w:ascii="Arial" w:cs="Arial" w:eastAsia="Arial" w:hAnsi="Arial"/>
          <w:sz w:val="16"/>
          <w:szCs w:val="16"/>
          <w:i w:val="1"/>
          <w:iCs w:val="1"/>
          <w:color w:val="auto"/>
        </w:rPr>
        <w:t>Cost of</w:t>
      </w:r>
      <w:r>
        <w:rPr>
          <w:rFonts w:ascii="Arial" w:cs="Arial" w:eastAsia="Arial" w:hAnsi="Arial"/>
          <w:sz w:val="16"/>
          <w:szCs w:val="16"/>
          <w:color w:val="auto"/>
        </w:rPr>
        <w:t xml:space="preserve"> </w:t>
      </w:r>
      <w:r>
        <w:rPr>
          <w:rFonts w:ascii="Arial" w:cs="Arial" w:eastAsia="Arial" w:hAnsi="Arial"/>
          <w:sz w:val="16"/>
          <w:szCs w:val="16"/>
          <w:i w:val="1"/>
          <w:iCs w:val="1"/>
          <w:color w:val="auto"/>
        </w:rPr>
        <w:t>sales</w:t>
      </w:r>
      <w:r>
        <w:rPr>
          <w:rFonts w:ascii="Arial" w:cs="Arial" w:eastAsia="Arial" w:hAnsi="Arial"/>
          <w:sz w:val="16"/>
          <w:szCs w:val="16"/>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SLB recorded the following charges and credits during 2022, all of which are classified in </w:t>
      </w:r>
      <w:r>
        <w:rPr>
          <w:rFonts w:ascii="Arial" w:cs="Arial" w:eastAsia="Arial" w:hAnsi="Arial"/>
          <w:sz w:val="16"/>
          <w:szCs w:val="16"/>
          <w:i w:val="1"/>
          <w:iCs w:val="1"/>
          <w:color w:val="auto"/>
        </w:rPr>
        <w:t>Interest &amp; other income, net</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w:t>
      </w:r>
      <w:r>
        <w:rPr>
          <w:rFonts w:ascii="Arial" w:cs="Arial" w:eastAsia="Arial" w:hAnsi="Arial"/>
          <w:sz w:val="16"/>
          <w:szCs w:val="16"/>
          <w:color w:val="auto"/>
        </w:rPr>
        <w: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i w:val="1"/>
                <w:iCs w:val="1"/>
                <w:color w:val="auto"/>
              </w:rPr>
              <w:t>(Stated in millions)</w:t>
            </w:r>
          </w:p>
        </w:tc>
      </w:tr>
      <w:tr>
        <w:trPr>
          <w:trHeight w:val="381"/>
        </w:trPr>
        <w:tc>
          <w:tcPr>
            <w:tcW w:w="6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6"/>
                <w:szCs w:val="16"/>
                <w:color w:val="auto"/>
                <w:w w:val="98"/>
              </w:rPr>
              <w:t>Pretax Charge</w:t>
            </w:r>
          </w:p>
        </w:tc>
        <w:tc>
          <w:tcPr>
            <w:tcW w:w="160" w:type="dxa"/>
            <w:vAlign w:val="bottom"/>
          </w:tcPr>
          <w:p>
            <w:pPr>
              <w:spacing w:after="0"/>
              <w:rPr>
                <w:sz w:val="24"/>
                <w:szCs w:val="2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6"/>
                <w:szCs w:val="16"/>
                <w:color w:val="auto"/>
              </w:rPr>
              <w:t>Tax Benefit</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0"/>
        </w:trPr>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6"/>
                <w:szCs w:val="16"/>
                <w:color w:val="auto"/>
              </w:rPr>
              <w:t>(Credit)</w:t>
            </w:r>
          </w:p>
        </w:tc>
        <w:tc>
          <w:tcPr>
            <w:tcW w:w="160" w:type="dxa"/>
            <w:vAlign w:val="bottom"/>
          </w:tcPr>
          <w:p>
            <w:pPr>
              <w:spacing w:after="0"/>
              <w:rPr>
                <w:sz w:val="17"/>
                <w:szCs w:val="17"/>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6"/>
                <w:szCs w:val="16"/>
                <w:color w:val="auto"/>
              </w:rPr>
              <w:t>(Expense)</w:t>
            </w:r>
          </w:p>
        </w:tc>
        <w:tc>
          <w:tcPr>
            <w:tcW w:w="120" w:type="dxa"/>
            <w:vAlign w:val="bottom"/>
          </w:tcPr>
          <w:p>
            <w:pPr>
              <w:spacing w:after="0"/>
              <w:rPr>
                <w:sz w:val="17"/>
                <w:szCs w:val="17"/>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6"/>
                <w:szCs w:val="16"/>
                <w:color w:val="auto"/>
              </w:rPr>
              <w:t>Net</w:t>
            </w:r>
          </w:p>
        </w:tc>
      </w:tr>
      <w:tr>
        <w:trPr>
          <w:trHeight w:val="180"/>
        </w:trPr>
        <w:tc>
          <w:tcPr>
            <w:tcW w:w="65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i w:val="1"/>
                <w:iCs w:val="1"/>
                <w:color w:val="auto"/>
              </w:rPr>
              <w:t>First quarter:</w:t>
            </w:r>
          </w:p>
        </w:tc>
        <w:tc>
          <w:tcPr>
            <w:tcW w:w="120" w:type="dxa"/>
            <w:vAlign w:val="bottom"/>
            <w:tcBorders>
              <w:top w:val="single" w:sz="8" w:color="auto"/>
            </w:tcBorders>
            <w:shd w:val="clear" w:color="auto" w:fill="CFF0FC"/>
          </w:tcPr>
          <w:p>
            <w:pPr>
              <w:spacing w:after="0"/>
              <w:rPr>
                <w:sz w:val="15"/>
                <w:szCs w:val="15"/>
                <w:color w:val="auto"/>
              </w:rPr>
            </w:pPr>
          </w:p>
        </w:tc>
        <w:tc>
          <w:tcPr>
            <w:tcW w:w="1240" w:type="dxa"/>
            <w:vAlign w:val="bottom"/>
            <w:tcBorders>
              <w:top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2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6"/>
        </w:trPr>
        <w:tc>
          <w:tcPr>
            <w:tcW w:w="6560" w:type="dxa"/>
            <w:vAlign w:val="bottom"/>
          </w:tcPr>
          <w:p>
            <w:pPr>
              <w:ind w:left="200"/>
              <w:spacing w:after="0"/>
              <w:rPr>
                <w:sz w:val="20"/>
                <w:szCs w:val="20"/>
                <w:color w:val="auto"/>
              </w:rPr>
            </w:pPr>
            <w:r>
              <w:rPr>
                <w:rFonts w:ascii="Arial" w:cs="Arial" w:eastAsia="Arial" w:hAnsi="Arial"/>
                <w:sz w:val="16"/>
                <w:szCs w:val="16"/>
                <w:color w:val="auto"/>
              </w:rPr>
              <w:t>Gain on sale of Liberty shares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(26 )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(4 )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(22 )</w:t>
            </w:r>
          </w:p>
        </w:tc>
      </w:tr>
      <w:tr>
        <w:trPr>
          <w:trHeight w:val="186"/>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Second quarter:</w:t>
            </w: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6"/>
        </w:trPr>
        <w:tc>
          <w:tcPr>
            <w:tcW w:w="6560" w:type="dxa"/>
            <w:vAlign w:val="bottom"/>
          </w:tcPr>
          <w:p>
            <w:pPr>
              <w:ind w:left="200"/>
              <w:spacing w:after="0"/>
              <w:rPr>
                <w:sz w:val="20"/>
                <w:szCs w:val="20"/>
                <w:color w:val="auto"/>
              </w:rPr>
            </w:pPr>
            <w:r>
              <w:rPr>
                <w:rFonts w:ascii="Arial" w:cs="Arial" w:eastAsia="Arial" w:hAnsi="Arial"/>
                <w:sz w:val="16"/>
                <w:szCs w:val="16"/>
                <w:color w:val="auto"/>
              </w:rPr>
              <w:t>Gain on sale of Liberty shares</w:t>
            </w:r>
          </w:p>
        </w:tc>
        <w:tc>
          <w:tcPr>
            <w:tcW w:w="120" w:type="dxa"/>
            <w:vAlign w:val="bottom"/>
          </w:tcPr>
          <w:p>
            <w:pPr>
              <w:spacing w:after="0"/>
              <w:rPr>
                <w:sz w:val="16"/>
                <w:szCs w:val="16"/>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(215 )</w:t>
            </w:r>
          </w:p>
        </w:tc>
        <w:tc>
          <w:tcPr>
            <w:tcW w:w="16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(201 )</w:t>
            </w:r>
          </w:p>
        </w:tc>
      </w:tr>
      <w:tr>
        <w:trPr>
          <w:trHeight w:val="186"/>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sale of real estate</w:t>
            </w:r>
          </w:p>
        </w:tc>
        <w:tc>
          <w:tcPr>
            <w:tcW w:w="12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(43 )</w:t>
            </w:r>
          </w:p>
        </w:tc>
        <w:tc>
          <w:tcPr>
            <w:tcW w:w="16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(2 )</w:t>
            </w: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(41 )</w:t>
            </w:r>
          </w:p>
        </w:tc>
      </w:tr>
      <w:tr>
        <w:trPr>
          <w:trHeight w:val="186"/>
        </w:trPr>
        <w:tc>
          <w:tcPr>
            <w:tcW w:w="6560" w:type="dxa"/>
            <w:vAlign w:val="bottom"/>
          </w:tcPr>
          <w:p>
            <w:pPr>
              <w:ind w:left="20"/>
              <w:spacing w:after="0"/>
              <w:rPr>
                <w:sz w:val="20"/>
                <w:szCs w:val="20"/>
                <w:color w:val="auto"/>
              </w:rPr>
            </w:pPr>
            <w:r>
              <w:rPr>
                <w:rFonts w:ascii="Arial" w:cs="Arial" w:eastAsia="Arial" w:hAnsi="Arial"/>
                <w:sz w:val="16"/>
                <w:szCs w:val="16"/>
                <w:i w:val="1"/>
                <w:iCs w:val="1"/>
                <w:color w:val="auto"/>
              </w:rPr>
              <w:t>Fourth quarter:</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sale of Liberty shares</w:t>
            </w:r>
          </w:p>
        </w:tc>
        <w:tc>
          <w:tcPr>
            <w:tcW w:w="12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(84 )</w:t>
            </w:r>
          </w:p>
        </w:tc>
        <w:tc>
          <w:tcPr>
            <w:tcW w:w="16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(19 )</w:t>
            </w: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(65 )</w:t>
            </w:r>
          </w:p>
        </w:tc>
      </w:tr>
      <w:tr>
        <w:trPr>
          <w:trHeight w:val="186"/>
        </w:trPr>
        <w:tc>
          <w:tcPr>
            <w:tcW w:w="6560" w:type="dxa"/>
            <w:vAlign w:val="bottom"/>
          </w:tcPr>
          <w:p>
            <w:pPr>
              <w:ind w:left="200"/>
              <w:spacing w:after="0"/>
              <w:rPr>
                <w:sz w:val="20"/>
                <w:szCs w:val="20"/>
                <w:color w:val="auto"/>
              </w:rPr>
            </w:pPr>
            <w:r>
              <w:rPr>
                <w:rFonts w:ascii="Arial" w:cs="Arial" w:eastAsia="Arial" w:hAnsi="Arial"/>
                <w:sz w:val="16"/>
                <w:szCs w:val="16"/>
                <w:color w:val="auto"/>
              </w:rPr>
              <w:t>Loss on Blue Chip Swap transactions</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139</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6"/>
                <w:szCs w:val="16"/>
                <w:color w:val="auto"/>
              </w:rPr>
            </w:pPr>
          </w:p>
        </w:tc>
      </w:tr>
      <w:tr>
        <w:trPr>
          <w:trHeight w:val="186"/>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ADC equity investment</w:t>
            </w:r>
          </w:p>
        </w:tc>
        <w:tc>
          <w:tcPr>
            <w:tcW w:w="12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(107 )</w:t>
            </w:r>
          </w:p>
        </w:tc>
        <w:tc>
          <w:tcPr>
            <w:tcW w:w="16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(3 )</w:t>
            </w: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(104 )</w:t>
            </w:r>
          </w:p>
        </w:tc>
      </w:tr>
      <w:tr>
        <w:trPr>
          <w:trHeight w:val="186"/>
        </w:trPr>
        <w:tc>
          <w:tcPr>
            <w:tcW w:w="6560" w:type="dxa"/>
            <w:vAlign w:val="bottom"/>
          </w:tcPr>
          <w:p>
            <w:pPr>
              <w:ind w:left="200"/>
              <w:spacing w:after="0"/>
              <w:rPr>
                <w:sz w:val="20"/>
                <w:szCs w:val="20"/>
                <w:color w:val="auto"/>
              </w:rPr>
            </w:pPr>
            <w:r>
              <w:rPr>
                <w:rFonts w:ascii="Arial" w:cs="Arial" w:eastAsia="Arial" w:hAnsi="Arial"/>
                <w:sz w:val="16"/>
                <w:szCs w:val="16"/>
                <w:color w:val="auto"/>
              </w:rPr>
              <w:t>Gain on repurchase of bonds</w:t>
            </w:r>
          </w:p>
        </w:tc>
        <w:tc>
          <w:tcPr>
            <w:tcW w:w="120" w:type="dxa"/>
            <w:vAlign w:val="bottom"/>
          </w:tcPr>
          <w:p>
            <w:pPr>
              <w:spacing w:after="0"/>
              <w:rPr>
                <w:sz w:val="16"/>
                <w:szCs w:val="16"/>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(11 )</w:t>
            </w:r>
          </w:p>
        </w:tc>
        <w:tc>
          <w:tcPr>
            <w:tcW w:w="16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(9 )</w:t>
            </w:r>
          </w:p>
        </w:tc>
      </w:tr>
      <w:tr>
        <w:trPr>
          <w:trHeight w:val="220"/>
        </w:trPr>
        <w:tc>
          <w:tcPr>
            <w:tcW w:w="65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(347</w:t>
            </w:r>
          </w:p>
        </w:tc>
        <w:tc>
          <w:tcPr>
            <w:tcW w:w="280" w:type="dxa"/>
            <w:vAlign w:val="bottom"/>
            <w:tcBorders>
              <w:top w:val="single" w:sz="8" w:color="CFF0FC"/>
              <w:bottom w:val="single" w:sz="8" w:color="CFF0FC"/>
            </w:tcBorders>
            <w:shd w:val="clear" w:color="auto" w:fill="CFF0FC"/>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(44</w:t>
            </w:r>
          </w:p>
        </w:tc>
        <w:tc>
          <w:tcPr>
            <w:tcW w:w="260" w:type="dxa"/>
            <w:vAlign w:val="bottom"/>
            <w:tcBorders>
              <w:top w:val="single" w:sz="8" w:color="CFF0FC"/>
              <w:bottom w:val="single" w:sz="8" w:color="CFF0FC"/>
            </w:tcBorders>
            <w:shd w:val="clear" w:color="auto" w:fill="CFF0FC"/>
          </w:tcPr>
          <w:p>
            <w:pPr>
              <w:jc w:val="right"/>
              <w:ind w:right="120"/>
              <w:spacing w:after="0" w:line="180" w:lineRule="exact"/>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(303</w:t>
            </w:r>
          </w:p>
        </w:tc>
        <w:tc>
          <w:tcPr>
            <w:tcW w:w="100" w:type="dxa"/>
            <w:vAlign w:val="bottom"/>
            <w:tcBorders>
              <w:top w:val="single" w:sz="8" w:color="CFF0FC"/>
              <w:bottom w:val="single" w:sz="8" w:color="CFF0FC"/>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5033645</wp:posOffset>
            </wp:positionH>
            <wp:positionV relativeFrom="paragraph">
              <wp:posOffset>-24765</wp:posOffset>
            </wp:positionV>
            <wp:extent cx="762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5033645</wp:posOffset>
            </wp:positionH>
            <wp:positionV relativeFrom="paragraph">
              <wp:posOffset>-7620</wp:posOffset>
            </wp:positionV>
            <wp:extent cx="762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5033645</wp:posOffset>
            </wp:positionH>
            <wp:positionV relativeFrom="paragraph">
              <wp:posOffset>-151765</wp:posOffset>
            </wp:positionV>
            <wp:extent cx="762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6056630</wp:posOffset>
            </wp:positionH>
            <wp:positionV relativeFrom="paragraph">
              <wp:posOffset>-24765</wp:posOffset>
            </wp:positionV>
            <wp:extent cx="6731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6056630</wp:posOffset>
            </wp:positionH>
            <wp:positionV relativeFrom="paragraph">
              <wp:posOffset>-7620</wp:posOffset>
            </wp:positionV>
            <wp:extent cx="6731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6056630</wp:posOffset>
            </wp:positionH>
            <wp:positionV relativeFrom="paragraph">
              <wp:posOffset>-151765</wp:posOffset>
            </wp:positionV>
            <wp:extent cx="6731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-24765</wp:posOffset>
            </wp:positionV>
            <wp:extent cx="6731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-7620</wp:posOffset>
            </wp:positionV>
            <wp:extent cx="6731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-151765</wp:posOffset>
            </wp:positionV>
            <wp:extent cx="6731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179" w:lineRule="exact"/>
        <w:rPr>
          <w:sz w:val="20"/>
          <w:szCs w:val="20"/>
          <w:color w:val="auto"/>
        </w:rPr>
      </w:pPr>
    </w:p>
    <w:p>
      <w:pPr>
        <w:ind w:left="760" w:hanging="379"/>
        <w:spacing w:after="0" w:line="276" w:lineRule="auto"/>
        <w:tabs>
          <w:tab w:leader="none" w:pos="760" w:val="left"/>
        </w:tabs>
        <w:numPr>
          <w:ilvl w:val="1"/>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2022, SLB sold 47.8 million of its shares of Liberty and received proceeds of $730 million. These transactions resulted in gains of $325 million.</w:t>
      </w:r>
    </w:p>
    <w:p>
      <w:pPr>
        <w:spacing w:after="0" w:line="135" w:lineRule="exact"/>
        <w:rPr>
          <w:rFonts w:ascii="Times New Roman" w:cs="Times New Roman" w:eastAsia="Times New Roman" w:hAnsi="Times New Roman"/>
          <w:sz w:val="16"/>
          <w:szCs w:val="16"/>
          <w:color w:val="auto"/>
        </w:rPr>
      </w:pPr>
    </w:p>
    <w:p>
      <w:pPr>
        <w:jc w:val="both"/>
        <w:ind w:left="760" w:hanging="379"/>
        <w:spacing w:after="0" w:line="254" w:lineRule="auto"/>
        <w:tabs>
          <w:tab w:leader="none" w:pos="760" w:val="left"/>
        </w:tabs>
        <w:numPr>
          <w:ilvl w:val="1"/>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The Central Bank of Argentina maintains certain currency controls that limit SLB’s ability to access US dollars in Argentina and remit cash from its operations in Argentina. A legal indirect foreign exchange mechanism exists, in the form of capital market transactions known as Blue Chip Swaps, which effectively results in a parallel US dollar exchange rate. During the fourth quarter of 2022, SLB entered into Blue Chip Swap transactions that resulted in a loss of $139 million.</w:t>
      </w:r>
    </w:p>
    <w:p>
      <w:pPr>
        <w:spacing w:after="0" w:line="152" w:lineRule="exact"/>
        <w:rPr>
          <w:rFonts w:ascii="Times New Roman" w:cs="Times New Roman" w:eastAsia="Times New Roman" w:hAnsi="Times New Roman"/>
          <w:sz w:val="16"/>
          <w:szCs w:val="16"/>
          <w:color w:val="auto"/>
        </w:rPr>
      </w:pPr>
    </w:p>
    <w:p>
      <w:pPr>
        <w:ind w:left="760" w:hanging="379"/>
        <w:spacing w:after="0" w:line="276" w:lineRule="auto"/>
        <w:tabs>
          <w:tab w:leader="none" w:pos="760" w:val="left"/>
        </w:tabs>
        <w:numPr>
          <w:ilvl w:val="1"/>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fourth quarter of 2022, SLB repurchased $395 million of its 3.75% Senior Notes due 2024, and $409 million of its 4.00% Senior Notes due 2025 for $790 million, resulting in a gain of $11 million after considering the write-off of the related deferred financing fees and other costs.</w:t>
      </w:r>
    </w:p>
    <w:p>
      <w:pPr>
        <w:spacing w:after="0" w:line="135" w:lineRule="exact"/>
        <w:rPr>
          <w:rFonts w:ascii="Times New Roman" w:cs="Times New Roman" w:eastAsia="Times New Roman" w:hAnsi="Times New Roman"/>
          <w:sz w:val="16"/>
          <w:szCs w:val="16"/>
          <w:color w:val="auto"/>
        </w:rPr>
      </w:pPr>
    </w:p>
    <w:p>
      <w:pPr>
        <w:jc w:val="both"/>
        <w:ind w:left="760" w:hanging="379"/>
        <w:spacing w:after="0" w:line="248" w:lineRule="auto"/>
        <w:tabs>
          <w:tab w:leader="none" w:pos="760" w:val="left"/>
        </w:tabs>
        <w:numPr>
          <w:ilvl w:val="1"/>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SLB accounts for its investment in the Arabian Drilling Company (“ADC”), an onshore and offshore gas and oil rig drilling company in Saudi Arabia, under the equity method. During the fourth quarter of 2022, ADC completed an initial public offering (“IPO”). In connection with the IPO, SLB sold a portion of its interest in a secondary offering that resulted in SLB receiving net proceeds of $223 million. As a result of these transactions, SLB’s ownership interest in ADC decreased from 49% to approximately 34%. SLB recognized a gain of $107 million, representing the gain on the sale of a portion of its interest as well as the effect of the ownership dilution of its equity investment due to the IPO. As of December 31, 2024, the fair value of SLB’s investment in ADC, based on the quoted market price of ADC’s shares, was approximately $0.9 billion and the carrying value of its investment was $0.6 billion. SLB accounts for its share of ADC’s net income on a one-quarter lag.</w:t>
      </w:r>
    </w:p>
    <w:p>
      <w:pPr>
        <w:spacing w:after="0" w:line="159" w:lineRule="exact"/>
        <w:rPr>
          <w:rFonts w:ascii="Times New Roman" w:cs="Times New Roman" w:eastAsia="Times New Roman" w:hAnsi="Times New Roman"/>
          <w:sz w:val="16"/>
          <w:szCs w:val="16"/>
          <w:color w:val="auto"/>
        </w:rPr>
      </w:pPr>
    </w:p>
    <w:p>
      <w:pPr>
        <w:ind w:left="760" w:hanging="379"/>
        <w:spacing w:after="0" w:line="276" w:lineRule="auto"/>
        <w:tabs>
          <w:tab w:leader="none" w:pos="760" w:val="left"/>
        </w:tabs>
        <w:numPr>
          <w:ilvl w:val="1"/>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second quarter of 2022, SLB sold certain real estate and received proceeds of $120 million. As a result of this transaction, SLB recognized a gain of $43 million.</w:t>
      </w:r>
    </w:p>
    <w:p>
      <w:pPr>
        <w:spacing w:after="0" w:line="200" w:lineRule="exact"/>
        <w:rPr>
          <w:rFonts w:ascii="Times New Roman" w:cs="Times New Roman" w:eastAsia="Times New Roman" w:hAnsi="Times New Roman"/>
          <w:sz w:val="16"/>
          <w:szCs w:val="16"/>
          <w:color w:val="auto"/>
        </w:rPr>
      </w:pPr>
    </w:p>
    <w:p>
      <w:pPr>
        <w:spacing w:after="0" w:line="361" w:lineRule="exact"/>
        <w:rPr>
          <w:rFonts w:ascii="Times New Roman" w:cs="Times New Roman" w:eastAsia="Times New Roman" w:hAnsi="Times New Roman"/>
          <w:sz w:val="16"/>
          <w:szCs w:val="16"/>
          <w:color w:val="auto"/>
        </w:rPr>
      </w:pPr>
    </w:p>
    <w:p>
      <w:pPr>
        <w:ind w:left="220" w:hanging="214"/>
        <w:spacing w:after="0"/>
        <w:tabs>
          <w:tab w:leader="none" w:pos="22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Inventories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Inventories, which are stated at the lower of average cost or net realizable value, consist of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69"/>
        </w:trPr>
        <w:tc>
          <w:tcPr>
            <w:tcW w:w="38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88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Raw materials &amp; field materials</w:t>
            </w:r>
          </w:p>
        </w:tc>
        <w:tc>
          <w:tcPr>
            <w:tcW w:w="4860" w:type="dxa"/>
            <w:vAlign w:val="bottom"/>
            <w:gridSpan w:val="2"/>
            <w:shd w:val="clear" w:color="auto" w:fill="CFF0FC"/>
          </w:tcPr>
          <w:p>
            <w:pPr>
              <w:jc w:val="right"/>
              <w:ind w:right="900"/>
              <w:spacing w:after="0" w:line="180" w:lineRule="exact"/>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2,387</w:t>
            </w:r>
          </w:p>
        </w:tc>
        <w:tc>
          <w:tcPr>
            <w:tcW w:w="54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2,296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80" w:type="dxa"/>
            <w:vAlign w:val="bottom"/>
          </w:tcPr>
          <w:p>
            <w:pPr>
              <w:ind w:left="20"/>
              <w:spacing w:after="0"/>
              <w:rPr>
                <w:sz w:val="20"/>
                <w:szCs w:val="20"/>
                <w:color w:val="auto"/>
              </w:rPr>
            </w:pPr>
            <w:r>
              <w:rPr>
                <w:rFonts w:ascii="Arial" w:cs="Arial" w:eastAsia="Arial" w:hAnsi="Arial"/>
                <w:sz w:val="16"/>
                <w:szCs w:val="16"/>
                <w:color w:val="auto"/>
              </w:rPr>
              <w:t>Work in progress</w:t>
            </w:r>
          </w:p>
        </w:tc>
        <w:tc>
          <w:tcPr>
            <w:tcW w:w="3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786</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Finished goods</w:t>
            </w:r>
          </w:p>
        </w:tc>
        <w:tc>
          <w:tcPr>
            <w:tcW w:w="378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1,202</w:t>
            </w:r>
          </w:p>
        </w:tc>
        <w:tc>
          <w:tcPr>
            <w:tcW w:w="3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1,329</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80" w:type="dxa"/>
            <w:vAlign w:val="bottom"/>
          </w:tcPr>
          <w:p>
            <w:pPr>
              <w:spacing w:after="0"/>
              <w:rPr>
                <w:sz w:val="15"/>
                <w:szCs w:val="15"/>
                <w:color w:val="auto"/>
              </w:rPr>
            </w:pPr>
          </w:p>
        </w:tc>
        <w:tc>
          <w:tcPr>
            <w:tcW w:w="4860" w:type="dxa"/>
            <w:vAlign w:val="bottom"/>
            <w:gridSpan w:val="2"/>
          </w:tcPr>
          <w:p>
            <w:pPr>
              <w:jc w:val="right"/>
              <w:ind w:right="900"/>
              <w:spacing w:after="0" w:line="180" w:lineRule="exact"/>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4,375</w:t>
            </w:r>
          </w:p>
        </w:tc>
        <w:tc>
          <w:tcPr>
            <w:tcW w:w="540" w:type="dxa"/>
            <w:vAlign w:val="bottom"/>
            <w:gridSpan w:val="2"/>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340" w:type="dxa"/>
            <w:vAlign w:val="bottom"/>
          </w:tcPr>
          <w:p>
            <w:pPr>
              <w:jc w:val="right"/>
              <w:spacing w:after="0" w:line="180" w:lineRule="exact"/>
              <w:rPr>
                <w:sz w:val="20"/>
                <w:szCs w:val="20"/>
                <w:color w:val="auto"/>
              </w:rPr>
            </w:pPr>
            <w:r>
              <w:rPr>
                <w:rFonts w:ascii="Arial" w:cs="Arial" w:eastAsia="Arial" w:hAnsi="Arial"/>
                <w:sz w:val="16"/>
                <w:szCs w:val="16"/>
                <w:color w:val="auto"/>
              </w:rPr>
              <w:t>4,387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780" w:type="dxa"/>
            <w:vAlign w:val="bottom"/>
            <w:vMerge w:val="restart"/>
          </w:tcPr>
          <w:p>
            <w:pPr>
              <w:jc w:val="right"/>
              <w:ind w:right="1860"/>
              <w:spacing w:after="0"/>
              <w:rPr>
                <w:sz w:val="20"/>
                <w:szCs w:val="20"/>
                <w:color w:val="auto"/>
              </w:rPr>
            </w:pPr>
            <w:r>
              <w:rPr>
                <w:rFonts w:ascii="Arial" w:cs="Arial" w:eastAsia="Arial" w:hAnsi="Arial"/>
                <w:sz w:val="16"/>
                <w:szCs w:val="16"/>
                <w:color w:val="auto"/>
              </w:rPr>
              <w:t>39</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88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388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-1030605</wp:posOffset>
            </wp:positionV>
            <wp:extent cx="6731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-1030605</wp:posOffset>
            </wp:positionV>
            <wp:extent cx="6731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39" w:name="page40"/>
    <w:bookmarkEnd w:id="39"/>
    <w:p>
      <w:pPr>
        <w:ind w:left="220" w:hanging="214"/>
        <w:spacing w:after="0"/>
        <w:tabs>
          <w:tab w:leader="none" w:pos="22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Fixed Assets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Fixed assets consist of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369"/>
        </w:trPr>
        <w:tc>
          <w:tcPr>
            <w:tcW w:w="76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4"/>
                <w:szCs w:val="24"/>
                <w:color w:val="auto"/>
              </w:rPr>
            </w:pPr>
          </w:p>
        </w:tc>
      </w:tr>
      <w:tr>
        <w:trPr>
          <w:trHeight w:val="180"/>
        </w:trPr>
        <w:tc>
          <w:tcPr>
            <w:tcW w:w="76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Land</w:t>
            </w:r>
          </w:p>
        </w:tc>
        <w:tc>
          <w:tcPr>
            <w:tcW w:w="360" w:type="dxa"/>
            <w:vAlign w:val="bottom"/>
            <w:shd w:val="clear" w:color="auto" w:fill="CFF0FC"/>
          </w:tcPr>
          <w:p>
            <w:pPr>
              <w:jc w:val="right"/>
              <w:ind w:right="180"/>
              <w:spacing w:after="0" w:line="180" w:lineRule="exact"/>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315</w:t>
            </w:r>
          </w:p>
        </w:tc>
        <w:tc>
          <w:tcPr>
            <w:tcW w:w="54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323</w:t>
            </w:r>
          </w:p>
        </w:tc>
        <w:tc>
          <w:tcPr>
            <w:tcW w:w="100" w:type="dxa"/>
            <w:vAlign w:val="bottom"/>
            <w:shd w:val="clear" w:color="auto" w:fill="CFF0FC"/>
          </w:tcPr>
          <w:p>
            <w:pPr>
              <w:spacing w:after="0"/>
              <w:rPr>
                <w:sz w:val="15"/>
                <w:szCs w:val="15"/>
                <w:color w:val="auto"/>
              </w:rPr>
            </w:pPr>
          </w:p>
        </w:tc>
      </w:tr>
      <w:tr>
        <w:trPr>
          <w:trHeight w:val="186"/>
        </w:trPr>
        <w:tc>
          <w:tcPr>
            <w:tcW w:w="7660" w:type="dxa"/>
            <w:vAlign w:val="bottom"/>
          </w:tcPr>
          <w:p>
            <w:pPr>
              <w:ind w:left="20"/>
              <w:spacing w:after="0"/>
              <w:rPr>
                <w:sz w:val="20"/>
                <w:szCs w:val="20"/>
                <w:color w:val="auto"/>
              </w:rPr>
            </w:pPr>
            <w:r>
              <w:rPr>
                <w:rFonts w:ascii="Arial" w:cs="Arial" w:eastAsia="Arial" w:hAnsi="Arial"/>
                <w:sz w:val="16"/>
                <w:szCs w:val="16"/>
                <w:color w:val="auto"/>
              </w:rPr>
              <w:t>Buildings &amp; improvements</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4,510</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4,569</w:t>
            </w:r>
          </w:p>
        </w:tc>
        <w:tc>
          <w:tcPr>
            <w:tcW w:w="100" w:type="dxa"/>
            <w:vAlign w:val="bottom"/>
          </w:tcPr>
          <w:p>
            <w:pPr>
              <w:spacing w:after="0"/>
              <w:rPr>
                <w:sz w:val="16"/>
                <w:szCs w:val="16"/>
                <w:color w:val="auto"/>
              </w:rPr>
            </w:pPr>
          </w:p>
        </w:tc>
      </w:tr>
      <w:tr>
        <w:trPr>
          <w:trHeight w:val="186"/>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Machinery &amp; equipment</w:t>
            </w:r>
          </w:p>
        </w:tc>
        <w:tc>
          <w:tcPr>
            <w:tcW w:w="36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24,748</w:t>
            </w:r>
          </w:p>
        </w:tc>
        <w:tc>
          <w:tcPr>
            <w:tcW w:w="3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25,073</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0"/>
        </w:trPr>
        <w:tc>
          <w:tcPr>
            <w:tcW w:w="7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29,573</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Arial" w:cs="Arial" w:eastAsia="Arial" w:hAnsi="Arial"/>
                <w:sz w:val="16"/>
                <w:szCs w:val="16"/>
                <w:color w:val="auto"/>
              </w:rPr>
              <w:t>29,965</w:t>
            </w:r>
          </w:p>
        </w:tc>
        <w:tc>
          <w:tcPr>
            <w:tcW w:w="100" w:type="dxa"/>
            <w:vAlign w:val="bottom"/>
          </w:tcPr>
          <w:p>
            <w:pPr>
              <w:spacing w:after="0"/>
              <w:rPr>
                <w:sz w:val="15"/>
                <w:szCs w:val="15"/>
                <w:color w:val="auto"/>
              </w:rPr>
            </w:pPr>
          </w:p>
        </w:tc>
      </w:tr>
      <w:tr>
        <w:trPr>
          <w:trHeight w:val="186"/>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Less: Accumulated depreciation</w:t>
            </w:r>
          </w:p>
        </w:tc>
        <w:tc>
          <w:tcPr>
            <w:tcW w:w="36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22,214</w:t>
            </w:r>
          </w:p>
        </w:tc>
        <w:tc>
          <w:tcPr>
            <w:tcW w:w="3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22,725</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0"/>
        </w:trPr>
        <w:tc>
          <w:tcPr>
            <w:tcW w:w="7660" w:type="dxa"/>
            <w:vAlign w:val="bottom"/>
          </w:tcPr>
          <w:p>
            <w:pPr>
              <w:spacing w:after="0"/>
              <w:rPr>
                <w:sz w:val="15"/>
                <w:szCs w:val="15"/>
                <w:color w:val="auto"/>
              </w:rPr>
            </w:pPr>
          </w:p>
        </w:tc>
        <w:tc>
          <w:tcPr>
            <w:tcW w:w="360" w:type="dxa"/>
            <w:vAlign w:val="bottom"/>
          </w:tcPr>
          <w:p>
            <w:pPr>
              <w:jc w:val="right"/>
              <w:ind w:right="180"/>
              <w:spacing w:after="0" w:line="180" w:lineRule="exact"/>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7,359</w:t>
            </w:r>
          </w:p>
        </w:tc>
        <w:tc>
          <w:tcPr>
            <w:tcW w:w="540" w:type="dxa"/>
            <w:vAlign w:val="bottom"/>
            <w:gridSpan w:val="2"/>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340" w:type="dxa"/>
            <w:vAlign w:val="bottom"/>
          </w:tcPr>
          <w:p>
            <w:pPr>
              <w:jc w:val="right"/>
              <w:spacing w:after="0" w:line="180" w:lineRule="exact"/>
              <w:rPr>
                <w:sz w:val="20"/>
                <w:szCs w:val="20"/>
                <w:color w:val="auto"/>
              </w:rPr>
            </w:pPr>
            <w:r>
              <w:rPr>
                <w:rFonts w:ascii="Arial" w:cs="Arial" w:eastAsia="Arial" w:hAnsi="Arial"/>
                <w:sz w:val="16"/>
                <w:szCs w:val="16"/>
                <w:color w:val="auto"/>
              </w:rPr>
              <w:t>7,240</w:t>
            </w:r>
          </w:p>
        </w:tc>
        <w:tc>
          <w:tcPr>
            <w:tcW w:w="100" w:type="dxa"/>
            <w:vAlign w:val="bottom"/>
          </w:tcPr>
          <w:p>
            <w:pPr>
              <w:spacing w:after="0"/>
              <w:rPr>
                <w:sz w:val="15"/>
                <w:szCs w:val="15"/>
                <w:color w:val="auto"/>
              </w:rPr>
            </w:pPr>
          </w:p>
        </w:tc>
      </w:tr>
      <w:tr>
        <w:trPr>
          <w:trHeight w:val="20"/>
        </w:trPr>
        <w:tc>
          <w:tcPr>
            <w:tcW w:w="7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-396875</wp:posOffset>
            </wp:positionV>
            <wp:extent cx="6731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-396875</wp:posOffset>
            </wp:positionV>
            <wp:extent cx="6731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-151765</wp:posOffset>
            </wp:positionV>
            <wp:extent cx="6731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-151765</wp:posOffset>
            </wp:positionV>
            <wp:extent cx="6731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estimated useful lives of Buildings &amp; improvements are primarily 25 to 30 years. The estimated useful lives of Machinery &amp; equipment are primarily 5 to 10 years.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which is recorded on a straight-line basis, was $1.6 billion in 2024 and $1.4 billion in each of 2023 and 2022.</w:t>
      </w:r>
    </w:p>
    <w:p>
      <w:pPr>
        <w:spacing w:after="0" w:line="215" w:lineRule="exact"/>
        <w:rPr>
          <w:sz w:val="20"/>
          <w:szCs w:val="20"/>
          <w:color w:val="auto"/>
        </w:rPr>
      </w:pPr>
    </w:p>
    <w:p>
      <w:pPr>
        <w:ind w:left="220" w:hanging="214"/>
        <w:spacing w:after="0"/>
        <w:tabs>
          <w:tab w:leader="none" w:pos="22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Acquisition</w:t>
      </w:r>
    </w:p>
    <w:p>
      <w:pPr>
        <w:spacing w:after="0" w:line="10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October 2, 2023, SLB, Aker, and Subsea7 closed their previously announced joint venture. The new business, OneSubsea, will drive innovation and efficiency in subsea production by helping customers unlock reserves and reduce cycle time. OneSubsea now comprises SLB’s and Aker’s subsea businesses, which include an extensive complementary subsea production and processing technology portfolio, world-class manufacturing scale and capacity, access to industry-leading reservoir and digital domain expertise, unique pore-to-process integration capabilities, and strengthened research and development capabilities.</w:t>
      </w:r>
    </w:p>
    <w:p>
      <w:pPr>
        <w:spacing w:after="0" w:line="15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to contributing its subsea business to the joint venture, at closing SLB issued 5.1 million shares of its common stock valued at $306.5 million to Aker. Concurrently, Subsea7 purchased a 10% interest in exchange for $306.5 million in cash to Aker. The joint venture also issued a promissory note valued at $87.5 million to Aker. SLB owns 70% of the joint venture, while Aker owns 20% and Subsea7 owns 10%.</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The formation of the joint venture was accounted for as a business combination. As the majority owner and controlling entity, SLB is considered the acquirer and reflects OneSubsea as a consolidated subsidiary in its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The transfer of the SLB subsea business to the joint venture was accounted for at historical cost, while the Aker subsea business was recorded based on the fair value of the assets acquired and liabilities assumed of approximately $1.3 billion.</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The combination of the historical cost and fair value, discussed above, resulted in net assets of the joint venture of approximately $2.8 billion upon formation. Aker and Subsea7’s combined 30% interest in the initial net assets of OneSubsea of $0.8 billion was recognized in </w:t>
      </w:r>
      <w:r>
        <w:rPr>
          <w:rFonts w:ascii="Arial" w:cs="Arial" w:eastAsia="Arial" w:hAnsi="Arial"/>
          <w:sz w:val="16"/>
          <w:szCs w:val="16"/>
          <w:i w:val="1"/>
          <w:iCs w:val="1"/>
          <w:color w:val="auto"/>
        </w:rPr>
        <w:t>Noncontrolling interests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Balance Sheet</w:t>
      </w:r>
      <w:r>
        <w:rPr>
          <w:rFonts w:ascii="Arial" w:cs="Arial" w:eastAsia="Arial" w:hAnsi="Arial"/>
          <w:sz w:val="16"/>
          <w:szCs w:val="16"/>
          <w:color w:val="auto"/>
        </w:rPr>
        <w:t>. The $0.1 billion difference between the noncontrolling interest recognized and the fair value of Aker’s net assets acquired less the fair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SLB shares of common stock issued to Aker was recorded as an increase to </w:t>
      </w:r>
      <w:r>
        <w:rPr>
          <w:rFonts w:ascii="Arial" w:cs="Arial" w:eastAsia="Arial" w:hAnsi="Arial"/>
          <w:sz w:val="16"/>
          <w:szCs w:val="16"/>
          <w:i w:val="1"/>
          <w:iCs w:val="1"/>
          <w:color w:val="auto"/>
        </w:rPr>
        <w:t>Common stock</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represent the estimated fair value of assets acquired and liabilities assumed in connection with the formation of the joint venture.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182"/>
        </w:trPr>
        <w:tc>
          <w:tcPr>
            <w:tcW w:w="9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9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w:t>
            </w:r>
          </w:p>
        </w:tc>
        <w:tc>
          <w:tcPr>
            <w:tcW w:w="420" w:type="dxa"/>
            <w:vAlign w:val="bottom"/>
            <w:shd w:val="clear" w:color="auto" w:fill="CFF0FC"/>
          </w:tcPr>
          <w:p>
            <w:pPr>
              <w:jc w:val="right"/>
              <w:ind w:right="240"/>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FF0FC"/>
          </w:tcPr>
          <w:p>
            <w:pPr>
              <w:spacing w:after="0"/>
              <w:rPr>
                <w:sz w:val="16"/>
                <w:szCs w:val="16"/>
                <w:color w:val="auto"/>
              </w:rPr>
            </w:pPr>
          </w:p>
        </w:tc>
      </w:tr>
      <w:tr>
        <w:trPr>
          <w:trHeight w:val="186"/>
        </w:trPr>
        <w:tc>
          <w:tcPr>
            <w:tcW w:w="920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4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6"/>
                <w:szCs w:val="16"/>
                <w:color w:val="auto"/>
              </w:rPr>
            </w:pPr>
          </w:p>
        </w:tc>
      </w:tr>
      <w:tr>
        <w:trPr>
          <w:trHeight w:val="186"/>
        </w:trPr>
        <w:tc>
          <w:tcPr>
            <w:tcW w:w="9200" w:type="dxa"/>
            <w:vAlign w:val="bottom"/>
            <w:shd w:val="clear" w:color="auto" w:fill="CFF0FC"/>
          </w:tcPr>
          <w:p>
            <w:pPr>
              <w:ind w:left="20"/>
              <w:spacing w:after="0" w:line="187" w:lineRule="exact"/>
              <w:rPr>
                <w:sz w:val="20"/>
                <w:szCs w:val="20"/>
                <w:color w:val="auto"/>
              </w:rPr>
            </w:pPr>
            <w:r>
              <w:rPr>
                <w:rFonts w:ascii="Arial" w:cs="Arial" w:eastAsia="Arial" w:hAnsi="Arial"/>
                <w:sz w:val="16"/>
                <w:szCs w:val="16"/>
                <w:color w:val="auto"/>
              </w:rPr>
              <w:t xml:space="preserve">Inventories </w:t>
            </w:r>
            <w:r>
              <w:rPr>
                <w:rFonts w:ascii="Arial" w:cs="Arial" w:eastAsia="Arial" w:hAnsi="Arial"/>
                <w:sz w:val="21"/>
                <w:szCs w:val="21"/>
                <w:color w:val="auto"/>
                <w:vertAlign w:val="superscript"/>
              </w:rPr>
              <w:t>(1)</w:t>
            </w:r>
          </w:p>
        </w:tc>
        <w:tc>
          <w:tcPr>
            <w:tcW w:w="42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FF0FC"/>
          </w:tcPr>
          <w:p>
            <w:pPr>
              <w:spacing w:after="0"/>
              <w:rPr>
                <w:sz w:val="16"/>
                <w:szCs w:val="16"/>
                <w:color w:val="auto"/>
              </w:rPr>
            </w:pPr>
          </w:p>
        </w:tc>
      </w:tr>
      <w:tr>
        <w:trPr>
          <w:trHeight w:val="186"/>
        </w:trPr>
        <w:tc>
          <w:tcPr>
            <w:tcW w:w="920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4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6"/>
                <w:szCs w:val="16"/>
                <w:color w:val="auto"/>
              </w:rPr>
            </w:pPr>
          </w:p>
        </w:tc>
      </w:tr>
      <w:tr>
        <w:trPr>
          <w:trHeight w:val="186"/>
        </w:trPr>
        <w:tc>
          <w:tcPr>
            <w:tcW w:w="9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Fixed assets</w:t>
            </w:r>
          </w:p>
        </w:tc>
        <w:tc>
          <w:tcPr>
            <w:tcW w:w="42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FF0FC"/>
          </w:tcPr>
          <w:p>
            <w:pPr>
              <w:spacing w:after="0"/>
              <w:rPr>
                <w:sz w:val="16"/>
                <w:szCs w:val="16"/>
                <w:color w:val="auto"/>
              </w:rPr>
            </w:pPr>
          </w:p>
        </w:tc>
      </w:tr>
      <w:tr>
        <w:trPr>
          <w:trHeight w:val="186"/>
        </w:trPr>
        <w:tc>
          <w:tcPr>
            <w:tcW w:w="9200" w:type="dxa"/>
            <w:vAlign w:val="bottom"/>
          </w:tcPr>
          <w:p>
            <w:pPr>
              <w:ind w:left="20"/>
              <w:spacing w:after="0"/>
              <w:rPr>
                <w:sz w:val="20"/>
                <w:szCs w:val="20"/>
                <w:color w:val="auto"/>
              </w:rPr>
            </w:pPr>
            <w:r>
              <w:rPr>
                <w:rFonts w:ascii="Arial" w:cs="Arial" w:eastAsia="Arial" w:hAnsi="Arial"/>
                <w:sz w:val="16"/>
                <w:szCs w:val="16"/>
                <w:color w:val="auto"/>
              </w:rPr>
              <w:t>Intangible assets (weighted average life of 18 years)</w:t>
            </w:r>
          </w:p>
        </w:tc>
        <w:tc>
          <w:tcPr>
            <w:tcW w:w="4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6"/>
                <w:szCs w:val="16"/>
                <w:color w:val="auto"/>
              </w:rPr>
            </w:pPr>
          </w:p>
        </w:tc>
      </w:tr>
      <w:tr>
        <w:trPr>
          <w:trHeight w:val="186"/>
        </w:trPr>
        <w:tc>
          <w:tcPr>
            <w:tcW w:w="9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42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(915 )</w:t>
            </w:r>
          </w:p>
        </w:tc>
      </w:tr>
      <w:tr>
        <w:trPr>
          <w:trHeight w:val="186"/>
        </w:trPr>
        <w:tc>
          <w:tcPr>
            <w:tcW w:w="9200" w:type="dxa"/>
            <w:vAlign w:val="bottom"/>
          </w:tcPr>
          <w:p>
            <w:pPr>
              <w:ind w:left="20"/>
              <w:spacing w:after="0"/>
              <w:rPr>
                <w:sz w:val="20"/>
                <w:szCs w:val="20"/>
                <w:color w:val="auto"/>
              </w:rPr>
            </w:pPr>
            <w:r>
              <w:rPr>
                <w:rFonts w:ascii="Arial" w:cs="Arial" w:eastAsia="Arial" w:hAnsi="Arial"/>
                <w:sz w:val="16"/>
                <w:szCs w:val="16"/>
                <w:color w:val="auto"/>
              </w:rPr>
              <w:t>Deferred taxes</w:t>
            </w:r>
          </w:p>
        </w:tc>
        <w:tc>
          <w:tcPr>
            <w:tcW w:w="420" w:type="dxa"/>
            <w:vAlign w:val="bottom"/>
          </w:tcPr>
          <w:p>
            <w:pPr>
              <w:spacing w:after="0"/>
              <w:rPr>
                <w:sz w:val="16"/>
                <w:szCs w:val="16"/>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6"/>
                <w:szCs w:val="16"/>
                <w:color w:val="auto"/>
              </w:rPr>
              <w:t>(127 )</w:t>
            </w:r>
          </w:p>
        </w:tc>
      </w:tr>
      <w:tr>
        <w:trPr>
          <w:trHeight w:val="186"/>
        </w:trPr>
        <w:tc>
          <w:tcPr>
            <w:tcW w:w="9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liabilities</w:t>
            </w:r>
          </w:p>
        </w:tc>
        <w:tc>
          <w:tcPr>
            <w:tcW w:w="42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(1 )</w:t>
            </w:r>
          </w:p>
        </w:tc>
      </w:tr>
      <w:tr>
        <w:trPr>
          <w:trHeight w:val="180"/>
        </w:trPr>
        <w:tc>
          <w:tcPr>
            <w:tcW w:w="9200" w:type="dxa"/>
            <w:vAlign w:val="bottom"/>
            <w:tcBorders>
              <w:top w:val="single" w:sz="8" w:color="CFF0FC"/>
            </w:tcBorders>
          </w:tcPr>
          <w:p>
            <w:pPr>
              <w:ind w:left="20"/>
              <w:spacing w:after="0" w:line="180" w:lineRule="exact"/>
              <w:rPr>
                <w:sz w:val="20"/>
                <w:szCs w:val="20"/>
                <w:color w:val="auto"/>
              </w:rPr>
            </w:pPr>
            <w:r>
              <w:rPr>
                <w:rFonts w:ascii="Arial" w:cs="Arial" w:eastAsia="Arial" w:hAnsi="Arial"/>
                <w:sz w:val="16"/>
                <w:szCs w:val="16"/>
                <w:color w:val="auto"/>
              </w:rPr>
              <w:t>Total identifiable net assets</w:t>
            </w:r>
          </w:p>
        </w:tc>
        <w:tc>
          <w:tcPr>
            <w:tcW w:w="420" w:type="dxa"/>
            <w:vAlign w:val="bottom"/>
            <w:tcBorders>
              <w:top w:val="single" w:sz="8" w:color="auto"/>
            </w:tcBorders>
          </w:tcPr>
          <w:p>
            <w:pPr>
              <w:jc w:val="right"/>
              <w:ind w:right="240"/>
              <w:spacing w:after="0" w:line="180" w:lineRule="exact"/>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347</w:t>
            </w:r>
          </w:p>
        </w:tc>
        <w:tc>
          <w:tcPr>
            <w:tcW w:w="100" w:type="dxa"/>
            <w:vAlign w:val="bottom"/>
            <w:tcBorders>
              <w:top w:val="single" w:sz="8" w:color="CFF0FC"/>
            </w:tcBorders>
          </w:tcPr>
          <w:p>
            <w:pPr>
              <w:spacing w:after="0"/>
              <w:rPr>
                <w:sz w:val="15"/>
                <w:szCs w:val="15"/>
                <w:color w:val="auto"/>
              </w:rPr>
            </w:pPr>
          </w:p>
        </w:tc>
      </w:tr>
      <w:tr>
        <w:trPr>
          <w:trHeight w:val="186"/>
        </w:trPr>
        <w:tc>
          <w:tcPr>
            <w:tcW w:w="9200" w:type="dxa"/>
            <w:vAlign w:val="bottom"/>
            <w:tcBorders>
              <w:bottom w:val="single" w:sz="8" w:color="CFF0FC"/>
            </w:tcBorders>
            <w:shd w:val="clear" w:color="auto" w:fill="CFF0FC"/>
          </w:tcPr>
          <w:p>
            <w:pPr>
              <w:ind w:left="20"/>
              <w:spacing w:after="0" w:line="187" w:lineRule="exact"/>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(2)</w:t>
            </w:r>
          </w:p>
        </w:tc>
        <w:tc>
          <w:tcPr>
            <w:tcW w:w="42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0"/>
        </w:trPr>
        <w:tc>
          <w:tcPr>
            <w:tcW w:w="9200" w:type="dxa"/>
            <w:vAlign w:val="bottom"/>
          </w:tcPr>
          <w:p>
            <w:pPr>
              <w:ind w:left="200"/>
              <w:spacing w:after="0" w:line="167" w:lineRule="exact"/>
              <w:rPr>
                <w:sz w:val="20"/>
                <w:szCs w:val="20"/>
                <w:color w:val="auto"/>
              </w:rPr>
            </w:pPr>
            <w:r>
              <w:rPr>
                <w:rFonts w:ascii="Arial" w:cs="Arial" w:eastAsia="Arial" w:hAnsi="Arial"/>
                <w:sz w:val="16"/>
                <w:szCs w:val="16"/>
                <w:color w:val="auto"/>
              </w:rPr>
              <w:t>Total consideration transferred</w:t>
            </w:r>
          </w:p>
        </w:tc>
        <w:tc>
          <w:tcPr>
            <w:tcW w:w="420" w:type="dxa"/>
            <w:vAlign w:val="bottom"/>
            <w:tcBorders>
              <w:bottom w:val="single" w:sz="8" w:color="auto"/>
            </w:tcBorders>
          </w:tcPr>
          <w:p>
            <w:pPr>
              <w:jc w:val="right"/>
              <w:ind w:right="240"/>
              <w:spacing w:after="0" w:line="167" w:lineRule="exact"/>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1,313</w:t>
            </w:r>
          </w:p>
        </w:tc>
        <w:tc>
          <w:tcPr>
            <w:tcW w:w="100" w:type="dxa"/>
            <w:vAlign w:val="bottom"/>
          </w:tcPr>
          <w:p>
            <w:pPr>
              <w:spacing w:after="0"/>
              <w:rPr>
                <w:sz w:val="15"/>
                <w:szCs w:val="15"/>
                <w:color w:val="auto"/>
              </w:rPr>
            </w:pPr>
          </w:p>
        </w:tc>
      </w:tr>
      <w:tr>
        <w:trPr>
          <w:trHeight w:val="20"/>
        </w:trPr>
        <w:tc>
          <w:tcPr>
            <w:tcW w:w="9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7070725</wp:posOffset>
            </wp:positionH>
            <wp:positionV relativeFrom="paragraph">
              <wp:posOffset>-396875</wp:posOffset>
            </wp:positionV>
            <wp:extent cx="6731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-151765</wp:posOffset>
            </wp:positionV>
            <wp:extent cx="6731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152" w:lineRule="exact"/>
        <w:rPr>
          <w:sz w:val="20"/>
          <w:szCs w:val="20"/>
          <w:color w:val="auto"/>
        </w:rPr>
      </w:pPr>
    </w:p>
    <w:p>
      <w:pPr>
        <w:jc w:val="both"/>
        <w:ind w:left="1020" w:hanging="508"/>
        <w:spacing w:after="0" w:line="229" w:lineRule="auto"/>
        <w:tabs>
          <w:tab w:leader="none" w:pos="1020"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 xml:space="preserve">SLB recorded an adjustment of $54 million to write-up the acquired inventory to its estimated fair value. SLB’s </w:t>
      </w:r>
      <w:r>
        <w:rPr>
          <w:rFonts w:ascii="Arial" w:cs="Arial" w:eastAsia="Arial" w:hAnsi="Arial"/>
          <w:sz w:val="16"/>
          <w:szCs w:val="16"/>
          <w:i w:val="1"/>
          <w:iCs w:val="1"/>
          <w:color w:val="auto"/>
        </w:rPr>
        <w:t>Cost of sales</w:t>
      </w:r>
      <w:r>
        <w:rPr>
          <w:rFonts w:ascii="Arial" w:cs="Arial" w:eastAsia="Arial" w:hAnsi="Arial"/>
          <w:sz w:val="16"/>
          <w:szCs w:val="16"/>
          <w:color w:val="auto"/>
        </w:rPr>
        <w:t xml:space="preserve"> reflected this increased valuation as the acquired inventory was sold. $11 million of this adjustment was expensed as of December 31, 2023 and the remaining $43 million was expensed in 2024. See Note 3 – </w:t>
      </w:r>
      <w:r>
        <w:rPr>
          <w:rFonts w:ascii="Arial" w:cs="Arial" w:eastAsia="Arial" w:hAnsi="Arial"/>
          <w:sz w:val="16"/>
          <w:szCs w:val="16"/>
          <w:i w:val="1"/>
          <w:iCs w:val="1"/>
          <w:color w:val="auto"/>
        </w:rPr>
        <w:t>Charges and Credits</w:t>
      </w:r>
      <w:r>
        <w:rPr>
          <w:rFonts w:ascii="Arial" w:cs="Arial" w:eastAsia="Arial" w:hAnsi="Arial"/>
          <w:sz w:val="16"/>
          <w:szCs w:val="16"/>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40" w:name="page41"/>
    <w:bookmarkEnd w:id="40"/>
    <w:p>
      <w:pPr>
        <w:ind w:left="1020" w:hanging="508"/>
        <w:spacing w:after="0" w:line="223" w:lineRule="auto"/>
        <w:tabs>
          <w:tab w:leader="none" w:pos="1020"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The goodwill recognized is primarily attributable to intangible assets that do not qualify for separate recognition as well as expected synergies from combining the subsea operations of SLB and Aker. None of the goodwill is deductible for income tax purposes.</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 xml:space="preserve">For the period from October 2, 2023 to December 31, 2023, the subsea business acquired from Aker contributed revenue of approximately $0.5 billion. The acquired Aker subsea business’ contribution to </w:t>
      </w:r>
      <w:r>
        <w:rPr>
          <w:rFonts w:ascii="Arial" w:cs="Arial" w:eastAsia="Arial" w:hAnsi="Arial"/>
          <w:sz w:val="16"/>
          <w:szCs w:val="16"/>
          <w:i w:val="1"/>
          <w:iCs w:val="1"/>
          <w:color w:val="auto"/>
        </w:rPr>
        <w:t>Net income attributable to SLB</w:t>
      </w:r>
      <w:r>
        <w:rPr>
          <w:rFonts w:ascii="Arial" w:cs="Arial" w:eastAsia="Arial" w:hAnsi="Arial"/>
          <w:sz w:val="16"/>
          <w:szCs w:val="16"/>
          <w:color w:val="auto"/>
        </w:rPr>
        <w:t xml:space="preserve"> for the same period was not material.</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Aker reported revenue for its subsea business of approximately $1.5 billion for the year ended December 31, 2022 and $1.4 billion for the nine months ended September 30, 2023. Assuming SLB had acquired Aker’s subsea business as of January 1, 2022, </w:t>
      </w:r>
      <w:r>
        <w:rPr>
          <w:rFonts w:ascii="Arial" w:cs="Arial" w:eastAsia="Arial" w:hAnsi="Arial"/>
          <w:sz w:val="16"/>
          <w:szCs w:val="16"/>
          <w:i w:val="1"/>
          <w:iCs w:val="1"/>
          <w:color w:val="auto"/>
        </w:rPr>
        <w:t>Net income attributable to SLB</w:t>
      </w:r>
      <w:r>
        <w:rPr>
          <w:rFonts w:ascii="Arial" w:cs="Arial" w:eastAsia="Arial" w:hAnsi="Arial"/>
          <w:sz w:val="16"/>
          <w:szCs w:val="16"/>
          <w:color w:val="auto"/>
        </w:rPr>
        <w:t xml:space="preserve"> and diluted earnings per share on a pro forma basis would not be materially different from SLB’s reported results for the years ended December 31, 2023 and 2022, respectively.</w:t>
      </w:r>
    </w:p>
    <w:p>
      <w:pPr>
        <w:spacing w:after="0" w:line="174" w:lineRule="exact"/>
        <w:rPr>
          <w:sz w:val="20"/>
          <w:szCs w:val="20"/>
          <w:color w:val="auto"/>
        </w:rPr>
      </w:pPr>
    </w:p>
    <w:p>
      <w:pPr>
        <w:ind w:left="220" w:hanging="214"/>
        <w:spacing w:after="0"/>
        <w:tabs>
          <w:tab w:leader="none" w:pos="22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Goodwill</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goodwill by segment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6"/>
          </w:tcPr>
          <w:p>
            <w:pPr>
              <w:spacing w:after="0"/>
              <w:rPr>
                <w:sz w:val="20"/>
                <w:szCs w:val="20"/>
                <w:color w:val="auto"/>
              </w:rPr>
            </w:pPr>
            <w:r>
              <w:rPr>
                <w:rFonts w:ascii="Arial" w:cs="Arial" w:eastAsia="Arial" w:hAnsi="Arial"/>
                <w:sz w:val="14"/>
                <w:szCs w:val="14"/>
                <w:i w:val="1"/>
                <w:iCs w:val="1"/>
                <w:color w:val="auto"/>
              </w:rPr>
              <w:t>(Stated in millions)</w:t>
            </w:r>
          </w:p>
        </w:tc>
      </w:tr>
      <w:tr>
        <w:trPr>
          <w:trHeight w:val="355"/>
        </w:trPr>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tcPr>
          <w:p>
            <w:pPr>
              <w:jc w:val="center"/>
              <w:ind w:right="440"/>
              <w:spacing w:after="0"/>
              <w:rPr>
                <w:sz w:val="20"/>
                <w:szCs w:val="20"/>
                <w:color w:val="auto"/>
              </w:rPr>
            </w:pPr>
            <w:r>
              <w:rPr>
                <w:rFonts w:ascii="Arial" w:cs="Arial" w:eastAsia="Arial" w:hAnsi="Arial"/>
                <w:sz w:val="16"/>
                <w:szCs w:val="16"/>
                <w:color w:val="auto"/>
              </w:rPr>
              <w:t>Digital &amp;</w:t>
            </w: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Reservoir</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center"/>
              <w:ind w:left="80"/>
              <w:spacing w:after="0"/>
              <w:rPr>
                <w:sz w:val="20"/>
                <w:szCs w:val="20"/>
                <w:color w:val="auto"/>
              </w:rPr>
            </w:pPr>
            <w:r>
              <w:rPr>
                <w:rFonts w:ascii="Arial" w:cs="Arial" w:eastAsia="Arial" w:hAnsi="Arial"/>
                <w:sz w:val="16"/>
                <w:szCs w:val="16"/>
                <w:color w:val="auto"/>
                <w:w w:val="96"/>
              </w:rPr>
              <w:t>Well</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Production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0"/>
        </w:trPr>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Integration</w:t>
            </w:r>
          </w:p>
        </w:tc>
        <w:tc>
          <w:tcPr>
            <w:tcW w:w="240" w:type="dxa"/>
            <w:vAlign w:val="bottom"/>
          </w:tcPr>
          <w:p>
            <w:pPr>
              <w:spacing w:after="0"/>
              <w:rPr>
                <w:sz w:val="17"/>
                <w:szCs w:val="17"/>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Performance</w:t>
            </w:r>
          </w:p>
        </w:tc>
        <w:tc>
          <w:tcPr>
            <w:tcW w:w="200" w:type="dxa"/>
            <w:vAlign w:val="bottom"/>
          </w:tcPr>
          <w:p>
            <w:pPr>
              <w:spacing w:after="0"/>
              <w:rPr>
                <w:sz w:val="17"/>
                <w:szCs w:val="17"/>
                <w:color w:val="auto"/>
              </w:rPr>
            </w:pPr>
          </w:p>
        </w:tc>
        <w:tc>
          <w:tcPr>
            <w:tcW w:w="9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color w:val="auto"/>
              </w:rPr>
              <w:t>Construction</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Systems</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17"/>
                <w:szCs w:val="17"/>
                <w:color w:val="auto"/>
              </w:rPr>
            </w:pPr>
          </w:p>
        </w:tc>
      </w:tr>
      <w:tr>
        <w:trPr>
          <w:trHeight w:val="180"/>
        </w:trPr>
        <w:tc>
          <w:tcPr>
            <w:tcW w:w="3160" w:type="dxa"/>
            <w:vAlign w:val="bottom"/>
            <w:gridSpan w:val="3"/>
            <w:shd w:val="clear" w:color="auto" w:fill="CFF0FC"/>
          </w:tcPr>
          <w:p>
            <w:pPr>
              <w:ind w:left="20"/>
              <w:spacing w:after="0" w:line="180" w:lineRule="exact"/>
              <w:rPr>
                <w:sz w:val="20"/>
                <w:szCs w:val="20"/>
                <w:color w:val="auto"/>
              </w:rPr>
            </w:pPr>
            <w:r>
              <w:rPr>
                <w:rFonts w:ascii="Arial" w:cs="Arial" w:eastAsia="Arial" w:hAnsi="Arial"/>
                <w:sz w:val="16"/>
                <w:szCs w:val="16"/>
                <w:color w:val="auto"/>
              </w:rPr>
              <w:t>Balance, December 31, 2022</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2,044</w:t>
            </w:r>
          </w:p>
        </w:tc>
        <w:tc>
          <w:tcPr>
            <w:tcW w:w="24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40"/>
              <w:spacing w:after="0" w:line="180" w:lineRule="exact"/>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3,804</w:t>
            </w:r>
          </w:p>
        </w:tc>
        <w:tc>
          <w:tcPr>
            <w:tcW w:w="360" w:type="dxa"/>
            <w:vAlign w:val="bottom"/>
            <w:gridSpan w:val="2"/>
            <w:shd w:val="clear" w:color="auto" w:fill="CFF0FC"/>
          </w:tcPr>
          <w:p>
            <w:pPr>
              <w:jc w:val="center"/>
              <w:ind w:left="100"/>
              <w:spacing w:after="0" w:line="180" w:lineRule="exact"/>
              <w:rPr>
                <w:sz w:val="20"/>
                <w:szCs w:val="20"/>
                <w:color w:val="auto"/>
              </w:rPr>
            </w:pPr>
            <w:r>
              <w:rPr>
                <w:rFonts w:ascii="Arial" w:cs="Arial" w:eastAsia="Arial" w:hAnsi="Arial"/>
                <w:sz w:val="16"/>
                <w:szCs w:val="16"/>
                <w:color w:val="auto"/>
              </w:rPr>
              <w:t>$</w:t>
            </w:r>
          </w:p>
        </w:tc>
        <w:tc>
          <w:tcPr>
            <w:tcW w:w="800" w:type="dxa"/>
            <w:vAlign w:val="bottom"/>
            <w:gridSpan w:val="4"/>
            <w:shd w:val="clear" w:color="auto" w:fill="CFF0FC"/>
          </w:tcPr>
          <w:p>
            <w:pPr>
              <w:jc w:val="right"/>
              <w:spacing w:after="0" w:line="180" w:lineRule="exact"/>
              <w:rPr>
                <w:sz w:val="20"/>
                <w:szCs w:val="20"/>
                <w:color w:val="auto"/>
              </w:rPr>
            </w:pPr>
            <w:r>
              <w:rPr>
                <w:rFonts w:ascii="Arial" w:cs="Arial" w:eastAsia="Arial" w:hAnsi="Arial"/>
                <w:sz w:val="16"/>
                <w:szCs w:val="16"/>
                <w:color w:val="auto"/>
              </w:rPr>
              <w:t>6,281</w:t>
            </w:r>
          </w:p>
        </w:tc>
        <w:tc>
          <w:tcPr>
            <w:tcW w:w="380" w:type="dxa"/>
            <w:vAlign w:val="bottom"/>
            <w:gridSpan w:val="3"/>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853</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w:t>
            </w:r>
          </w:p>
        </w:tc>
        <w:tc>
          <w:tcPr>
            <w:tcW w:w="340" w:type="dxa"/>
            <w:vAlign w:val="bottom"/>
            <w:gridSpan w:val="4"/>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12,982</w:t>
            </w:r>
          </w:p>
        </w:tc>
        <w:tc>
          <w:tcPr>
            <w:tcW w:w="100" w:type="dxa"/>
            <w:vAlign w:val="bottom"/>
            <w:shd w:val="clear" w:color="auto" w:fill="CFF0FC"/>
          </w:tcPr>
          <w:p>
            <w:pPr>
              <w:spacing w:after="0"/>
              <w:rPr>
                <w:sz w:val="15"/>
                <w:szCs w:val="15"/>
                <w:color w:val="auto"/>
              </w:rPr>
            </w:pPr>
          </w:p>
        </w:tc>
      </w:tr>
      <w:tr>
        <w:trPr>
          <w:trHeight w:val="186"/>
        </w:trPr>
        <w:tc>
          <w:tcPr>
            <w:tcW w:w="3160" w:type="dxa"/>
            <w:vAlign w:val="bottom"/>
            <w:gridSpan w:val="3"/>
          </w:tcPr>
          <w:p>
            <w:pPr>
              <w:ind w:left="20"/>
              <w:spacing w:after="0"/>
              <w:rPr>
                <w:sz w:val="20"/>
                <w:szCs w:val="20"/>
                <w:color w:val="auto"/>
              </w:rPr>
            </w:pPr>
            <w:r>
              <w:rPr>
                <w:rFonts w:ascii="Arial" w:cs="Arial" w:eastAsia="Arial" w:hAnsi="Arial"/>
                <w:sz w:val="16"/>
                <w:szCs w:val="16"/>
                <w:color w:val="auto"/>
              </w:rPr>
              <w:t>Acquisitions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136</w:t>
            </w: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966</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w:t>
            </w:r>
          </w:p>
        </w:tc>
        <w:tc>
          <w:tcPr>
            <w:tcW w:w="100" w:type="dxa"/>
            <w:vAlign w:val="bottom"/>
          </w:tcPr>
          <w:p>
            <w:pPr>
              <w:spacing w:after="0"/>
              <w:rPr>
                <w:sz w:val="16"/>
                <w:szCs w:val="16"/>
                <w:color w:val="auto"/>
              </w:rPr>
            </w:pPr>
          </w:p>
        </w:tc>
      </w:tr>
      <w:tr>
        <w:trPr>
          <w:trHeight w:val="180"/>
        </w:trPr>
        <w:tc>
          <w:tcPr>
            <w:tcW w:w="3160" w:type="dxa"/>
            <w:vAlign w:val="bottom"/>
            <w:gridSpan w:val="3"/>
            <w:shd w:val="clear" w:color="auto" w:fill="CFF0FC"/>
          </w:tcPr>
          <w:p>
            <w:pPr>
              <w:ind w:left="20"/>
              <w:spacing w:after="0" w:line="180" w:lineRule="exact"/>
              <w:rPr>
                <w:sz w:val="20"/>
                <w:szCs w:val="20"/>
                <w:color w:val="auto"/>
              </w:rPr>
            </w:pPr>
            <w:r>
              <w:rPr>
                <w:rFonts w:ascii="Arial" w:cs="Arial" w:eastAsia="Arial" w:hAnsi="Arial"/>
                <w:sz w:val="16"/>
                <w:szCs w:val="16"/>
                <w:color w:val="auto"/>
              </w:rPr>
              <w:t>Balance, December 31, 2023</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2,044</w:t>
            </w:r>
          </w:p>
        </w:tc>
        <w:tc>
          <w:tcPr>
            <w:tcW w:w="2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3,804</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gridSpan w:val="4"/>
            <w:shd w:val="clear" w:color="auto" w:fill="CFF0FC"/>
          </w:tcPr>
          <w:p>
            <w:pPr>
              <w:jc w:val="right"/>
              <w:spacing w:after="0" w:line="180" w:lineRule="exact"/>
              <w:rPr>
                <w:sz w:val="20"/>
                <w:szCs w:val="20"/>
                <w:color w:val="auto"/>
              </w:rPr>
            </w:pPr>
            <w:r>
              <w:rPr>
                <w:rFonts w:ascii="Arial" w:cs="Arial" w:eastAsia="Arial" w:hAnsi="Arial"/>
                <w:sz w:val="16"/>
                <w:szCs w:val="16"/>
                <w:color w:val="auto"/>
              </w:rPr>
              <w:t>6,417</w:t>
            </w: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1,819</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14,084</w:t>
            </w:r>
          </w:p>
        </w:tc>
        <w:tc>
          <w:tcPr>
            <w:tcW w:w="100" w:type="dxa"/>
            <w:vAlign w:val="bottom"/>
            <w:shd w:val="clear" w:color="auto" w:fill="CFF0FC"/>
          </w:tcPr>
          <w:p>
            <w:pPr>
              <w:spacing w:after="0"/>
              <w:rPr>
                <w:sz w:val="15"/>
                <w:szCs w:val="15"/>
                <w:color w:val="auto"/>
              </w:rPr>
            </w:pPr>
          </w:p>
        </w:tc>
      </w:tr>
      <w:tr>
        <w:trPr>
          <w:trHeight w:val="186"/>
        </w:trPr>
        <w:tc>
          <w:tcPr>
            <w:tcW w:w="3160" w:type="dxa"/>
            <w:vAlign w:val="bottom"/>
            <w:tcBorders>
              <w:bottom w:val="single" w:sz="8" w:color="CFF0FC"/>
            </w:tcBorders>
            <w:gridSpan w:val="3"/>
          </w:tcPr>
          <w:p>
            <w:pPr>
              <w:ind w:left="20"/>
              <w:spacing w:after="0"/>
              <w:rPr>
                <w:sz w:val="20"/>
                <w:szCs w:val="20"/>
                <w:color w:val="auto"/>
              </w:rPr>
            </w:pPr>
            <w:r>
              <w:rPr>
                <w:rFonts w:ascii="Arial" w:cs="Arial" w:eastAsia="Arial" w:hAnsi="Arial"/>
                <w:sz w:val="16"/>
                <w:szCs w:val="16"/>
                <w:color w:val="auto"/>
              </w:rPr>
              <w:t>Acquisitions</w:t>
            </w:r>
          </w:p>
        </w:tc>
        <w:tc>
          <w:tcPr>
            <w:tcW w:w="140" w:type="dxa"/>
            <w:vAlign w:val="bottom"/>
            <w:tcBorders>
              <w:bottom w:val="single" w:sz="8" w:color="CFF0FC"/>
            </w:tcBorders>
          </w:tcPr>
          <w:p>
            <w:pPr>
              <w:spacing w:after="0"/>
              <w:rPr>
                <w:sz w:val="16"/>
                <w:szCs w:val="16"/>
                <w:color w:val="auto"/>
              </w:rPr>
            </w:pPr>
          </w:p>
        </w:tc>
        <w:tc>
          <w:tcPr>
            <w:tcW w:w="88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482</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FF0FC"/>
            </w:tcBorders>
          </w:tcPr>
          <w:p>
            <w:pPr>
              <w:spacing w:after="0"/>
              <w:rPr>
                <w:sz w:val="16"/>
                <w:szCs w:val="16"/>
                <w:color w:val="auto"/>
              </w:rPr>
            </w:pPr>
          </w:p>
        </w:tc>
      </w:tr>
      <w:tr>
        <w:trPr>
          <w:trHeight w:val="220"/>
        </w:trPr>
        <w:tc>
          <w:tcPr>
            <w:tcW w:w="3160" w:type="dxa"/>
            <w:vAlign w:val="bottom"/>
            <w:tcBorders>
              <w:bottom w:val="single" w:sz="8" w:color="CFF0FC"/>
            </w:tcBorders>
            <w:gridSpan w:val="3"/>
            <w:shd w:val="clear" w:color="auto" w:fill="CFF0FC"/>
          </w:tcPr>
          <w:p>
            <w:pPr>
              <w:ind w:left="20"/>
              <w:spacing w:after="0" w:line="167" w:lineRule="exact"/>
              <w:rPr>
                <w:sz w:val="20"/>
                <w:szCs w:val="20"/>
                <w:color w:val="auto"/>
              </w:rPr>
            </w:pPr>
            <w:r>
              <w:rPr>
                <w:rFonts w:ascii="Arial" w:cs="Arial" w:eastAsia="Arial" w:hAnsi="Arial"/>
                <w:sz w:val="16"/>
                <w:szCs w:val="16"/>
                <w:color w:val="auto"/>
              </w:rPr>
              <w:t>Balance, December 31, 2024</w:t>
            </w:r>
          </w:p>
        </w:tc>
        <w:tc>
          <w:tcPr>
            <w:tcW w:w="1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20"/>
              <w:spacing w:after="0" w:line="167"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gridSpan w:val="2"/>
            <w:shd w:val="clear" w:color="auto" w:fill="CFF0FC"/>
          </w:tcPr>
          <w:p>
            <w:pPr>
              <w:jc w:val="right"/>
              <w:spacing w:after="0" w:line="167" w:lineRule="exact"/>
              <w:rPr>
                <w:sz w:val="20"/>
                <w:szCs w:val="20"/>
                <w:color w:val="auto"/>
              </w:rPr>
            </w:pPr>
            <w:r>
              <w:rPr>
                <w:rFonts w:ascii="Arial" w:cs="Arial" w:eastAsia="Arial" w:hAnsi="Arial"/>
                <w:sz w:val="16"/>
                <w:szCs w:val="16"/>
                <w:color w:val="auto"/>
              </w:rPr>
              <w:t>2,044</w:t>
            </w:r>
          </w:p>
        </w:tc>
        <w:tc>
          <w:tcPr>
            <w:tcW w:w="2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40"/>
              <w:spacing w:after="0" w:line="167" w:lineRule="exact"/>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gridSpan w:val="2"/>
            <w:shd w:val="clear" w:color="auto" w:fill="CFF0FC"/>
          </w:tcPr>
          <w:p>
            <w:pPr>
              <w:jc w:val="right"/>
              <w:spacing w:after="0" w:line="167" w:lineRule="exact"/>
              <w:rPr>
                <w:sz w:val="20"/>
                <w:szCs w:val="20"/>
                <w:color w:val="auto"/>
              </w:rPr>
            </w:pPr>
            <w:r>
              <w:rPr>
                <w:rFonts w:ascii="Arial" w:cs="Arial" w:eastAsia="Arial" w:hAnsi="Arial"/>
                <w:sz w:val="16"/>
                <w:szCs w:val="16"/>
                <w:color w:val="auto"/>
              </w:rPr>
              <w:t>3,804</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center"/>
              <w:spacing w:after="0" w:line="167"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4"/>
            <w:shd w:val="clear" w:color="auto" w:fill="CFF0FC"/>
          </w:tcPr>
          <w:p>
            <w:pPr>
              <w:jc w:val="right"/>
              <w:spacing w:after="0" w:line="167" w:lineRule="exact"/>
              <w:rPr>
                <w:sz w:val="20"/>
                <w:szCs w:val="20"/>
                <w:color w:val="auto"/>
              </w:rPr>
            </w:pPr>
            <w:r>
              <w:rPr>
                <w:rFonts w:ascii="Arial" w:cs="Arial" w:eastAsia="Arial" w:hAnsi="Arial"/>
                <w:sz w:val="16"/>
                <w:szCs w:val="16"/>
                <w:color w:val="auto"/>
              </w:rPr>
              <w:t>6,422</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gridSpan w:val="2"/>
            <w:shd w:val="clear" w:color="auto" w:fill="CFF0FC"/>
          </w:tcPr>
          <w:p>
            <w:pPr>
              <w:jc w:val="right"/>
              <w:spacing w:after="0" w:line="167" w:lineRule="exact"/>
              <w:rPr>
                <w:sz w:val="20"/>
                <w:szCs w:val="20"/>
                <w:color w:val="auto"/>
              </w:rPr>
            </w:pPr>
            <w:r>
              <w:rPr>
                <w:rFonts w:ascii="Arial" w:cs="Arial" w:eastAsia="Arial" w:hAnsi="Arial"/>
                <w:sz w:val="16"/>
                <w:szCs w:val="16"/>
                <w:color w:val="auto"/>
              </w:rPr>
              <w:t>1,841</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gridSpan w:val="2"/>
            <w:shd w:val="clear" w:color="auto" w:fill="CFF0FC"/>
          </w:tcPr>
          <w:p>
            <w:pPr>
              <w:jc w:val="right"/>
              <w:ind w:right="20"/>
              <w:spacing w:after="0" w:line="167" w:lineRule="exact"/>
              <w:rPr>
                <w:sz w:val="20"/>
                <w:szCs w:val="20"/>
                <w:color w:val="auto"/>
              </w:rPr>
            </w:pPr>
            <w:r>
              <w:rPr>
                <w:rFonts w:ascii="Arial" w:cs="Arial" w:eastAsia="Arial" w:hAnsi="Arial"/>
                <w:sz w:val="16"/>
                <w:szCs w:val="16"/>
                <w:color w:val="auto"/>
              </w:rPr>
              <w:t>482</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6"/>
                <w:szCs w:val="16"/>
                <w:color w:val="auto"/>
              </w:rPr>
              <w:t>14,593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539"/>
        </w:trPr>
        <w:tc>
          <w:tcPr>
            <w:tcW w:w="3160" w:type="dxa"/>
            <w:vAlign w:val="bottom"/>
            <w:gridSpan w:val="3"/>
          </w:tcPr>
          <w:p>
            <w:pPr>
              <w:spacing w:after="0"/>
              <w:rPr>
                <w:sz w:val="20"/>
                <w:szCs w:val="20"/>
                <w:color w:val="auto"/>
              </w:rPr>
            </w:pPr>
            <w:r>
              <w:rPr>
                <w:rFonts w:ascii="Arial" w:cs="Arial" w:eastAsia="Arial" w:hAnsi="Arial"/>
                <w:sz w:val="16"/>
                <w:szCs w:val="16"/>
                <w:b w:val="1"/>
                <w:bCs w:val="1"/>
                <w:color w:val="auto"/>
              </w:rPr>
              <w:t>8. Intangible Assets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0"/>
        </w:trPr>
        <w:tc>
          <w:tcPr>
            <w:tcW w:w="3160" w:type="dxa"/>
            <w:vAlign w:val="bottom"/>
            <w:gridSpan w:val="3"/>
          </w:tcPr>
          <w:p>
            <w:pPr>
              <w:spacing w:after="0"/>
              <w:rPr>
                <w:sz w:val="20"/>
                <w:szCs w:val="20"/>
                <w:color w:val="auto"/>
              </w:rPr>
            </w:pPr>
            <w:r>
              <w:rPr>
                <w:rFonts w:ascii="Arial" w:cs="Arial" w:eastAsia="Arial" w:hAnsi="Arial"/>
                <w:sz w:val="16"/>
                <w:szCs w:val="16"/>
                <w:color w:val="auto"/>
              </w:rPr>
              <w:t>Intangible assets consist of the following:</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3"/>
        </w:trPr>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4"/>
                <w:szCs w:val="14"/>
                <w:i w:val="1"/>
                <w:iCs w:val="1"/>
                <w:color w:val="auto"/>
              </w:rPr>
              <w:t>(Stated in millions)</w:t>
            </w:r>
          </w:p>
        </w:tc>
      </w:tr>
      <w:tr>
        <w:trPr>
          <w:trHeight w:val="369"/>
        </w:trPr>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w w:val="95"/>
              </w:rPr>
              <w:t>2023</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6"/>
        </w:trPr>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00"/>
              <w:spacing w:after="0" w:line="165" w:lineRule="exact"/>
              <w:rPr>
                <w:sz w:val="20"/>
                <w:szCs w:val="20"/>
                <w:color w:val="auto"/>
              </w:rPr>
            </w:pPr>
            <w:r>
              <w:rPr>
                <w:rFonts w:ascii="Arial" w:cs="Arial" w:eastAsia="Arial" w:hAnsi="Arial"/>
                <w:sz w:val="16"/>
                <w:szCs w:val="16"/>
                <w:b w:val="1"/>
                <w:bCs w:val="1"/>
                <w:color w:val="auto"/>
              </w:rPr>
              <w:t>Gross</w:t>
            </w:r>
          </w:p>
        </w:tc>
        <w:tc>
          <w:tcPr>
            <w:tcW w:w="240" w:type="dxa"/>
            <w:vAlign w:val="bottom"/>
          </w:tcPr>
          <w:p>
            <w:pPr>
              <w:spacing w:after="0"/>
              <w:rPr>
                <w:sz w:val="14"/>
                <w:szCs w:val="14"/>
                <w:color w:val="auto"/>
              </w:rPr>
            </w:pPr>
          </w:p>
        </w:tc>
        <w:tc>
          <w:tcPr>
            <w:tcW w:w="1320" w:type="dxa"/>
            <w:vAlign w:val="bottom"/>
            <w:gridSpan w:val="3"/>
          </w:tcPr>
          <w:p>
            <w:pPr>
              <w:jc w:val="right"/>
              <w:ind w:right="80"/>
              <w:spacing w:after="0" w:line="165"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4"/>
                <w:szCs w:val="14"/>
                <w:color w:val="auto"/>
              </w:rPr>
            </w:pPr>
          </w:p>
        </w:tc>
        <w:tc>
          <w:tcPr>
            <w:tcW w:w="1080" w:type="dxa"/>
            <w:vAlign w:val="bottom"/>
            <w:gridSpan w:val="4"/>
          </w:tcPr>
          <w:p>
            <w:pPr>
              <w:jc w:val="center"/>
              <w:spacing w:after="0" w:line="165" w:lineRule="exact"/>
              <w:rPr>
                <w:sz w:val="20"/>
                <w:szCs w:val="20"/>
                <w:color w:val="auto"/>
              </w:rPr>
            </w:pPr>
            <w:r>
              <w:rPr>
                <w:rFonts w:ascii="Arial" w:cs="Arial" w:eastAsia="Arial" w:hAnsi="Arial"/>
                <w:sz w:val="16"/>
                <w:szCs w:val="16"/>
                <w:b w:val="1"/>
                <w:bCs w:val="1"/>
                <w:color w:val="auto"/>
                <w:w w:val="99"/>
              </w:rPr>
              <w:t>Net Book</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jc w:val="right"/>
              <w:ind w:right="540"/>
              <w:spacing w:after="0" w:line="165" w:lineRule="exact"/>
              <w:rPr>
                <w:sz w:val="20"/>
                <w:szCs w:val="20"/>
                <w:color w:val="auto"/>
              </w:rPr>
            </w:pPr>
            <w:r>
              <w:rPr>
                <w:rFonts w:ascii="Arial" w:cs="Arial" w:eastAsia="Arial" w:hAnsi="Arial"/>
                <w:sz w:val="16"/>
                <w:szCs w:val="16"/>
                <w:color w:val="auto"/>
              </w:rPr>
              <w:t>Gross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right"/>
              <w:ind w:right="160"/>
              <w:spacing w:after="0" w:line="165" w:lineRule="exact"/>
              <w:rPr>
                <w:sz w:val="20"/>
                <w:szCs w:val="20"/>
                <w:color w:val="auto"/>
              </w:rPr>
            </w:pPr>
            <w:r>
              <w:rPr>
                <w:rFonts w:ascii="Arial" w:cs="Arial" w:eastAsia="Arial" w:hAnsi="Arial"/>
                <w:sz w:val="16"/>
                <w:szCs w:val="16"/>
                <w:color w:val="auto"/>
                <w:w w:val="97"/>
              </w:rPr>
              <w:t>Accumulated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80"/>
              <w:spacing w:after="0" w:line="165" w:lineRule="exact"/>
              <w:rPr>
                <w:sz w:val="20"/>
                <w:szCs w:val="20"/>
                <w:color w:val="auto"/>
              </w:rPr>
            </w:pPr>
            <w:r>
              <w:rPr>
                <w:rFonts w:ascii="Arial" w:cs="Arial" w:eastAsia="Arial" w:hAnsi="Arial"/>
                <w:sz w:val="16"/>
                <w:szCs w:val="16"/>
                <w:color w:val="auto"/>
              </w:rPr>
              <w:t>Net Book</w:t>
            </w:r>
          </w:p>
        </w:tc>
        <w:tc>
          <w:tcPr>
            <w:tcW w:w="100" w:type="dxa"/>
            <w:vAlign w:val="bottom"/>
          </w:tcPr>
          <w:p>
            <w:pPr>
              <w:spacing w:after="0"/>
              <w:rPr>
                <w:sz w:val="14"/>
                <w:szCs w:val="14"/>
                <w:color w:val="auto"/>
              </w:rPr>
            </w:pPr>
          </w:p>
        </w:tc>
      </w:tr>
      <w:tr>
        <w:trPr>
          <w:trHeight w:val="200"/>
        </w:trPr>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Book Value</w:t>
            </w:r>
          </w:p>
        </w:tc>
        <w:tc>
          <w:tcPr>
            <w:tcW w:w="240" w:type="dxa"/>
            <w:vAlign w:val="bottom"/>
          </w:tcPr>
          <w:p>
            <w:pPr>
              <w:spacing w:after="0"/>
              <w:rPr>
                <w:sz w:val="17"/>
                <w:szCs w:val="17"/>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6"/>
                <w:szCs w:val="16"/>
                <w:b w:val="1"/>
                <w:bCs w:val="1"/>
                <w:color w:val="auto"/>
                <w:w w:val="98"/>
              </w:rPr>
              <w:t>Value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color w:val="auto"/>
                <w:w w:val="97"/>
              </w:rPr>
              <w:t>Book Value</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w w:val="98"/>
              </w:rPr>
              <w:t>Amortization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0"/>
              <w:spacing w:after="0"/>
              <w:rPr>
                <w:sz w:val="20"/>
                <w:szCs w:val="20"/>
                <w:color w:val="auto"/>
              </w:rPr>
            </w:pPr>
            <w:r>
              <w:rPr>
                <w:rFonts w:ascii="Arial" w:cs="Arial" w:eastAsia="Arial" w:hAnsi="Arial"/>
                <w:sz w:val="16"/>
                <w:szCs w:val="16"/>
                <w:color w:val="auto"/>
              </w:rPr>
              <w:t>Value</w:t>
            </w:r>
          </w:p>
        </w:tc>
        <w:tc>
          <w:tcPr>
            <w:tcW w:w="100" w:type="dxa"/>
            <w:vAlign w:val="bottom"/>
          </w:tcPr>
          <w:p>
            <w:pPr>
              <w:spacing w:after="0"/>
              <w:rPr>
                <w:sz w:val="17"/>
                <w:szCs w:val="17"/>
                <w:color w:val="auto"/>
              </w:rPr>
            </w:pPr>
          </w:p>
        </w:tc>
      </w:tr>
      <w:tr>
        <w:trPr>
          <w:trHeight w:val="180"/>
        </w:trPr>
        <w:tc>
          <w:tcPr>
            <w:tcW w:w="3160" w:type="dxa"/>
            <w:vAlign w:val="bottom"/>
            <w:gridSpan w:val="3"/>
            <w:shd w:val="clear" w:color="auto" w:fill="CFF0FC"/>
          </w:tcPr>
          <w:p>
            <w:pPr>
              <w:ind w:left="20"/>
              <w:spacing w:after="0" w:line="180" w:lineRule="exact"/>
              <w:rPr>
                <w:sz w:val="20"/>
                <w:szCs w:val="20"/>
                <w:color w:val="auto"/>
              </w:rPr>
            </w:pPr>
            <w:r>
              <w:rPr>
                <w:rFonts w:ascii="Arial" w:cs="Arial" w:eastAsia="Arial" w:hAnsi="Arial"/>
                <w:sz w:val="16"/>
                <w:szCs w:val="16"/>
                <w:color w:val="auto"/>
              </w:rPr>
              <w:t>Customer relationships</w:t>
            </w:r>
          </w:p>
        </w:tc>
        <w:tc>
          <w:tcPr>
            <w:tcW w:w="1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08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1,887</w:t>
            </w:r>
          </w:p>
        </w:tc>
        <w:tc>
          <w:tcPr>
            <w:tcW w:w="800" w:type="dxa"/>
            <w:vAlign w:val="bottom"/>
            <w:gridSpan w:val="2"/>
            <w:shd w:val="clear" w:color="auto" w:fill="CFF0FC"/>
          </w:tcPr>
          <w:p>
            <w:pPr>
              <w:jc w:val="center"/>
              <w:ind w:right="140"/>
              <w:spacing w:after="0" w:line="180" w:lineRule="exact"/>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799</w:t>
            </w:r>
          </w:p>
        </w:tc>
        <w:tc>
          <w:tcPr>
            <w:tcW w:w="460" w:type="dxa"/>
            <w:vAlign w:val="bottom"/>
            <w:gridSpan w:val="2"/>
            <w:shd w:val="clear" w:color="auto" w:fill="CFF0FC"/>
          </w:tcPr>
          <w:p>
            <w:pPr>
              <w:jc w:val="right"/>
              <w:ind w:right="60"/>
              <w:spacing w:after="0" w:line="180" w:lineRule="exact"/>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1,088</w:t>
            </w:r>
          </w:p>
        </w:tc>
        <w:tc>
          <w:tcPr>
            <w:tcW w:w="2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1,887</w:t>
            </w:r>
          </w:p>
        </w:tc>
        <w:tc>
          <w:tcPr>
            <w:tcW w:w="220" w:type="dxa"/>
            <w:vAlign w:val="bottom"/>
            <w:shd w:val="clear" w:color="auto" w:fill="CFF0FC"/>
          </w:tcPr>
          <w:p>
            <w:pPr>
              <w:spacing w:after="0"/>
              <w:rPr>
                <w:sz w:val="15"/>
                <w:szCs w:val="15"/>
                <w:color w:val="auto"/>
              </w:rPr>
            </w:pPr>
          </w:p>
        </w:tc>
        <w:tc>
          <w:tcPr>
            <w:tcW w:w="12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w w:val="89"/>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709</w:t>
            </w:r>
          </w:p>
        </w:tc>
        <w:tc>
          <w:tcPr>
            <w:tcW w:w="20" w:type="dxa"/>
            <w:vAlign w:val="bottom"/>
            <w:shd w:val="clear" w:color="auto" w:fill="CFF0FC"/>
          </w:tcPr>
          <w:p>
            <w:pPr>
              <w:spacing w:after="0"/>
              <w:rPr>
                <w:sz w:val="15"/>
                <w:szCs w:val="15"/>
                <w:color w:val="auto"/>
              </w:rPr>
            </w:pPr>
          </w:p>
        </w:tc>
        <w:tc>
          <w:tcPr>
            <w:tcW w:w="340" w:type="dxa"/>
            <w:vAlign w:val="bottom"/>
            <w:gridSpan w:val="4"/>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1,178</w:t>
            </w:r>
          </w:p>
        </w:tc>
        <w:tc>
          <w:tcPr>
            <w:tcW w:w="100" w:type="dxa"/>
            <w:vAlign w:val="bottom"/>
            <w:shd w:val="clear" w:color="auto" w:fill="CFF0FC"/>
          </w:tcPr>
          <w:p>
            <w:pPr>
              <w:spacing w:after="0"/>
              <w:rPr>
                <w:sz w:val="15"/>
                <w:szCs w:val="15"/>
                <w:color w:val="auto"/>
              </w:rPr>
            </w:pPr>
          </w:p>
        </w:tc>
      </w:tr>
      <w:tr>
        <w:trPr>
          <w:trHeight w:val="186"/>
        </w:trPr>
        <w:tc>
          <w:tcPr>
            <w:tcW w:w="3160" w:type="dxa"/>
            <w:vAlign w:val="bottom"/>
            <w:gridSpan w:val="3"/>
          </w:tcPr>
          <w:p>
            <w:pPr>
              <w:ind w:left="20"/>
              <w:spacing w:after="0"/>
              <w:rPr>
                <w:sz w:val="20"/>
                <w:szCs w:val="20"/>
                <w:color w:val="auto"/>
              </w:rPr>
            </w:pPr>
            <w:r>
              <w:rPr>
                <w:rFonts w:ascii="Arial" w:cs="Arial" w:eastAsia="Arial" w:hAnsi="Arial"/>
                <w:sz w:val="16"/>
                <w:szCs w:val="16"/>
                <w:color w:val="auto"/>
              </w:rPr>
              <w:t>Technology/technical know-how</w:t>
            </w:r>
          </w:p>
        </w:tc>
        <w:tc>
          <w:tcPr>
            <w:tcW w:w="14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1,588</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872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716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1,516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16"/>
                <w:szCs w:val="16"/>
                <w:color w:val="auto"/>
              </w:rPr>
            </w:pPr>
          </w:p>
        </w:tc>
      </w:tr>
      <w:tr>
        <w:trPr>
          <w:trHeight w:val="186"/>
        </w:trPr>
        <w:tc>
          <w:tcPr>
            <w:tcW w:w="31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Trade names</w:t>
            </w: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795</w:t>
            </w:r>
          </w:p>
        </w:tc>
        <w:tc>
          <w:tcPr>
            <w:tcW w:w="2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299</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496</w:t>
            </w: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795</w:t>
            </w: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w:t>
            </w: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FF0FC"/>
          </w:tcPr>
          <w:p>
            <w:pPr>
              <w:spacing w:after="0"/>
              <w:rPr>
                <w:sz w:val="16"/>
                <w:szCs w:val="16"/>
                <w:color w:val="auto"/>
              </w:rPr>
            </w:pPr>
          </w:p>
        </w:tc>
      </w:tr>
      <w:tr>
        <w:trPr>
          <w:trHeight w:val="186"/>
        </w:trPr>
        <w:tc>
          <w:tcPr>
            <w:tcW w:w="3160" w:type="dxa"/>
            <w:vAlign w:val="bottom"/>
            <w:gridSpan w:val="3"/>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1,604</w:t>
            </w:r>
          </w:p>
        </w:tc>
        <w:tc>
          <w:tcPr>
            <w:tcW w:w="2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892</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w:t>
            </w:r>
          </w:p>
        </w:tc>
        <w:tc>
          <w:tcPr>
            <w:tcW w:w="100" w:type="dxa"/>
            <w:vAlign w:val="bottom"/>
          </w:tcPr>
          <w:p>
            <w:pPr>
              <w:spacing w:after="0"/>
              <w:rPr>
                <w:sz w:val="16"/>
                <w:szCs w:val="16"/>
                <w:color w:val="auto"/>
              </w:rPr>
            </w:pPr>
          </w:p>
        </w:tc>
      </w:tr>
      <w:tr>
        <w:trPr>
          <w:trHeight w:val="220"/>
        </w:trPr>
        <w:tc>
          <w:tcPr>
            <w:tcW w:w="2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gridSpan w:val="2"/>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5,874</w:t>
            </w:r>
          </w:p>
        </w:tc>
        <w:tc>
          <w:tcPr>
            <w:tcW w:w="24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center"/>
              <w:ind w:right="380"/>
              <w:spacing w:after="0" w:line="180" w:lineRule="exact"/>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2,862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60"/>
              <w:spacing w:after="0" w:line="180" w:lineRule="exact"/>
              <w:rPr>
                <w:sz w:val="20"/>
                <w:szCs w:val="20"/>
                <w:color w:val="auto"/>
              </w:rPr>
            </w:pPr>
            <w:r>
              <w:rPr>
                <w:rFonts w:ascii="Arial" w:cs="Arial" w:eastAsia="Arial" w:hAnsi="Arial"/>
                <w:sz w:val="16"/>
                <w:szCs w:val="16"/>
                <w:b w:val="1"/>
                <w:bCs w:val="1"/>
                <w:color w:val="auto"/>
                <w:w w:val="89"/>
              </w:rPr>
              <w:t>$</w:t>
            </w:r>
          </w:p>
        </w:tc>
        <w:tc>
          <w:tcPr>
            <w:tcW w:w="2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3,012</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5,780</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2,541</w:t>
            </w: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gridSpan w:val="2"/>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3,239</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3292475</wp:posOffset>
            </wp:positionH>
            <wp:positionV relativeFrom="paragraph">
              <wp:posOffset>-1951990</wp:posOffset>
            </wp:positionV>
            <wp:extent cx="762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-1934845</wp:posOffset>
            </wp:positionV>
            <wp:extent cx="762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-2078990</wp:posOffset>
            </wp:positionV>
            <wp:extent cx="762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-1951990</wp:posOffset>
            </wp:positionV>
            <wp:extent cx="6731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-1934845</wp:posOffset>
            </wp:positionV>
            <wp:extent cx="6731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-2078990</wp:posOffset>
            </wp:positionV>
            <wp:extent cx="6731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-1951990</wp:posOffset>
            </wp:positionV>
            <wp:extent cx="6731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-1934845</wp:posOffset>
            </wp:positionV>
            <wp:extent cx="6731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-2078990</wp:posOffset>
            </wp:positionV>
            <wp:extent cx="6731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5566410</wp:posOffset>
            </wp:positionH>
            <wp:positionV relativeFrom="paragraph">
              <wp:posOffset>-1951990</wp:posOffset>
            </wp:positionV>
            <wp:extent cx="6731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5566410</wp:posOffset>
            </wp:positionH>
            <wp:positionV relativeFrom="paragraph">
              <wp:posOffset>-1934845</wp:posOffset>
            </wp:positionV>
            <wp:extent cx="6731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5566410</wp:posOffset>
            </wp:positionH>
            <wp:positionV relativeFrom="paragraph">
              <wp:posOffset>-2078990</wp:posOffset>
            </wp:positionV>
            <wp:extent cx="6731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6318250</wp:posOffset>
            </wp:positionH>
            <wp:positionV relativeFrom="paragraph">
              <wp:posOffset>-1951990</wp:posOffset>
            </wp:positionV>
            <wp:extent cx="6731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6318250</wp:posOffset>
            </wp:positionH>
            <wp:positionV relativeFrom="paragraph">
              <wp:posOffset>-1934845</wp:posOffset>
            </wp:positionV>
            <wp:extent cx="6731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6318250</wp:posOffset>
            </wp:positionH>
            <wp:positionV relativeFrom="paragraph">
              <wp:posOffset>-2078990</wp:posOffset>
            </wp:positionV>
            <wp:extent cx="6731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-1951990</wp:posOffset>
            </wp:positionV>
            <wp:extent cx="6731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-1934845</wp:posOffset>
            </wp:positionV>
            <wp:extent cx="6731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-2078990</wp:posOffset>
            </wp:positionV>
            <wp:extent cx="6731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2785110</wp:posOffset>
            </wp:positionH>
            <wp:positionV relativeFrom="paragraph">
              <wp:posOffset>-24765</wp:posOffset>
            </wp:positionV>
            <wp:extent cx="762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2785110</wp:posOffset>
            </wp:positionH>
            <wp:positionV relativeFrom="paragraph">
              <wp:posOffset>-7620</wp:posOffset>
            </wp:positionV>
            <wp:extent cx="762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-24765</wp:posOffset>
            </wp:positionV>
            <wp:extent cx="6731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-7620</wp:posOffset>
            </wp:positionV>
            <wp:extent cx="6731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-24765</wp:posOffset>
            </wp:positionV>
            <wp:extent cx="6731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-7620</wp:posOffset>
            </wp:positionV>
            <wp:extent cx="6731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6731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731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6301740</wp:posOffset>
            </wp:positionH>
            <wp:positionV relativeFrom="paragraph">
              <wp:posOffset>-24765</wp:posOffset>
            </wp:positionV>
            <wp:extent cx="6731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6301740</wp:posOffset>
            </wp:positionH>
            <wp:positionV relativeFrom="paragraph">
              <wp:posOffset>-7620</wp:posOffset>
            </wp:positionV>
            <wp:extent cx="6731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-24765</wp:posOffset>
            </wp:positionV>
            <wp:extent cx="6731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-7620</wp:posOffset>
            </wp:positionV>
            <wp:extent cx="6731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Customer relationships are generally amortized over periods ranging from 18 to 28 years, technology/technical know-how are generally amortized over periods ranging from 10 to 18 years, and trade names are generally amortized over periods ranging from 15 to 30 years.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was $334 million in 2024, $314 million in 2023, and $301 million in 2022.</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Based on the carrying value of intangible assets at December 31, 2024, amortization expense for the subsequent five years is estimated to be as follows: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2025: $322 million, 2026: $312 million, 2027: $308 million, 2028: $298 million and 2029: $285 million.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41" w:name="page42"/>
    <w:bookmarkEnd w:id="41"/>
    <w:p>
      <w:pPr>
        <w:ind w:left="220" w:hanging="214"/>
        <w:spacing w:after="0"/>
        <w:tabs>
          <w:tab w:leader="none" w:pos="22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Long-term Debt and Debt Facility Agreements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consists of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369"/>
        </w:trPr>
        <w:tc>
          <w:tcPr>
            <w:tcW w:w="50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4"/>
                <w:szCs w:val="24"/>
                <w:color w:val="auto"/>
              </w:rPr>
            </w:pPr>
          </w:p>
        </w:tc>
      </w:tr>
      <w:tr>
        <w:trPr>
          <w:trHeight w:val="180"/>
        </w:trPr>
        <w:tc>
          <w:tcPr>
            <w:tcW w:w="50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3.90%</w:t>
            </w:r>
          </w:p>
        </w:tc>
        <w:tc>
          <w:tcPr>
            <w:tcW w:w="71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Senior Notes due 2028</w:t>
            </w:r>
          </w:p>
        </w:tc>
        <w:tc>
          <w:tcPr>
            <w:tcW w:w="1020" w:type="dxa"/>
            <w:vAlign w:val="bottom"/>
            <w:shd w:val="clear" w:color="auto" w:fill="CFF0FC"/>
          </w:tcPr>
          <w:p>
            <w:pPr>
              <w:jc w:val="right"/>
              <w:ind w:right="840"/>
              <w:spacing w:after="0" w:line="180" w:lineRule="exact"/>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1,478</w:t>
            </w:r>
          </w:p>
        </w:tc>
        <w:tc>
          <w:tcPr>
            <w:tcW w:w="54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1,469</w:t>
            </w:r>
          </w:p>
        </w:tc>
        <w:tc>
          <w:tcPr>
            <w:tcW w:w="100" w:type="dxa"/>
            <w:vAlign w:val="bottom"/>
            <w:shd w:val="clear" w:color="auto" w:fill="CFF0FC"/>
          </w:tcPr>
          <w:p>
            <w:pPr>
              <w:spacing w:after="0"/>
              <w:rPr>
                <w:sz w:val="15"/>
                <w:szCs w:val="15"/>
                <w:color w:val="auto"/>
              </w:rPr>
            </w:pPr>
          </w:p>
        </w:tc>
      </w:tr>
      <w:tr>
        <w:trPr>
          <w:trHeight w:val="186"/>
        </w:trPr>
        <w:tc>
          <w:tcPr>
            <w:tcW w:w="500" w:type="dxa"/>
            <w:vAlign w:val="bottom"/>
          </w:tcPr>
          <w:p>
            <w:pPr>
              <w:ind w:left="20"/>
              <w:spacing w:after="0"/>
              <w:rPr>
                <w:sz w:val="20"/>
                <w:szCs w:val="20"/>
                <w:color w:val="auto"/>
              </w:rPr>
            </w:pPr>
            <w:r>
              <w:rPr>
                <w:rFonts w:ascii="Arial" w:cs="Arial" w:eastAsia="Arial" w:hAnsi="Arial"/>
                <w:sz w:val="16"/>
                <w:szCs w:val="16"/>
                <w:color w:val="auto"/>
              </w:rPr>
              <w:t>2.65%</w:t>
            </w:r>
          </w:p>
        </w:tc>
        <w:tc>
          <w:tcPr>
            <w:tcW w:w="7160" w:type="dxa"/>
            <w:vAlign w:val="bottom"/>
          </w:tcPr>
          <w:p>
            <w:pPr>
              <w:ind w:left="20"/>
              <w:spacing w:after="0"/>
              <w:rPr>
                <w:sz w:val="20"/>
                <w:szCs w:val="20"/>
                <w:color w:val="auto"/>
              </w:rPr>
            </w:pPr>
            <w:r>
              <w:rPr>
                <w:rFonts w:ascii="Arial" w:cs="Arial" w:eastAsia="Arial" w:hAnsi="Arial"/>
                <w:sz w:val="16"/>
                <w:szCs w:val="16"/>
                <w:color w:val="auto"/>
              </w:rPr>
              <w:t>Senior Notes due 2030</w:t>
            </w: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1,250</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6"/>
                <w:szCs w:val="16"/>
                <w:color w:val="auto"/>
              </w:rPr>
            </w:pPr>
          </w:p>
        </w:tc>
      </w:tr>
      <w:tr>
        <w:trPr>
          <w:trHeight w:val="186"/>
        </w:trPr>
        <w:tc>
          <w:tcPr>
            <w:tcW w:w="76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1.375% Guaranteed Notes due 2026</w:t>
            </w: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1,040</w:t>
            </w: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1,104</w:t>
            </w:r>
          </w:p>
        </w:tc>
        <w:tc>
          <w:tcPr>
            <w:tcW w:w="100" w:type="dxa"/>
            <w:vAlign w:val="bottom"/>
            <w:shd w:val="clear" w:color="auto" w:fill="CFF0FC"/>
          </w:tcPr>
          <w:p>
            <w:pPr>
              <w:spacing w:after="0"/>
              <w:rPr>
                <w:sz w:val="16"/>
                <w:szCs w:val="16"/>
                <w:color w:val="auto"/>
              </w:rPr>
            </w:pPr>
          </w:p>
        </w:tc>
      </w:tr>
      <w:tr>
        <w:trPr>
          <w:trHeight w:val="186"/>
        </w:trPr>
        <w:tc>
          <w:tcPr>
            <w:tcW w:w="500" w:type="dxa"/>
            <w:vAlign w:val="bottom"/>
          </w:tcPr>
          <w:p>
            <w:pPr>
              <w:ind w:left="20"/>
              <w:spacing w:after="0"/>
              <w:rPr>
                <w:sz w:val="20"/>
                <w:szCs w:val="20"/>
                <w:color w:val="auto"/>
              </w:rPr>
            </w:pPr>
            <w:r>
              <w:rPr>
                <w:rFonts w:ascii="Arial" w:cs="Arial" w:eastAsia="Arial" w:hAnsi="Arial"/>
                <w:sz w:val="16"/>
                <w:szCs w:val="16"/>
                <w:color w:val="auto"/>
              </w:rPr>
              <w:t>2.00%</w:t>
            </w:r>
          </w:p>
        </w:tc>
        <w:tc>
          <w:tcPr>
            <w:tcW w:w="7160" w:type="dxa"/>
            <w:vAlign w:val="bottom"/>
          </w:tcPr>
          <w:p>
            <w:pPr>
              <w:ind w:left="20"/>
              <w:spacing w:after="0"/>
              <w:rPr>
                <w:sz w:val="20"/>
                <w:szCs w:val="20"/>
                <w:color w:val="auto"/>
              </w:rPr>
            </w:pPr>
            <w:r>
              <w:rPr>
                <w:rFonts w:ascii="Arial" w:cs="Arial" w:eastAsia="Arial" w:hAnsi="Arial"/>
                <w:sz w:val="16"/>
                <w:szCs w:val="16"/>
                <w:color w:val="auto"/>
              </w:rPr>
              <w:t>Guaranteed Notes due 2032</w:t>
            </w: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1,034</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16"/>
                <w:szCs w:val="16"/>
                <w:color w:val="auto"/>
              </w:rPr>
            </w:pPr>
          </w:p>
        </w:tc>
      </w:tr>
      <w:tr>
        <w:trPr>
          <w:trHeight w:val="18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0.25%</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 due 2027</w:t>
            </w: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936</w:t>
            </w: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994</w:t>
            </w:r>
          </w:p>
        </w:tc>
        <w:tc>
          <w:tcPr>
            <w:tcW w:w="100" w:type="dxa"/>
            <w:vAlign w:val="bottom"/>
            <w:shd w:val="clear" w:color="auto" w:fill="CFF0FC"/>
          </w:tcPr>
          <w:p>
            <w:pPr>
              <w:spacing w:after="0"/>
              <w:rPr>
                <w:sz w:val="16"/>
                <w:szCs w:val="16"/>
                <w:color w:val="auto"/>
              </w:rPr>
            </w:pPr>
          </w:p>
        </w:tc>
      </w:tr>
      <w:tr>
        <w:trPr>
          <w:trHeight w:val="186"/>
        </w:trPr>
        <w:tc>
          <w:tcPr>
            <w:tcW w:w="500" w:type="dxa"/>
            <w:vAlign w:val="bottom"/>
          </w:tcPr>
          <w:p>
            <w:pPr>
              <w:ind w:left="20"/>
              <w:spacing w:after="0"/>
              <w:rPr>
                <w:sz w:val="20"/>
                <w:szCs w:val="20"/>
                <w:color w:val="auto"/>
              </w:rPr>
            </w:pPr>
            <w:r>
              <w:rPr>
                <w:rFonts w:ascii="Arial" w:cs="Arial" w:eastAsia="Arial" w:hAnsi="Arial"/>
                <w:sz w:val="16"/>
                <w:szCs w:val="16"/>
                <w:color w:val="auto"/>
              </w:rPr>
              <w:t>0.50%</w:t>
            </w:r>
          </w:p>
        </w:tc>
        <w:tc>
          <w:tcPr>
            <w:tcW w:w="7160" w:type="dxa"/>
            <w:vAlign w:val="bottom"/>
          </w:tcPr>
          <w:p>
            <w:pPr>
              <w:ind w:left="20"/>
              <w:spacing w:after="0"/>
              <w:rPr>
                <w:sz w:val="20"/>
                <w:szCs w:val="20"/>
                <w:color w:val="auto"/>
              </w:rPr>
            </w:pPr>
            <w:r>
              <w:rPr>
                <w:rFonts w:ascii="Arial" w:cs="Arial" w:eastAsia="Arial" w:hAnsi="Arial"/>
                <w:sz w:val="16"/>
                <w:szCs w:val="16"/>
                <w:color w:val="auto"/>
              </w:rPr>
              <w:t>Notes due 2031</w:t>
            </w: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935</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16"/>
                <w:szCs w:val="16"/>
                <w:color w:val="auto"/>
              </w:rPr>
            </w:pPr>
          </w:p>
        </w:tc>
      </w:tr>
      <w:tr>
        <w:trPr>
          <w:trHeight w:val="18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4.30%</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2029</w:t>
            </w: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848</w:t>
            </w: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FF0FC"/>
          </w:tcPr>
          <w:p>
            <w:pPr>
              <w:spacing w:after="0"/>
              <w:rPr>
                <w:sz w:val="16"/>
                <w:szCs w:val="16"/>
                <w:color w:val="auto"/>
              </w:rPr>
            </w:pPr>
          </w:p>
        </w:tc>
      </w:tr>
      <w:tr>
        <w:trPr>
          <w:trHeight w:val="186"/>
        </w:trPr>
        <w:tc>
          <w:tcPr>
            <w:tcW w:w="500" w:type="dxa"/>
            <w:vAlign w:val="bottom"/>
          </w:tcPr>
          <w:p>
            <w:pPr>
              <w:ind w:left="20"/>
              <w:spacing w:after="0"/>
              <w:rPr>
                <w:sz w:val="20"/>
                <w:szCs w:val="20"/>
                <w:color w:val="auto"/>
              </w:rPr>
            </w:pPr>
            <w:r>
              <w:rPr>
                <w:rFonts w:ascii="Arial" w:cs="Arial" w:eastAsia="Arial" w:hAnsi="Arial"/>
                <w:sz w:val="16"/>
                <w:szCs w:val="16"/>
                <w:color w:val="auto"/>
              </w:rPr>
              <w:t>1.00%</w:t>
            </w:r>
          </w:p>
        </w:tc>
        <w:tc>
          <w:tcPr>
            <w:tcW w:w="7160" w:type="dxa"/>
            <w:vAlign w:val="bottom"/>
          </w:tcPr>
          <w:p>
            <w:pPr>
              <w:ind w:left="20"/>
              <w:spacing w:after="0"/>
              <w:rPr>
                <w:sz w:val="20"/>
                <w:szCs w:val="20"/>
                <w:color w:val="auto"/>
              </w:rPr>
            </w:pPr>
            <w:r>
              <w:rPr>
                <w:rFonts w:ascii="Arial" w:cs="Arial" w:eastAsia="Arial" w:hAnsi="Arial"/>
                <w:sz w:val="16"/>
                <w:szCs w:val="16"/>
                <w:color w:val="auto"/>
              </w:rPr>
              <w:t>Guaranteed Notes due 2026</w:t>
            </w: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624</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6"/>
                <w:szCs w:val="16"/>
                <w:color w:val="auto"/>
              </w:rPr>
            </w:pPr>
          </w:p>
        </w:tc>
      </w:tr>
      <w:tr>
        <w:trPr>
          <w:trHeight w:val="18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4.85%</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2033</w:t>
            </w: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498</w:t>
            </w: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FF0FC"/>
          </w:tcPr>
          <w:p>
            <w:pPr>
              <w:spacing w:after="0"/>
              <w:rPr>
                <w:sz w:val="16"/>
                <w:szCs w:val="16"/>
                <w:color w:val="auto"/>
              </w:rPr>
            </w:pPr>
          </w:p>
        </w:tc>
      </w:tr>
      <w:tr>
        <w:trPr>
          <w:trHeight w:val="186"/>
        </w:trPr>
        <w:tc>
          <w:tcPr>
            <w:tcW w:w="500" w:type="dxa"/>
            <w:vAlign w:val="bottom"/>
          </w:tcPr>
          <w:p>
            <w:pPr>
              <w:ind w:left="20"/>
              <w:spacing w:after="0"/>
              <w:rPr>
                <w:sz w:val="20"/>
                <w:szCs w:val="20"/>
                <w:color w:val="auto"/>
              </w:rPr>
            </w:pPr>
            <w:r>
              <w:rPr>
                <w:rFonts w:ascii="Arial" w:cs="Arial" w:eastAsia="Arial" w:hAnsi="Arial"/>
                <w:sz w:val="16"/>
                <w:szCs w:val="16"/>
                <w:color w:val="auto"/>
              </w:rPr>
              <w:t>4.50%</w:t>
            </w:r>
          </w:p>
        </w:tc>
        <w:tc>
          <w:tcPr>
            <w:tcW w:w="7160" w:type="dxa"/>
            <w:vAlign w:val="bottom"/>
          </w:tcPr>
          <w:p>
            <w:pPr>
              <w:ind w:left="20"/>
              <w:spacing w:after="0"/>
              <w:rPr>
                <w:sz w:val="20"/>
                <w:szCs w:val="20"/>
                <w:color w:val="auto"/>
              </w:rPr>
            </w:pPr>
            <w:r>
              <w:rPr>
                <w:rFonts w:ascii="Arial" w:cs="Arial" w:eastAsia="Arial" w:hAnsi="Arial"/>
                <w:sz w:val="16"/>
                <w:szCs w:val="16"/>
                <w:color w:val="auto"/>
              </w:rPr>
              <w:t>Senior Notes due 2028</w:t>
            </w: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497</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6"/>
                <w:szCs w:val="16"/>
                <w:color w:val="auto"/>
              </w:rPr>
            </w:pPr>
          </w:p>
        </w:tc>
      </w:tr>
      <w:tr>
        <w:trPr>
          <w:trHeight w:val="18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5.00%</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2027</w:t>
            </w: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495</w:t>
            </w: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r>
      <w:tr>
        <w:trPr>
          <w:trHeight w:val="186"/>
        </w:trPr>
        <w:tc>
          <w:tcPr>
            <w:tcW w:w="500" w:type="dxa"/>
            <w:vAlign w:val="bottom"/>
          </w:tcPr>
          <w:p>
            <w:pPr>
              <w:ind w:left="20"/>
              <w:spacing w:after="0"/>
              <w:rPr>
                <w:sz w:val="20"/>
                <w:szCs w:val="20"/>
                <w:color w:val="auto"/>
              </w:rPr>
            </w:pPr>
            <w:r>
              <w:rPr>
                <w:rFonts w:ascii="Arial" w:cs="Arial" w:eastAsia="Arial" w:hAnsi="Arial"/>
                <w:sz w:val="16"/>
                <w:szCs w:val="16"/>
                <w:color w:val="auto"/>
              </w:rPr>
              <w:t>5.00%</w:t>
            </w:r>
          </w:p>
        </w:tc>
        <w:tc>
          <w:tcPr>
            <w:tcW w:w="7160" w:type="dxa"/>
            <w:vAlign w:val="bottom"/>
          </w:tcPr>
          <w:p>
            <w:pPr>
              <w:ind w:left="20"/>
              <w:spacing w:after="0"/>
              <w:rPr>
                <w:sz w:val="20"/>
                <w:szCs w:val="20"/>
                <w:color w:val="auto"/>
              </w:rPr>
            </w:pPr>
            <w:r>
              <w:rPr>
                <w:rFonts w:ascii="Arial" w:cs="Arial" w:eastAsia="Arial" w:hAnsi="Arial"/>
                <w:sz w:val="16"/>
                <w:szCs w:val="16"/>
                <w:color w:val="auto"/>
              </w:rPr>
              <w:t>Senior Notes due 2029</w:t>
            </w: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493</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8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5.00%</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2034</w:t>
            </w: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489</w:t>
            </w: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r>
      <w:tr>
        <w:trPr>
          <w:trHeight w:val="186"/>
        </w:trPr>
        <w:tc>
          <w:tcPr>
            <w:tcW w:w="500" w:type="dxa"/>
            <w:vAlign w:val="bottom"/>
          </w:tcPr>
          <w:p>
            <w:pPr>
              <w:ind w:left="20"/>
              <w:spacing w:after="0"/>
              <w:rPr>
                <w:sz w:val="20"/>
                <w:szCs w:val="20"/>
                <w:color w:val="auto"/>
              </w:rPr>
            </w:pPr>
            <w:r>
              <w:rPr>
                <w:rFonts w:ascii="Arial" w:cs="Arial" w:eastAsia="Arial" w:hAnsi="Arial"/>
                <w:sz w:val="16"/>
                <w:szCs w:val="16"/>
                <w:color w:val="auto"/>
              </w:rPr>
              <w:t>7.00%</w:t>
            </w:r>
          </w:p>
        </w:tc>
        <w:tc>
          <w:tcPr>
            <w:tcW w:w="7160" w:type="dxa"/>
            <w:vAlign w:val="bottom"/>
          </w:tcPr>
          <w:p>
            <w:pPr>
              <w:ind w:left="20"/>
              <w:spacing w:after="0"/>
              <w:rPr>
                <w:sz w:val="20"/>
                <w:szCs w:val="20"/>
                <w:color w:val="auto"/>
              </w:rPr>
            </w:pPr>
            <w:r>
              <w:rPr>
                <w:rFonts w:ascii="Arial" w:cs="Arial" w:eastAsia="Arial" w:hAnsi="Arial"/>
                <w:sz w:val="16"/>
                <w:szCs w:val="16"/>
                <w:color w:val="auto"/>
              </w:rPr>
              <w:t>Notes due 2038</w:t>
            </w: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197</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6"/>
                <w:szCs w:val="16"/>
                <w:color w:val="auto"/>
              </w:rPr>
            </w:pPr>
          </w:p>
        </w:tc>
      </w:tr>
      <w:tr>
        <w:trPr>
          <w:trHeight w:val="18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5.95%</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 due 2041</w:t>
            </w: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111</w:t>
            </w: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FF0FC"/>
          </w:tcPr>
          <w:p>
            <w:pPr>
              <w:spacing w:after="0"/>
              <w:rPr>
                <w:sz w:val="16"/>
                <w:szCs w:val="16"/>
                <w:color w:val="auto"/>
              </w:rPr>
            </w:pPr>
          </w:p>
        </w:tc>
      </w:tr>
      <w:tr>
        <w:trPr>
          <w:trHeight w:val="186"/>
        </w:trPr>
        <w:tc>
          <w:tcPr>
            <w:tcW w:w="500" w:type="dxa"/>
            <w:vAlign w:val="bottom"/>
          </w:tcPr>
          <w:p>
            <w:pPr>
              <w:ind w:left="20"/>
              <w:spacing w:after="0"/>
              <w:rPr>
                <w:sz w:val="20"/>
                <w:szCs w:val="20"/>
                <w:color w:val="auto"/>
              </w:rPr>
            </w:pPr>
            <w:r>
              <w:rPr>
                <w:rFonts w:ascii="Arial" w:cs="Arial" w:eastAsia="Arial" w:hAnsi="Arial"/>
                <w:sz w:val="16"/>
                <w:szCs w:val="16"/>
                <w:color w:val="auto"/>
              </w:rPr>
              <w:t>5.13%</w:t>
            </w:r>
          </w:p>
        </w:tc>
        <w:tc>
          <w:tcPr>
            <w:tcW w:w="7160" w:type="dxa"/>
            <w:vAlign w:val="bottom"/>
          </w:tcPr>
          <w:p>
            <w:pPr>
              <w:ind w:left="20"/>
              <w:spacing w:after="0"/>
              <w:rPr>
                <w:sz w:val="20"/>
                <w:szCs w:val="20"/>
                <w:color w:val="auto"/>
              </w:rPr>
            </w:pPr>
            <w:r>
              <w:rPr>
                <w:rFonts w:ascii="Arial" w:cs="Arial" w:eastAsia="Arial" w:hAnsi="Arial"/>
                <w:sz w:val="16"/>
                <w:szCs w:val="16"/>
                <w:color w:val="auto"/>
              </w:rPr>
              <w:t>Notes due 2043</w:t>
            </w: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98</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6"/>
                <w:szCs w:val="16"/>
                <w:color w:val="auto"/>
              </w:rPr>
            </w:pPr>
          </w:p>
        </w:tc>
      </w:tr>
      <w:tr>
        <w:trPr>
          <w:trHeight w:val="18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4.00%</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2025</w:t>
            </w: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CFF0FC"/>
          </w:tcPr>
          <w:p>
            <w:pPr>
              <w:spacing w:after="0"/>
              <w:rPr>
                <w:sz w:val="16"/>
                <w:szCs w:val="16"/>
                <w:color w:val="auto"/>
              </w:rPr>
            </w:pPr>
          </w:p>
        </w:tc>
      </w:tr>
      <w:tr>
        <w:trPr>
          <w:trHeight w:val="186"/>
        </w:trPr>
        <w:tc>
          <w:tcPr>
            <w:tcW w:w="500" w:type="dxa"/>
            <w:vAlign w:val="bottom"/>
          </w:tcPr>
          <w:p>
            <w:pPr>
              <w:ind w:left="20"/>
              <w:spacing w:after="0"/>
              <w:rPr>
                <w:sz w:val="20"/>
                <w:szCs w:val="20"/>
                <w:color w:val="auto"/>
              </w:rPr>
            </w:pPr>
            <w:r>
              <w:rPr>
                <w:rFonts w:ascii="Arial" w:cs="Arial" w:eastAsia="Arial" w:hAnsi="Arial"/>
                <w:sz w:val="16"/>
                <w:szCs w:val="16"/>
                <w:color w:val="auto"/>
              </w:rPr>
              <w:t>1.40%</w:t>
            </w:r>
          </w:p>
        </w:tc>
        <w:tc>
          <w:tcPr>
            <w:tcW w:w="7160" w:type="dxa"/>
            <w:vAlign w:val="bottom"/>
          </w:tcPr>
          <w:p>
            <w:pPr>
              <w:ind w:left="20"/>
              <w:spacing w:after="0"/>
              <w:rPr>
                <w:sz w:val="20"/>
                <w:szCs w:val="20"/>
                <w:color w:val="auto"/>
              </w:rPr>
            </w:pPr>
            <w:r>
              <w:rPr>
                <w:rFonts w:ascii="Arial" w:cs="Arial" w:eastAsia="Arial" w:hAnsi="Arial"/>
                <w:sz w:val="16"/>
                <w:szCs w:val="16"/>
                <w:color w:val="auto"/>
              </w:rPr>
              <w:t>Senior Notes due 2025</w:t>
            </w: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6"/>
                <w:szCs w:val="16"/>
                <w:color w:val="auto"/>
              </w:rPr>
            </w:pPr>
          </w:p>
        </w:tc>
      </w:tr>
      <w:tr>
        <w:trPr>
          <w:trHeight w:val="186"/>
        </w:trPr>
        <w:tc>
          <w:tcPr>
            <w:tcW w:w="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716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0"/>
        </w:trPr>
        <w:tc>
          <w:tcPr>
            <w:tcW w:w="50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1020" w:type="dxa"/>
            <w:vAlign w:val="bottom"/>
          </w:tcPr>
          <w:p>
            <w:pPr>
              <w:jc w:val="right"/>
              <w:ind w:right="840"/>
              <w:spacing w:after="0" w:line="180" w:lineRule="exact"/>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11,023</w:t>
            </w:r>
          </w:p>
        </w:tc>
        <w:tc>
          <w:tcPr>
            <w:tcW w:w="540" w:type="dxa"/>
            <w:vAlign w:val="bottom"/>
            <w:gridSpan w:val="2"/>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340" w:type="dxa"/>
            <w:vAlign w:val="bottom"/>
          </w:tcPr>
          <w:p>
            <w:pPr>
              <w:jc w:val="right"/>
              <w:spacing w:after="0" w:line="180" w:lineRule="exact"/>
              <w:rPr>
                <w:sz w:val="20"/>
                <w:szCs w:val="20"/>
                <w:color w:val="auto"/>
              </w:rPr>
            </w:pPr>
            <w:r>
              <w:rPr>
                <w:rFonts w:ascii="Arial" w:cs="Arial" w:eastAsia="Arial" w:hAnsi="Arial"/>
                <w:sz w:val="16"/>
                <w:szCs w:val="16"/>
                <w:color w:val="auto"/>
              </w:rPr>
              <w:t>10,842</w:t>
            </w:r>
          </w:p>
        </w:tc>
        <w:tc>
          <w:tcPr>
            <w:tcW w:w="100" w:type="dxa"/>
            <w:vAlign w:val="bottom"/>
          </w:tcPr>
          <w:p>
            <w:pPr>
              <w:spacing w:after="0"/>
              <w:rPr>
                <w:sz w:val="15"/>
                <w:szCs w:val="15"/>
                <w:color w:val="auto"/>
              </w:rPr>
            </w:pPr>
          </w:p>
        </w:tc>
      </w:tr>
      <w:tr>
        <w:trPr>
          <w:trHeight w:val="20"/>
        </w:trPr>
        <w:tc>
          <w:tcPr>
            <w:tcW w:w="50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-151765</wp:posOffset>
            </wp:positionV>
            <wp:extent cx="6731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-151765</wp:posOffset>
            </wp:positionV>
            <wp:extent cx="6731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as of December 31, 2024 is due as follows: $1.7 billion in 2026, $1.4 billion in 2027, $2.0 billion in 2028, $1.3 billion in 2029, $1.3 billion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2030 and $3.3 billion thereafter.</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 xml:space="preserve">The estimated fair value of SLB’s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at December 31, 2024 and December 31, 2023 was $10.4 billion and $10.2 billion, respectively, and was estimated based on quoted market prices.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At December 31, 2024, SLB had committed credit facility agreements with commercial banks aggregating $5.0 billion, of which $2.0 billion matures in February 2028 and $3.0 billion matures in December 2029. These committed facilities support commercial paper programs in the United States and Europe. There were no borrowings under these facilities at December 31, 2024 and 2023.</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Commercial paper borrowings are classified as long-term debt to the extent they are backed up by available and unused committed credit facilities maturing in more than one year and to the extent it is SLB’s intent to maintain these obligations for longer than one year. There were no borrowings under the commercial paper programs at December 31, 2024 and 2023.</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Schlumberger Limited fully and unconditionally guarantees the securities issued by certain of its subsidiaries, including securities issued by Schlumberger Investment SA and Schlumberger Finance Canada Ltd., both indirect wholly-owned subsidiaries of Schlumberger Limited.</w:t>
      </w:r>
    </w:p>
    <w:p>
      <w:pPr>
        <w:spacing w:after="0" w:line="161" w:lineRule="exact"/>
        <w:rPr>
          <w:sz w:val="20"/>
          <w:szCs w:val="20"/>
          <w:color w:val="auto"/>
        </w:rPr>
      </w:pPr>
    </w:p>
    <w:p>
      <w:pPr>
        <w:ind w:left="320" w:hanging="314"/>
        <w:spacing w:after="0"/>
        <w:tabs>
          <w:tab w:leader="none" w:pos="32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Derivative Instruments and Hedging Activities</w:t>
      </w:r>
    </w:p>
    <w:p>
      <w:pPr>
        <w:spacing w:after="0" w:line="10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SLB’s functional currency is primarily the US dollar. Approximately 70% of SLB’s revenues in 2024 were denominated in US dollars. However, outside the United States, a significant portion of SLB’s expenses is incurred in foreign currencies. Therefore, when the US dollar weakens (strengthens) in relation to the foreign currencies of the countries in which SLB conducts business, the US dollar-reported expenses will increase (decrease).</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Changes in foreign currency exchange rates expose SLB to risks on future cash flows relating to its fixed rate debt denominated in currencies other than the functional currency. SLB uses cross-currency interest rate swaps to provide a hedge against these risks. These contracts are accounted for as cash flow hedges, with the fair value of the derivative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Amounts recorded in </w:t>
      </w:r>
      <w:r>
        <w:rPr>
          <w:rFonts w:ascii="Arial" w:cs="Arial" w:eastAsia="Arial" w:hAnsi="Arial"/>
          <w:sz w:val="16"/>
          <w:szCs w:val="16"/>
          <w:i w:val="1"/>
          <w:iCs w:val="1"/>
          <w:color w:val="auto"/>
        </w:rPr>
        <w:t xml:space="preserve">Accumulated other comprehensive loss </w:t>
      </w:r>
      <w:r>
        <w:rPr>
          <w:rFonts w:ascii="Arial" w:cs="Arial" w:eastAsia="Arial" w:hAnsi="Arial"/>
          <w:sz w:val="16"/>
          <w:szCs w:val="16"/>
          <w:color w:val="auto"/>
        </w:rPr>
        <w:t>are reclassified into earnings in the same period or periods that the hedged item is recognized in earnings.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Details regarding SLB’s outstanding cross-currency interest rate swaps as of December 31, 2024, were as follows:</w:t>
      </w:r>
    </w:p>
    <w:p>
      <w:pPr>
        <w:spacing w:after="0" w:line="189" w:lineRule="exact"/>
        <w:rPr>
          <w:sz w:val="20"/>
          <w:szCs w:val="20"/>
          <w:color w:val="auto"/>
        </w:rPr>
      </w:pPr>
    </w:p>
    <w:p>
      <w:pPr>
        <w:jc w:val="both"/>
        <w:ind w:left="760" w:hanging="379"/>
        <w:spacing w:after="0" w:line="254" w:lineRule="auto"/>
        <w:tabs>
          <w:tab w:leader="none" w:pos="76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During 2019, SLB entered into cross-currency interest rate swaps in order to hedge changes in the fair value of its €0.5 billion 0.25% Notes due 2027 and €0.5 billion 0.50% Notes due 2031 that were issued by a US-dollar functional currency subsidiary. These cross-currency interest rate swaps effectively convert the Euro-denominated notes to US-dollar denominated debt with fixed annual interest rates of 2.51% and 2.76%,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42" w:name="page43"/>
    <w:bookmarkEnd w:id="42"/>
    <w:p>
      <w:pPr>
        <w:jc w:val="both"/>
        <w:ind w:left="760" w:hanging="379"/>
        <w:spacing w:after="0" w:line="254" w:lineRule="auto"/>
        <w:tabs>
          <w:tab w:leader="none" w:pos="76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US-dollar functional currency subsidiary of SLB issued €0.8 billion of Euro-denominated debt. SLB entered into cross-currency interest rate swaps to hedge changes in the fair value of its €0.4 billion of 0.25% Notes due 2027 and €0.4 billion of 0.50% Notes due 2031. These cross-currency interest rate swaps effectively convert the Euro-denominated notes to US-dollar denominated debt with fixed annual interest rates of 1.87% and 2.20%, respectively.</w:t>
      </w:r>
    </w:p>
    <w:p>
      <w:pPr>
        <w:spacing w:after="0" w:line="152" w:lineRule="exact"/>
        <w:rPr>
          <w:rFonts w:ascii="Times New Roman" w:cs="Times New Roman" w:eastAsia="Times New Roman" w:hAnsi="Times New Roman"/>
          <w:sz w:val="16"/>
          <w:szCs w:val="16"/>
          <w:color w:val="auto"/>
        </w:rPr>
      </w:pPr>
    </w:p>
    <w:p>
      <w:pPr>
        <w:jc w:val="both"/>
        <w:ind w:left="760" w:hanging="379"/>
        <w:spacing w:after="0" w:line="254" w:lineRule="auto"/>
        <w:tabs>
          <w:tab w:leader="none" w:pos="76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US-dollar functional currency subsidiary of SLB issued €2.0 billion of Euro-denominated debt. SLB entered into cross-currency interest rate swaps to hedge changes in the fair value of its €1.0 billion of 1.375% Guaranteed Notes due 2026 and €1.0 billion of 2.00% Guaranteed Notes due 2032. These cross-currency interest rate swaps effectively convert the Euro-denominated notes to US-dollar denominated debt with fixed annual interest rates of 2.77% and 3.49%, respectively.</w:t>
      </w:r>
    </w:p>
    <w:p>
      <w:pPr>
        <w:spacing w:after="0" w:line="152" w:lineRule="exact"/>
        <w:rPr>
          <w:rFonts w:ascii="Times New Roman" w:cs="Times New Roman" w:eastAsia="Times New Roman" w:hAnsi="Times New Roman"/>
          <w:sz w:val="16"/>
          <w:szCs w:val="16"/>
          <w:color w:val="auto"/>
        </w:rPr>
      </w:pPr>
    </w:p>
    <w:p>
      <w:pPr>
        <w:jc w:val="both"/>
        <w:ind w:left="760" w:hanging="379"/>
        <w:spacing w:after="0" w:line="259" w:lineRule="auto"/>
        <w:tabs>
          <w:tab w:leader="none" w:pos="76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Canadian dollar functional currency subsidiary of SLB issued $0.5 billion of US dollar denominated debt. SLB entered into cross-currency interest rate swaps to hedge changes in the fair value of its $0.5 billion 1.40% Senior Notes due 2025. These cross-currency interest rate swaps effectively convert the US dollar notes to Canadian dollar denominated debt with a fixed annual interest rate of 1.73%.</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summary of the amounts included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relating to cross currency interest rate swaps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369"/>
        </w:trPr>
        <w:tc>
          <w:tcPr>
            <w:tcW w:w="7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Dec. 31, 2024</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Dec. 31, 2023</w:t>
            </w:r>
          </w:p>
        </w:tc>
        <w:tc>
          <w:tcPr>
            <w:tcW w:w="100" w:type="dxa"/>
            <w:vAlign w:val="bottom"/>
          </w:tcPr>
          <w:p>
            <w:pPr>
              <w:spacing w:after="0"/>
              <w:rPr>
                <w:sz w:val="24"/>
                <w:szCs w:val="24"/>
                <w:color w:val="auto"/>
              </w:rPr>
            </w:pPr>
          </w:p>
        </w:tc>
      </w:tr>
      <w:tr>
        <w:trPr>
          <w:trHeight w:val="180"/>
        </w:trPr>
        <w:tc>
          <w:tcPr>
            <w:tcW w:w="76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i w:val="1"/>
                <w:iCs w:val="1"/>
                <w:color w:val="auto"/>
              </w:rPr>
              <w:t>Other current assets</w:t>
            </w:r>
          </w:p>
        </w:tc>
        <w:tc>
          <w:tcPr>
            <w:tcW w:w="200" w:type="dxa"/>
            <w:vAlign w:val="bottom"/>
            <w:shd w:val="clear" w:color="auto" w:fill="CFF0FC"/>
          </w:tcPr>
          <w:p>
            <w:pPr>
              <w:jc w:val="right"/>
              <w:ind w:right="20"/>
              <w:spacing w:after="0" w:line="180" w:lineRule="exact"/>
              <w:rPr>
                <w:sz w:val="20"/>
                <w:szCs w:val="20"/>
                <w:color w:val="auto"/>
              </w:rPr>
            </w:pPr>
            <w:r>
              <w:rPr>
                <w:rFonts w:ascii="Arial" w:cs="Arial" w:eastAsia="Arial" w:hAnsi="Arial"/>
                <w:sz w:val="16"/>
                <w:szCs w:val="16"/>
                <w:b w:val="1"/>
                <w:bCs w:val="1"/>
                <w:color w:val="auto"/>
                <w:w w:val="89"/>
              </w:rPr>
              <w:t>$</w:t>
            </w:r>
          </w:p>
        </w:tc>
        <w:tc>
          <w:tcPr>
            <w:tcW w:w="14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37</w:t>
            </w:r>
          </w:p>
        </w:tc>
        <w:tc>
          <w:tcPr>
            <w:tcW w:w="480" w:type="dxa"/>
            <w:vAlign w:val="bottom"/>
            <w:gridSpan w:val="2"/>
            <w:shd w:val="clear" w:color="auto" w:fill="CFF0FC"/>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r>
      <w:tr>
        <w:trPr>
          <w:trHeight w:val="186"/>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Other Assets</w:t>
            </w:r>
          </w:p>
        </w:tc>
        <w:tc>
          <w:tcPr>
            <w:tcW w:w="200" w:type="dxa"/>
            <w:vAlign w:val="bottom"/>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6"/>
                <w:szCs w:val="16"/>
                <w:color w:val="auto"/>
              </w:rPr>
            </w:pPr>
          </w:p>
        </w:tc>
      </w:tr>
      <w:tr>
        <w:trPr>
          <w:trHeight w:val="18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Other Liabilities</w:t>
            </w:r>
          </w:p>
        </w:tc>
        <w:tc>
          <w:tcPr>
            <w:tcW w:w="200" w:type="dxa"/>
            <w:vAlign w:val="bottom"/>
            <w:shd w:val="clear" w:color="auto" w:fill="CFF0FC"/>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183</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FF0FC"/>
          </w:tcPr>
          <w:p>
            <w:pPr>
              <w:spacing w:after="0"/>
              <w:rPr>
                <w:sz w:val="16"/>
                <w:szCs w:val="16"/>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were determined using a model with inputs that are observable in the market or can be derived or corroborated by observable data.</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SLB is exposed to risks on future cash flows to the extent that the local currency is not the functional currency and expenses denominated in local currency are not equal to revenues denominated in local currency. SLB uses foreign currency forward contracts to provide a hedge against a portion of these cash flow risks. These contracts are accounted for as cash flow hedges.</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SLB is also exposed to changes in the fair value of assets and liabilities denominated in currencies other than the functional currency. While SLB uses foreign currency forward contracts to economically hedge this exposure as it relates to certain currencies, these contracts are not designated as hedges for accounting purposes. Instead, the fair value of the derivative is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are recognized in the </w:t>
      </w:r>
      <w:r>
        <w:rPr>
          <w:rFonts w:ascii="Arial" w:cs="Arial" w:eastAsia="Arial" w:hAnsi="Arial"/>
          <w:sz w:val="16"/>
          <w:szCs w:val="16"/>
          <w:i w:val="1"/>
          <w:iCs w:val="1"/>
          <w:color w:val="auto"/>
        </w:rPr>
        <w:t xml:space="preserve">Consolidated Statement of Income, </w:t>
      </w:r>
      <w:r>
        <w:rPr>
          <w:rFonts w:ascii="Arial" w:cs="Arial" w:eastAsia="Arial" w:hAnsi="Arial"/>
          <w:sz w:val="16"/>
          <w:szCs w:val="16"/>
          <w:color w:val="auto"/>
        </w:rPr>
        <w:t>as are changes in the fair value of the hedged item. Transaction losses of $139 million in 2024, $154 million (including $90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million related to the Argentina devaluation; see Note 3 – </w:t>
      </w:r>
      <w:r>
        <w:rPr>
          <w:rFonts w:ascii="Arial" w:cs="Arial" w:eastAsia="Arial" w:hAnsi="Arial"/>
          <w:sz w:val="16"/>
          <w:szCs w:val="16"/>
          <w:i w:val="1"/>
          <w:iCs w:val="1"/>
          <w:color w:val="auto"/>
        </w:rPr>
        <w:t>Charges and credits</w:t>
      </w:r>
      <w:r>
        <w:rPr>
          <w:rFonts w:ascii="Arial" w:cs="Arial" w:eastAsia="Arial" w:hAnsi="Arial"/>
          <w:sz w:val="16"/>
          <w:szCs w:val="16"/>
          <w:color w:val="auto"/>
        </w:rPr>
        <w:t xml:space="preserve"> for further details) in 2023, and $96 million in 2022 were recognized in the </w:t>
      </w:r>
      <w:r>
        <w:rPr>
          <w:rFonts w:ascii="Arial" w:cs="Arial" w:eastAsia="Arial" w:hAnsi="Arial"/>
          <w:sz w:val="16"/>
          <w:szCs w:val="16"/>
          <w:i w:val="1"/>
          <w:iCs w:val="1"/>
          <w:color w:val="auto"/>
        </w:rPr>
        <w:t xml:space="preserve">Consolidated Statement of Income </w:t>
      </w:r>
      <w:r>
        <w:rPr>
          <w:rFonts w:ascii="Arial" w:cs="Arial" w:eastAsia="Arial" w:hAnsi="Arial"/>
          <w:sz w:val="16"/>
          <w:szCs w:val="16"/>
          <w:color w:val="auto"/>
        </w:rPr>
        <w:t>net of related hedging activities.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Foreign currency forward contracts were outstanding for the US dollar equivalent of $5.5 billion and $5.4 billion in various foreign currencies as of December 31, 2024 and 2023, respectively.</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Other than the previously mentioned cross-currency interest rate swaps, the fair value of the other outstanding derivatives was not material as of December 31, 2024 and 2023.</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effect of derivative instruments designated as hedges and those not designated as hedges on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i w:val="1"/>
                <w:iCs w:val="1"/>
                <w:color w:val="auto"/>
              </w:rPr>
              <w:t>(Stated in millions)</w:t>
            </w:r>
          </w:p>
        </w:tc>
        <w:tc>
          <w:tcPr>
            <w:tcW w:w="2120" w:type="dxa"/>
            <w:vAlign w:val="bottom"/>
          </w:tcPr>
          <w:p>
            <w:pPr>
              <w:spacing w:after="0"/>
              <w:rPr>
                <w:sz w:val="16"/>
                <w:szCs w:val="16"/>
                <w:color w:val="auto"/>
              </w:rPr>
            </w:pPr>
          </w:p>
        </w:tc>
      </w:tr>
      <w:tr>
        <w:trPr>
          <w:trHeight w:val="369"/>
        </w:trPr>
        <w:tc>
          <w:tcPr>
            <w:tcW w:w="4760" w:type="dxa"/>
            <w:vAlign w:val="bottom"/>
          </w:tcPr>
          <w:p>
            <w:pPr>
              <w:spacing w:after="0"/>
              <w:rPr>
                <w:sz w:val="24"/>
                <w:szCs w:val="24"/>
                <w:color w:val="auto"/>
              </w:rPr>
            </w:pPr>
          </w:p>
        </w:tc>
        <w:tc>
          <w:tcPr>
            <w:tcW w:w="3740" w:type="dxa"/>
            <w:vAlign w:val="bottom"/>
            <w:tcBorders>
              <w:bottom w:val="single" w:sz="8" w:color="auto"/>
            </w:tcBorders>
            <w:gridSpan w:val="7"/>
          </w:tcPr>
          <w:p>
            <w:pPr>
              <w:ind w:left="760"/>
              <w:spacing w:after="0"/>
              <w:rPr>
                <w:sz w:val="20"/>
                <w:szCs w:val="20"/>
                <w:color w:val="auto"/>
              </w:rPr>
            </w:pPr>
            <w:r>
              <w:rPr>
                <w:rFonts w:ascii="Arial" w:cs="Arial" w:eastAsia="Arial" w:hAnsi="Arial"/>
                <w:sz w:val="16"/>
                <w:szCs w:val="16"/>
                <w:b w:val="1"/>
                <w:bCs w:val="1"/>
                <w:color w:val="auto"/>
              </w:rPr>
              <w:t>Gain (Loss) Recognized in Income</w:t>
            </w:r>
          </w:p>
        </w:tc>
        <w:tc>
          <w:tcPr>
            <w:tcW w:w="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ind w:left="20"/>
              <w:spacing w:after="0"/>
              <w:rPr>
                <w:sz w:val="20"/>
                <w:szCs w:val="20"/>
                <w:color w:val="auto"/>
              </w:rPr>
            </w:pPr>
            <w:r>
              <w:rPr>
                <w:rFonts w:ascii="Arial" w:cs="Arial" w:eastAsia="Arial" w:hAnsi="Arial"/>
                <w:sz w:val="16"/>
                <w:szCs w:val="16"/>
                <w:color w:val="auto"/>
              </w:rPr>
              <w:t>Consolidated Statement</w:t>
            </w:r>
          </w:p>
        </w:tc>
      </w:tr>
      <w:tr>
        <w:trPr>
          <w:trHeight w:val="180"/>
        </w:trPr>
        <w:tc>
          <w:tcPr>
            <w:tcW w:w="476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2023</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Borders>
              <w:bottom w:val="single" w:sz="8" w:color="auto"/>
            </w:tcBorders>
          </w:tcPr>
          <w:p>
            <w:pPr>
              <w:ind w:left="420"/>
              <w:spacing w:after="0" w:line="180" w:lineRule="exact"/>
              <w:rPr>
                <w:sz w:val="20"/>
                <w:szCs w:val="20"/>
                <w:color w:val="auto"/>
              </w:rPr>
            </w:pPr>
            <w:r>
              <w:rPr>
                <w:rFonts w:ascii="Arial" w:cs="Arial" w:eastAsia="Arial" w:hAnsi="Arial"/>
                <w:sz w:val="16"/>
                <w:szCs w:val="16"/>
                <w:color w:val="auto"/>
              </w:rPr>
              <w:t>2022</w:t>
            </w:r>
          </w:p>
        </w:tc>
        <w:tc>
          <w:tcPr>
            <w:tcW w:w="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Borders>
              <w:bottom w:val="single" w:sz="8" w:color="auto"/>
            </w:tcBorders>
          </w:tcPr>
          <w:p>
            <w:pPr>
              <w:ind w:left="60"/>
              <w:spacing w:after="0" w:line="180" w:lineRule="exact"/>
              <w:rPr>
                <w:sz w:val="20"/>
                <w:szCs w:val="20"/>
                <w:color w:val="auto"/>
              </w:rPr>
            </w:pPr>
            <w:r>
              <w:rPr>
                <w:rFonts w:ascii="Arial" w:cs="Arial" w:eastAsia="Arial" w:hAnsi="Arial"/>
                <w:sz w:val="16"/>
                <w:szCs w:val="16"/>
                <w:color w:val="auto"/>
              </w:rPr>
              <w:t>of Income Classification</w:t>
            </w:r>
          </w:p>
        </w:tc>
      </w:tr>
      <w:tr>
        <w:trPr>
          <w:trHeight w:val="180"/>
        </w:trPr>
        <w:tc>
          <w:tcPr>
            <w:tcW w:w="47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Derivatives designated as cash flow hedges:</w:t>
            </w:r>
          </w:p>
        </w:tc>
        <w:tc>
          <w:tcPr>
            <w:tcW w:w="7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120" w:type="dxa"/>
            <w:vAlign w:val="bottom"/>
            <w:shd w:val="clear" w:color="auto" w:fill="CFF0FC"/>
          </w:tcPr>
          <w:p>
            <w:pPr>
              <w:spacing w:after="0"/>
              <w:rPr>
                <w:sz w:val="15"/>
                <w:szCs w:val="15"/>
                <w:color w:val="auto"/>
              </w:rPr>
            </w:pPr>
          </w:p>
        </w:tc>
      </w:tr>
      <w:tr>
        <w:trPr>
          <w:trHeight w:val="186"/>
        </w:trPr>
        <w:tc>
          <w:tcPr>
            <w:tcW w:w="4760" w:type="dxa"/>
            <w:vAlign w:val="bottom"/>
          </w:tcPr>
          <w:p>
            <w:pPr>
              <w:ind w:left="20"/>
              <w:spacing w:after="0"/>
              <w:rPr>
                <w:sz w:val="20"/>
                <w:szCs w:val="20"/>
                <w:color w:val="auto"/>
              </w:rPr>
            </w:pPr>
            <w:r>
              <w:rPr>
                <w:rFonts w:ascii="Arial" w:cs="Arial" w:eastAsia="Arial" w:hAnsi="Arial"/>
                <w:sz w:val="16"/>
                <w:szCs w:val="16"/>
                <w:color w:val="auto"/>
              </w:rPr>
              <w:t>Cross-currency interest rate swaps</w:t>
            </w:r>
          </w:p>
        </w:tc>
        <w:tc>
          <w:tcPr>
            <w:tcW w:w="780" w:type="dxa"/>
            <w:vAlign w:val="bottom"/>
          </w:tcPr>
          <w:p>
            <w:pPr>
              <w:jc w:val="right"/>
              <w:ind w:right="600"/>
              <w:spacing w:after="0"/>
              <w:rPr>
                <w:sz w:val="20"/>
                <w:szCs w:val="20"/>
                <w:color w:val="auto"/>
              </w:rPr>
            </w:pPr>
            <w:r>
              <w:rPr>
                <w:rFonts w:ascii="Arial" w:cs="Arial" w:eastAsia="Arial" w:hAnsi="Arial"/>
                <w:sz w:val="16"/>
                <w:szCs w:val="16"/>
                <w:b w:val="1"/>
                <w:bCs w:val="1"/>
                <w:color w:val="auto"/>
                <w:w w:val="89"/>
              </w:rPr>
              <w:t>$</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(199 )</w:t>
            </w:r>
          </w:p>
        </w:tc>
        <w:tc>
          <w:tcPr>
            <w:tcW w:w="860" w:type="dxa"/>
            <w:vAlign w:val="bottom"/>
          </w:tcPr>
          <w:p>
            <w:pPr>
              <w:jc w:val="right"/>
              <w:ind w:right="66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173</w:t>
            </w:r>
          </w:p>
        </w:tc>
        <w:tc>
          <w:tcPr>
            <w:tcW w:w="240" w:type="dxa"/>
            <w:vAlign w:val="bottom"/>
          </w:tcPr>
          <w:p>
            <w:pPr>
              <w:spacing w:after="0"/>
              <w:rPr>
                <w:sz w:val="16"/>
                <w:szCs w:val="16"/>
                <w:color w:val="auto"/>
              </w:rPr>
            </w:pPr>
          </w:p>
        </w:tc>
        <w:tc>
          <w:tcPr>
            <w:tcW w:w="840" w:type="dxa"/>
            <w:vAlign w:val="bottom"/>
          </w:tcPr>
          <w:p>
            <w:pPr>
              <w:ind w:left="2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(254 )</w:t>
            </w:r>
          </w:p>
        </w:tc>
        <w:tc>
          <w:tcPr>
            <w:tcW w:w="2120" w:type="dxa"/>
            <w:vAlign w:val="bottom"/>
          </w:tcPr>
          <w:p>
            <w:pPr>
              <w:ind w:left="20"/>
              <w:spacing w:after="0"/>
              <w:rPr>
                <w:sz w:val="20"/>
                <w:szCs w:val="20"/>
                <w:color w:val="auto"/>
              </w:rPr>
            </w:pPr>
            <w:r>
              <w:rPr>
                <w:rFonts w:ascii="Arial" w:cs="Arial" w:eastAsia="Arial" w:hAnsi="Arial"/>
                <w:sz w:val="16"/>
                <w:szCs w:val="16"/>
                <w:i w:val="1"/>
                <w:iCs w:val="1"/>
                <w:color w:val="auto"/>
              </w:rPr>
              <w:t>Cost of services/sales</w:t>
            </w:r>
          </w:p>
        </w:tc>
      </w:tr>
      <w:tr>
        <w:trPr>
          <w:trHeight w:val="186"/>
        </w:trPr>
        <w:tc>
          <w:tcPr>
            <w:tcW w:w="4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Cross-currency interest rate swaps</w:t>
            </w:r>
          </w:p>
        </w:tc>
        <w:tc>
          <w:tcPr>
            <w:tcW w:w="78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(85 )</w:t>
            </w:r>
          </w:p>
        </w:tc>
        <w:tc>
          <w:tcPr>
            <w:tcW w:w="86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(88 )</w:t>
            </w:r>
          </w:p>
        </w:tc>
        <w:tc>
          <w:tcPr>
            <w:tcW w:w="84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(88 )</w:t>
            </w:r>
          </w:p>
        </w:tc>
        <w:tc>
          <w:tcPr>
            <w:tcW w:w="212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Interest expense</w:t>
            </w:r>
          </w:p>
        </w:tc>
      </w:tr>
      <w:tr>
        <w:trPr>
          <w:trHeight w:val="186"/>
        </w:trPr>
        <w:tc>
          <w:tcPr>
            <w:tcW w:w="4760" w:type="dxa"/>
            <w:vAlign w:val="bottom"/>
          </w:tcPr>
          <w:p>
            <w:pPr>
              <w:ind w:left="20"/>
              <w:spacing w:after="0"/>
              <w:rPr>
                <w:sz w:val="20"/>
                <w:szCs w:val="20"/>
                <w:color w:val="auto"/>
              </w:rPr>
            </w:pPr>
            <w:r>
              <w:rPr>
                <w:rFonts w:ascii="Arial" w:cs="Arial" w:eastAsia="Arial" w:hAnsi="Arial"/>
                <w:sz w:val="16"/>
                <w:szCs w:val="16"/>
                <w:color w:val="auto"/>
              </w:rPr>
              <w:t>Commodity contracts</w:t>
            </w:r>
          </w:p>
        </w:tc>
        <w:tc>
          <w:tcPr>
            <w:tcW w:w="7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(7 )</w:t>
            </w: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(87 )</w:t>
            </w:r>
          </w:p>
        </w:tc>
        <w:tc>
          <w:tcPr>
            <w:tcW w:w="2120" w:type="dxa"/>
            <w:vAlign w:val="bottom"/>
          </w:tcPr>
          <w:p>
            <w:pPr>
              <w:ind w:left="20"/>
              <w:spacing w:after="0"/>
              <w:rPr>
                <w:sz w:val="20"/>
                <w:szCs w:val="20"/>
                <w:color w:val="auto"/>
              </w:rPr>
            </w:pPr>
            <w:r>
              <w:rPr>
                <w:rFonts w:ascii="Arial" w:cs="Arial" w:eastAsia="Arial" w:hAnsi="Arial"/>
                <w:sz w:val="16"/>
                <w:szCs w:val="16"/>
                <w:i w:val="1"/>
                <w:iCs w:val="1"/>
                <w:color w:val="auto"/>
              </w:rPr>
              <w:t>Revenue</w:t>
            </w:r>
          </w:p>
        </w:tc>
      </w:tr>
      <w:tr>
        <w:trPr>
          <w:trHeight w:val="186"/>
        </w:trPr>
        <w:tc>
          <w:tcPr>
            <w:tcW w:w="4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Foreign currency forward contracts</w:t>
            </w:r>
          </w:p>
        </w:tc>
        <w:tc>
          <w:tcPr>
            <w:tcW w:w="78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(30 )</w:t>
            </w:r>
          </w:p>
        </w:tc>
        <w:tc>
          <w:tcPr>
            <w:tcW w:w="212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Cost of services/sales</w:t>
            </w:r>
          </w:p>
        </w:tc>
      </w:tr>
      <w:tr>
        <w:trPr>
          <w:trHeight w:val="186"/>
        </w:trPr>
        <w:tc>
          <w:tcPr>
            <w:tcW w:w="4760" w:type="dxa"/>
            <w:vAlign w:val="bottom"/>
          </w:tcPr>
          <w:p>
            <w:pPr>
              <w:ind w:left="20"/>
              <w:spacing w:after="0"/>
              <w:rPr>
                <w:sz w:val="20"/>
                <w:szCs w:val="20"/>
                <w:color w:val="auto"/>
              </w:rPr>
            </w:pPr>
            <w:r>
              <w:rPr>
                <w:rFonts w:ascii="Arial" w:cs="Arial" w:eastAsia="Arial" w:hAnsi="Arial"/>
                <w:sz w:val="16"/>
                <w:szCs w:val="16"/>
                <w:color w:val="auto"/>
              </w:rPr>
              <w:t>Foreign exchange contract</w:t>
            </w:r>
          </w:p>
        </w:tc>
        <w:tc>
          <w:tcPr>
            <w:tcW w:w="7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(12 )</w:t>
            </w: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120" w:type="dxa"/>
            <w:vAlign w:val="bottom"/>
          </w:tcPr>
          <w:p>
            <w:pPr>
              <w:ind w:left="20"/>
              <w:spacing w:after="0"/>
              <w:rPr>
                <w:sz w:val="20"/>
                <w:szCs w:val="20"/>
                <w:color w:val="auto"/>
              </w:rPr>
            </w:pPr>
            <w:r>
              <w:rPr>
                <w:rFonts w:ascii="Arial" w:cs="Arial" w:eastAsia="Arial" w:hAnsi="Arial"/>
                <w:sz w:val="16"/>
                <w:szCs w:val="16"/>
                <w:i w:val="1"/>
                <w:iCs w:val="1"/>
                <w:color w:val="auto"/>
              </w:rPr>
              <w:t>Revenue</w:t>
            </w:r>
          </w:p>
        </w:tc>
      </w:tr>
      <w:tr>
        <w:trPr>
          <w:trHeight w:val="20"/>
        </w:trPr>
        <w:tc>
          <w:tcPr>
            <w:tcW w:w="4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0"/>
        </w:trPr>
        <w:tc>
          <w:tcPr>
            <w:tcW w:w="47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00"/>
              <w:spacing w:after="0" w:line="180" w:lineRule="exact"/>
              <w:rPr>
                <w:sz w:val="20"/>
                <w:szCs w:val="20"/>
                <w:color w:val="auto"/>
              </w:rPr>
            </w:pPr>
            <w:r>
              <w:rPr>
                <w:rFonts w:ascii="Arial" w:cs="Arial" w:eastAsia="Arial" w:hAnsi="Arial"/>
                <w:sz w:val="16"/>
                <w:szCs w:val="16"/>
                <w:b w:val="1"/>
                <w:bCs w:val="1"/>
                <w:color w:val="auto"/>
                <w:w w:val="89"/>
              </w:rPr>
              <w:t>$</w:t>
            </w:r>
          </w:p>
        </w:tc>
        <w:tc>
          <w:tcPr>
            <w:tcW w:w="660" w:type="dxa"/>
            <w:vAlign w:val="bottom"/>
            <w:gridSpan w:val="2"/>
            <w:shd w:val="clear" w:color="auto" w:fill="CFF0FC"/>
          </w:tcPr>
          <w:p>
            <w:pPr>
              <w:jc w:val="right"/>
              <w:ind w:right="160"/>
              <w:spacing w:after="0" w:line="180" w:lineRule="exact"/>
              <w:rPr>
                <w:sz w:val="20"/>
                <w:szCs w:val="20"/>
                <w:color w:val="auto"/>
              </w:rPr>
            </w:pPr>
            <w:r>
              <w:rPr>
                <w:rFonts w:ascii="Arial" w:cs="Arial" w:eastAsia="Arial" w:hAnsi="Arial"/>
                <w:sz w:val="16"/>
                <w:szCs w:val="16"/>
                <w:b w:val="1"/>
                <w:bCs w:val="1"/>
                <w:color w:val="auto"/>
              </w:rPr>
              <w:t>(280 )</w:t>
            </w:r>
          </w:p>
        </w:tc>
        <w:tc>
          <w:tcPr>
            <w:tcW w:w="860" w:type="dxa"/>
            <w:vAlign w:val="bottom"/>
            <w:shd w:val="clear" w:color="auto" w:fill="CFF0FC"/>
          </w:tcPr>
          <w:p>
            <w:pPr>
              <w:jc w:val="right"/>
              <w:ind w:right="660"/>
              <w:spacing w:after="0" w:line="180" w:lineRule="exact"/>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103</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160"/>
              <w:spacing w:after="0" w:line="180" w:lineRule="exact"/>
              <w:rPr>
                <w:sz w:val="20"/>
                <w:szCs w:val="20"/>
                <w:color w:val="auto"/>
              </w:rPr>
            </w:pPr>
            <w:r>
              <w:rPr>
                <w:rFonts w:ascii="Arial" w:cs="Arial" w:eastAsia="Arial" w:hAnsi="Arial"/>
                <w:sz w:val="16"/>
                <w:szCs w:val="16"/>
                <w:color w:val="auto"/>
              </w:rPr>
              <w:t>(459 )</w:t>
            </w:r>
          </w:p>
        </w:tc>
        <w:tc>
          <w:tcPr>
            <w:tcW w:w="2120" w:type="dxa"/>
            <w:vAlign w:val="bottom"/>
            <w:shd w:val="clear" w:color="auto" w:fill="CFF0FC"/>
          </w:tcPr>
          <w:p>
            <w:pPr>
              <w:spacing w:after="0"/>
              <w:rPr>
                <w:sz w:val="19"/>
                <w:szCs w:val="19"/>
                <w:color w:val="auto"/>
              </w:rPr>
            </w:pPr>
          </w:p>
        </w:tc>
      </w:tr>
      <w:tr>
        <w:trPr>
          <w:trHeight w:val="166"/>
        </w:trPr>
        <w:tc>
          <w:tcPr>
            <w:tcW w:w="4760" w:type="dxa"/>
            <w:vAlign w:val="bottom"/>
            <w:tcBorders>
              <w:top w:val="single" w:sz="8" w:color="CFF0FC"/>
            </w:tcBorders>
          </w:tcPr>
          <w:p>
            <w:pPr>
              <w:ind w:left="20"/>
              <w:spacing w:after="0" w:line="166" w:lineRule="exact"/>
              <w:rPr>
                <w:sz w:val="20"/>
                <w:szCs w:val="20"/>
                <w:color w:val="auto"/>
              </w:rPr>
            </w:pPr>
            <w:r>
              <w:rPr>
                <w:rFonts w:ascii="Arial" w:cs="Arial" w:eastAsia="Arial" w:hAnsi="Arial"/>
                <w:sz w:val="16"/>
                <w:szCs w:val="16"/>
                <w:color w:val="auto"/>
              </w:rPr>
              <w:t>Derivatives not designated as hedges:</w:t>
            </w:r>
          </w:p>
        </w:tc>
        <w:tc>
          <w:tcPr>
            <w:tcW w:w="7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2120" w:type="dxa"/>
            <w:vAlign w:val="bottom"/>
            <w:tcBorders>
              <w:top w:val="single" w:sz="8" w:color="CFF0FC"/>
            </w:tcBorders>
          </w:tcPr>
          <w:p>
            <w:pPr>
              <w:spacing w:after="0"/>
              <w:rPr>
                <w:sz w:val="14"/>
                <w:szCs w:val="14"/>
                <w:color w:val="auto"/>
              </w:rPr>
            </w:pPr>
          </w:p>
        </w:tc>
      </w:tr>
      <w:tr>
        <w:trPr>
          <w:trHeight w:val="226"/>
        </w:trPr>
        <w:tc>
          <w:tcPr>
            <w:tcW w:w="4760" w:type="dxa"/>
            <w:vAlign w:val="bottom"/>
            <w:shd w:val="clear" w:color="auto" w:fill="CFF0FC"/>
          </w:tcPr>
          <w:p>
            <w:pPr>
              <w:ind w:left="20"/>
              <w:spacing w:after="0" w:line="167" w:lineRule="exact"/>
              <w:rPr>
                <w:sz w:val="20"/>
                <w:szCs w:val="20"/>
                <w:color w:val="auto"/>
              </w:rPr>
            </w:pPr>
            <w:r>
              <w:rPr>
                <w:rFonts w:ascii="Arial" w:cs="Arial" w:eastAsia="Arial" w:hAnsi="Arial"/>
                <w:sz w:val="16"/>
                <w:szCs w:val="16"/>
                <w:color w:val="auto"/>
              </w:rPr>
              <w:t>Foreign currency forward contracts</w:t>
            </w:r>
          </w:p>
        </w:tc>
        <w:tc>
          <w:tcPr>
            <w:tcW w:w="780" w:type="dxa"/>
            <w:vAlign w:val="bottom"/>
            <w:shd w:val="clear" w:color="auto" w:fill="CFF0FC"/>
          </w:tcPr>
          <w:p>
            <w:pPr>
              <w:jc w:val="right"/>
              <w:ind w:right="600"/>
              <w:spacing w:after="0" w:line="167" w:lineRule="exact"/>
              <w:rPr>
                <w:sz w:val="20"/>
                <w:szCs w:val="20"/>
                <w:color w:val="auto"/>
              </w:rPr>
            </w:pPr>
            <w:r>
              <w:rPr>
                <w:rFonts w:ascii="Arial" w:cs="Arial" w:eastAsia="Arial" w:hAnsi="Arial"/>
                <w:sz w:val="16"/>
                <w:szCs w:val="16"/>
                <w:b w:val="1"/>
                <w:bCs w:val="1"/>
                <w:color w:val="auto"/>
                <w:w w:val="89"/>
              </w:rPr>
              <w:t>$</w:t>
            </w:r>
          </w:p>
        </w:tc>
        <w:tc>
          <w:tcPr>
            <w:tcW w:w="440" w:type="dxa"/>
            <w:vAlign w:val="bottom"/>
            <w:shd w:val="clear" w:color="auto" w:fill="CFF0FC"/>
          </w:tcPr>
          <w:p>
            <w:pPr>
              <w:jc w:val="right"/>
              <w:spacing w:after="0" w:line="167" w:lineRule="exact"/>
              <w:rPr>
                <w:sz w:val="20"/>
                <w:szCs w:val="20"/>
                <w:color w:val="auto"/>
              </w:rPr>
            </w:pPr>
            <w:r>
              <w:rPr>
                <w:rFonts w:ascii="Arial" w:cs="Arial" w:eastAsia="Arial" w:hAnsi="Arial"/>
                <w:sz w:val="16"/>
                <w:szCs w:val="16"/>
                <w:b w:val="1"/>
                <w:bCs w:val="1"/>
                <w:color w:val="auto"/>
              </w:rPr>
              <w:t>5</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60"/>
              <w:spacing w:after="0" w:line="167" w:lineRule="exact"/>
              <w:rPr>
                <w:sz w:val="20"/>
                <w:szCs w:val="20"/>
                <w:color w:val="auto"/>
              </w:rPr>
            </w:pPr>
            <w:r>
              <w:rPr>
                <w:rFonts w:ascii="Arial" w:cs="Arial" w:eastAsia="Arial" w:hAnsi="Arial"/>
                <w:sz w:val="16"/>
                <w:szCs w:val="16"/>
                <w:color w:val="auto"/>
              </w:rPr>
              <w:t>$</w:t>
            </w:r>
          </w:p>
        </w:tc>
        <w:tc>
          <w:tcPr>
            <w:tcW w:w="600" w:type="dxa"/>
            <w:vAlign w:val="bottom"/>
            <w:gridSpan w:val="2"/>
            <w:shd w:val="clear" w:color="auto" w:fill="CFF0FC"/>
          </w:tcPr>
          <w:p>
            <w:pPr>
              <w:jc w:val="right"/>
              <w:ind w:right="180"/>
              <w:spacing w:after="0" w:line="167" w:lineRule="exact"/>
              <w:rPr>
                <w:sz w:val="20"/>
                <w:szCs w:val="20"/>
                <w:color w:val="auto"/>
              </w:rPr>
            </w:pPr>
            <w:r>
              <w:rPr>
                <w:rFonts w:ascii="Arial" w:cs="Arial" w:eastAsia="Arial" w:hAnsi="Arial"/>
                <w:sz w:val="16"/>
                <w:szCs w:val="16"/>
                <w:color w:val="auto"/>
              </w:rPr>
              <w:t>(9 )</w:t>
            </w:r>
          </w:p>
        </w:tc>
        <w:tc>
          <w:tcPr>
            <w:tcW w:w="840" w:type="dxa"/>
            <w:vAlign w:val="bottom"/>
            <w:shd w:val="clear" w:color="auto" w:fill="CFF0FC"/>
          </w:tcPr>
          <w:p>
            <w:pPr>
              <w:ind w:left="20"/>
              <w:spacing w:after="0" w:line="167" w:lineRule="exact"/>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line="167" w:lineRule="exact"/>
              <w:rPr>
                <w:sz w:val="20"/>
                <w:szCs w:val="20"/>
                <w:color w:val="auto"/>
              </w:rPr>
            </w:pPr>
            <w:r>
              <w:rPr>
                <w:rFonts w:ascii="Arial" w:cs="Arial" w:eastAsia="Arial" w:hAnsi="Arial"/>
                <w:sz w:val="16"/>
                <w:szCs w:val="16"/>
                <w:color w:val="auto"/>
              </w:rPr>
              <w:t>42</w:t>
            </w:r>
          </w:p>
        </w:tc>
        <w:tc>
          <w:tcPr>
            <w:tcW w:w="240" w:type="dxa"/>
            <w:vAlign w:val="bottom"/>
            <w:shd w:val="clear" w:color="auto" w:fill="CFF0FC"/>
          </w:tcPr>
          <w:p>
            <w:pPr>
              <w:spacing w:after="0"/>
              <w:rPr>
                <w:sz w:val="19"/>
                <w:szCs w:val="19"/>
                <w:color w:val="auto"/>
              </w:rPr>
            </w:pPr>
          </w:p>
        </w:tc>
        <w:tc>
          <w:tcPr>
            <w:tcW w:w="2120" w:type="dxa"/>
            <w:vAlign w:val="bottom"/>
            <w:shd w:val="clear" w:color="auto" w:fill="CFF0FC"/>
          </w:tcPr>
          <w:p>
            <w:pPr>
              <w:ind w:left="20"/>
              <w:spacing w:after="0" w:line="167" w:lineRule="exact"/>
              <w:rPr>
                <w:sz w:val="20"/>
                <w:szCs w:val="20"/>
                <w:color w:val="auto"/>
              </w:rPr>
            </w:pPr>
            <w:r>
              <w:rPr>
                <w:rFonts w:ascii="Arial" w:cs="Arial" w:eastAsia="Arial" w:hAnsi="Arial"/>
                <w:sz w:val="16"/>
                <w:szCs w:val="16"/>
                <w:i w:val="1"/>
                <w:iCs w:val="1"/>
                <w:color w:val="auto"/>
              </w:rPr>
              <w:t>Cost of services/sales</w:t>
            </w:r>
          </w:p>
        </w:tc>
      </w:tr>
      <w:tr>
        <w:trPr>
          <w:trHeight w:val="789"/>
        </w:trPr>
        <w:tc>
          <w:tcPr>
            <w:tcW w:w="476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ind w:right="180"/>
              <w:spacing w:after="0"/>
              <w:rPr>
                <w:sz w:val="20"/>
                <w:szCs w:val="20"/>
                <w:color w:val="auto"/>
              </w:rPr>
            </w:pPr>
            <w:r>
              <w:rPr>
                <w:rFonts w:ascii="Arial" w:cs="Arial" w:eastAsia="Arial" w:hAnsi="Arial"/>
                <w:sz w:val="16"/>
                <w:szCs w:val="16"/>
                <w:color w:val="auto"/>
                <w:w w:val="89"/>
              </w:rPr>
              <w:t>43</w:t>
            </w:r>
          </w:p>
        </w:tc>
        <w:tc>
          <w:tcPr>
            <w:tcW w:w="22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120" w:type="dxa"/>
            <w:vAlign w:val="bottom"/>
            <w:tcBorders>
              <w:top w:val="single" w:sz="8" w:color="CFF0FC"/>
            </w:tcBorders>
          </w:tcPr>
          <w:p>
            <w:pPr>
              <w:spacing w:after="0"/>
              <w:rPr>
                <w:sz w:val="24"/>
                <w:szCs w:val="24"/>
                <w:color w:val="auto"/>
              </w:rPr>
            </w:pPr>
          </w:p>
        </w:tc>
      </w:tr>
      <w:tr>
        <w:trPr>
          <w:trHeight w:val="742"/>
        </w:trPr>
        <w:tc>
          <w:tcPr>
            <w:tcW w:w="47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-1283970</wp:posOffset>
            </wp:positionV>
            <wp:extent cx="6731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-1267460</wp:posOffset>
            </wp:positionV>
            <wp:extent cx="6731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-1283970</wp:posOffset>
            </wp:positionV>
            <wp:extent cx="6731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-1267460</wp:posOffset>
            </wp:positionV>
            <wp:extent cx="6731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5641975</wp:posOffset>
            </wp:positionH>
            <wp:positionV relativeFrom="paragraph">
              <wp:posOffset>-1283970</wp:posOffset>
            </wp:positionV>
            <wp:extent cx="6731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5641975</wp:posOffset>
            </wp:positionH>
            <wp:positionV relativeFrom="paragraph">
              <wp:posOffset>-1267460</wp:posOffset>
            </wp:positionV>
            <wp:extent cx="6731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-1022350</wp:posOffset>
            </wp:positionV>
            <wp:extent cx="6731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-1005205</wp:posOffset>
            </wp:positionV>
            <wp:extent cx="6731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-1022350</wp:posOffset>
            </wp:positionV>
            <wp:extent cx="6731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-1005205</wp:posOffset>
            </wp:positionV>
            <wp:extent cx="6731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5641975</wp:posOffset>
            </wp:positionH>
            <wp:positionV relativeFrom="paragraph">
              <wp:posOffset>-1022350</wp:posOffset>
            </wp:positionV>
            <wp:extent cx="6731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5641975</wp:posOffset>
            </wp:positionH>
            <wp:positionV relativeFrom="paragraph">
              <wp:posOffset>-1005205</wp:posOffset>
            </wp:positionV>
            <wp:extent cx="6731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43" w:name="page44"/>
    <w:bookmarkEnd w:id="43"/>
    <w:p>
      <w:pPr>
        <w:jc w:val="both"/>
        <w:spacing w:after="0" w:line="251" w:lineRule="auto"/>
        <w:rPr>
          <w:sz w:val="20"/>
          <w:szCs w:val="20"/>
          <w:color w:val="auto"/>
        </w:rPr>
      </w:pPr>
      <w:r>
        <w:rPr>
          <w:rFonts w:ascii="Arial" w:cs="Arial" w:eastAsia="Arial" w:hAnsi="Arial"/>
          <w:sz w:val="16"/>
          <w:szCs w:val="16"/>
          <w:color w:val="auto"/>
        </w:rPr>
        <w:t>SLB has issued credit default swaps (“CDSs”) to certain financial institutions that have an aggregate notional amount outstanding of approximately $1.15 billion as of December 31, 2024. The CDSs relate to borrowings provided by the financial institutions to SLB’s primary customer in Mexico. The borrowings were used by this customer to pay certain of SLB’s outstanding receivables. Approximately $350 million of the outstanding CDSs reduces on a monthly basis over its remaining 14-month term while the remaining $800 million reduces on a monthly basis over its remaining 18-month term. The fair value of these derivative liabilities was not material at December 31, 2024.</w:t>
      </w:r>
    </w:p>
    <w:p>
      <w:pPr>
        <w:spacing w:after="0" w:line="183" w:lineRule="exact"/>
        <w:rPr>
          <w:sz w:val="20"/>
          <w:szCs w:val="20"/>
          <w:color w:val="auto"/>
        </w:rPr>
      </w:pPr>
    </w:p>
    <w:p>
      <w:pPr>
        <w:ind w:left="320" w:hanging="314"/>
        <w:spacing w:after="0"/>
        <w:tabs>
          <w:tab w:leader="none" w:pos="32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Stockholders’ Equity</w:t>
      </w:r>
    </w:p>
    <w:p>
      <w:pPr>
        <w:spacing w:after="0" w:line="10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SLB is authorized to issue 4,500,000,000 shares of common stock, par value $0.01 per share, of which 1,400,850,420 and 1,427,394,843 shares were outstanding on December 31, 2024 and 2023, respectively. Holders of common stock are entitled to one vote for each share of stock held. SLB is also authorized to issue 200,000,000 shares of preferred stock, par value $0.01 per share, which may be issued in series with terms and conditions determined by the SLB Board of Directors. No shares of preferred stock have been issued.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Accumulated Other Comprehensive Loss </w:t>
      </w:r>
      <w:r>
        <w:rPr>
          <w:rFonts w:ascii="Arial" w:cs="Arial" w:eastAsia="Arial" w:hAnsi="Arial"/>
          <w:sz w:val="16"/>
          <w:szCs w:val="16"/>
          <w:color w:val="auto"/>
        </w:rPr>
        <w:t>consists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69"/>
        </w:trPr>
        <w:tc>
          <w:tcPr>
            <w:tcW w:w="5340" w:type="dxa"/>
            <w:vAlign w:val="bottom"/>
          </w:tcPr>
          <w:p>
            <w:pPr>
              <w:spacing w:after="0"/>
              <w:rPr>
                <w:sz w:val="24"/>
                <w:szCs w:val="24"/>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color w:val="auto"/>
              </w:rPr>
              <w:t>2023</w:t>
            </w:r>
          </w:p>
        </w:tc>
        <w:tc>
          <w:tcPr>
            <w:tcW w:w="3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r>
      <w:tr>
        <w:trPr>
          <w:trHeight w:val="180"/>
        </w:trPr>
        <w:tc>
          <w:tcPr>
            <w:tcW w:w="534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Currency translation adjustments</w:t>
            </w:r>
          </w:p>
        </w:tc>
        <w:tc>
          <w:tcPr>
            <w:tcW w:w="1160" w:type="dxa"/>
            <w:vAlign w:val="bottom"/>
            <w:shd w:val="clear" w:color="auto" w:fill="CFF0FC"/>
          </w:tcPr>
          <w:p>
            <w:pPr>
              <w:jc w:val="right"/>
              <w:ind w:right="980"/>
              <w:spacing w:after="0" w:line="180" w:lineRule="exact"/>
              <w:rPr>
                <w:sz w:val="20"/>
                <w:szCs w:val="20"/>
                <w:color w:val="auto"/>
              </w:rPr>
            </w:pPr>
            <w:r>
              <w:rPr>
                <w:rFonts w:ascii="Arial" w:cs="Arial" w:eastAsia="Arial" w:hAnsi="Arial"/>
                <w:sz w:val="16"/>
                <w:szCs w:val="16"/>
                <w:b w:val="1"/>
                <w:bCs w:val="1"/>
                <w:color w:val="auto"/>
                <w:w w:val="89"/>
              </w:rPr>
              <w:t>$</w:t>
            </w:r>
          </w:p>
        </w:tc>
        <w:tc>
          <w:tcPr>
            <w:tcW w:w="900" w:type="dxa"/>
            <w:vAlign w:val="bottom"/>
            <w:gridSpan w:val="2"/>
            <w:shd w:val="clear" w:color="auto" w:fill="CFF0FC"/>
          </w:tcPr>
          <w:p>
            <w:pPr>
              <w:jc w:val="right"/>
              <w:ind w:right="240"/>
              <w:spacing w:after="0" w:line="180" w:lineRule="exact"/>
              <w:rPr>
                <w:sz w:val="20"/>
                <w:szCs w:val="20"/>
                <w:color w:val="auto"/>
              </w:rPr>
            </w:pPr>
            <w:r>
              <w:rPr>
                <w:rFonts w:ascii="Arial" w:cs="Arial" w:eastAsia="Arial" w:hAnsi="Arial"/>
                <w:sz w:val="16"/>
                <w:szCs w:val="16"/>
                <w:b w:val="1"/>
                <w:bCs w:val="1"/>
                <w:color w:val="auto"/>
              </w:rPr>
              <w:t>(2,697 )</w:t>
            </w:r>
          </w:p>
        </w:tc>
        <w:tc>
          <w:tcPr>
            <w:tcW w:w="380" w:type="dxa"/>
            <w:vAlign w:val="bottom"/>
            <w:shd w:val="clear" w:color="auto" w:fill="CFF0FC"/>
          </w:tcPr>
          <w:p>
            <w:pPr>
              <w:jc w:val="right"/>
              <w:ind w:right="200"/>
              <w:spacing w:after="0" w:line="180" w:lineRule="exact"/>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FF0FC"/>
          </w:tcPr>
          <w:p>
            <w:pPr>
              <w:jc w:val="right"/>
              <w:ind w:right="240"/>
              <w:spacing w:after="0" w:line="180" w:lineRule="exact"/>
              <w:rPr>
                <w:sz w:val="20"/>
                <w:szCs w:val="20"/>
                <w:color w:val="auto"/>
              </w:rPr>
            </w:pPr>
            <w:r>
              <w:rPr>
                <w:rFonts w:ascii="Arial" w:cs="Arial" w:eastAsia="Arial" w:hAnsi="Arial"/>
                <w:sz w:val="16"/>
                <w:szCs w:val="16"/>
                <w:color w:val="auto"/>
              </w:rPr>
              <w:t>(2,557 )</w:t>
            </w:r>
          </w:p>
        </w:tc>
        <w:tc>
          <w:tcPr>
            <w:tcW w:w="320" w:type="dxa"/>
            <w:vAlign w:val="bottom"/>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(2,444 )</w:t>
            </w:r>
          </w:p>
        </w:tc>
      </w:tr>
      <w:tr>
        <w:trPr>
          <w:trHeight w:val="186"/>
        </w:trPr>
        <w:tc>
          <w:tcPr>
            <w:tcW w:w="5340" w:type="dxa"/>
            <w:vAlign w:val="bottom"/>
          </w:tcPr>
          <w:p>
            <w:pPr>
              <w:ind w:left="20"/>
              <w:spacing w:after="0"/>
              <w:rPr>
                <w:sz w:val="20"/>
                <w:szCs w:val="20"/>
                <w:color w:val="auto"/>
              </w:rPr>
            </w:pPr>
            <w:r>
              <w:rPr>
                <w:rFonts w:ascii="Arial" w:cs="Arial" w:eastAsia="Arial" w:hAnsi="Arial"/>
                <w:sz w:val="16"/>
                <w:szCs w:val="16"/>
                <w:color w:val="auto"/>
              </w:rPr>
              <w:t>Pension and other postretirement benefit plans</w:t>
            </w:r>
          </w:p>
        </w:tc>
        <w:tc>
          <w:tcPr>
            <w:tcW w:w="11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(2,275 )</w:t>
            </w:r>
          </w:p>
        </w:tc>
        <w:tc>
          <w:tcPr>
            <w:tcW w:w="380" w:type="dxa"/>
            <w:vAlign w:val="bottom"/>
          </w:tcPr>
          <w:p>
            <w:pPr>
              <w:spacing w:after="0"/>
              <w:rPr>
                <w:sz w:val="16"/>
                <w:szCs w:val="16"/>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(1,709 )</w:t>
            </w:r>
          </w:p>
        </w:tc>
        <w:tc>
          <w:tcPr>
            <w:tcW w:w="320" w:type="dxa"/>
            <w:vAlign w:val="bottom"/>
          </w:tcPr>
          <w:p>
            <w:pPr>
              <w:spacing w:after="0"/>
              <w:rPr>
                <w:sz w:val="16"/>
                <w:szCs w:val="16"/>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(1,295 )</w:t>
            </w:r>
          </w:p>
        </w:tc>
      </w:tr>
      <w:tr>
        <w:trPr>
          <w:trHeight w:val="186"/>
        </w:trPr>
        <w:tc>
          <w:tcPr>
            <w:tcW w:w="5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 hedges</w:t>
            </w:r>
          </w:p>
        </w:tc>
        <w:tc>
          <w:tcPr>
            <w:tcW w:w="1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46</w:t>
            </w:r>
          </w:p>
        </w:tc>
        <w:tc>
          <w:tcPr>
            <w:tcW w:w="3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(116 )</w:t>
            </w:r>
          </w:p>
        </w:tc>
      </w:tr>
      <w:tr>
        <w:trPr>
          <w:trHeight w:val="186"/>
        </w:trPr>
        <w:tc>
          <w:tcPr>
            <w:tcW w:w="5340" w:type="dxa"/>
            <w:vAlign w:val="bottom"/>
          </w:tcPr>
          <w:p>
            <w:pPr>
              <w:ind w:left="20"/>
              <w:spacing w:after="0"/>
              <w:rPr>
                <w:sz w:val="20"/>
                <w:szCs w:val="20"/>
                <w:color w:val="auto"/>
              </w:rPr>
            </w:pPr>
            <w:r>
              <w:rPr>
                <w:rFonts w:ascii="Arial" w:cs="Arial" w:eastAsia="Arial" w:hAnsi="Arial"/>
                <w:sz w:val="16"/>
                <w:szCs w:val="16"/>
                <w:color w:val="auto"/>
              </w:rPr>
              <w:t>Other</w:t>
            </w:r>
          </w:p>
        </w:tc>
        <w:tc>
          <w:tcPr>
            <w:tcW w:w="11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(24 )</w:t>
            </w:r>
          </w:p>
        </w:tc>
        <w:tc>
          <w:tcPr>
            <w:tcW w:w="380" w:type="dxa"/>
            <w:vAlign w:val="bottom"/>
          </w:tcPr>
          <w:p>
            <w:pPr>
              <w:spacing w:after="0"/>
              <w:rPr>
                <w:sz w:val="16"/>
                <w:szCs w:val="16"/>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(30 )</w:t>
            </w:r>
          </w:p>
        </w:tc>
        <w:tc>
          <w:tcPr>
            <w:tcW w:w="3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20"/>
        </w:trPr>
        <w:tc>
          <w:tcPr>
            <w:tcW w:w="5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5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980"/>
              <w:spacing w:after="0" w:line="180" w:lineRule="exact"/>
              <w:rPr>
                <w:sz w:val="20"/>
                <w:szCs w:val="20"/>
                <w:color w:val="auto"/>
              </w:rPr>
            </w:pPr>
            <w:r>
              <w:rPr>
                <w:rFonts w:ascii="Arial" w:cs="Arial" w:eastAsia="Arial" w:hAnsi="Arial"/>
                <w:sz w:val="16"/>
                <w:szCs w:val="16"/>
                <w:b w:val="1"/>
                <w:bCs w:val="1"/>
                <w:color w:val="auto"/>
                <w:w w:val="89"/>
              </w:rPr>
              <w:t>$</w:t>
            </w:r>
          </w:p>
        </w:tc>
        <w:tc>
          <w:tcPr>
            <w:tcW w:w="900" w:type="dxa"/>
            <w:vAlign w:val="bottom"/>
            <w:gridSpan w:val="2"/>
            <w:shd w:val="clear" w:color="auto" w:fill="CFF0FC"/>
          </w:tcPr>
          <w:p>
            <w:pPr>
              <w:jc w:val="right"/>
              <w:ind w:right="240"/>
              <w:spacing w:after="0" w:line="180" w:lineRule="exact"/>
              <w:rPr>
                <w:sz w:val="20"/>
                <w:szCs w:val="20"/>
                <w:color w:val="auto"/>
              </w:rPr>
            </w:pPr>
            <w:r>
              <w:rPr>
                <w:rFonts w:ascii="Arial" w:cs="Arial" w:eastAsia="Arial" w:hAnsi="Arial"/>
                <w:sz w:val="16"/>
                <w:szCs w:val="16"/>
                <w:b w:val="1"/>
                <w:bCs w:val="1"/>
                <w:color w:val="auto"/>
              </w:rPr>
              <w:t>(4,950 )</w:t>
            </w:r>
          </w:p>
        </w:tc>
        <w:tc>
          <w:tcPr>
            <w:tcW w:w="380" w:type="dxa"/>
            <w:vAlign w:val="bottom"/>
            <w:shd w:val="clear" w:color="auto" w:fill="CFF0FC"/>
          </w:tcPr>
          <w:p>
            <w:pPr>
              <w:jc w:val="right"/>
              <w:ind w:right="200"/>
              <w:spacing w:after="0" w:line="180" w:lineRule="exact"/>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FF0FC"/>
          </w:tcPr>
          <w:p>
            <w:pPr>
              <w:jc w:val="right"/>
              <w:ind w:right="240"/>
              <w:spacing w:after="0" w:line="180" w:lineRule="exact"/>
              <w:rPr>
                <w:sz w:val="20"/>
                <w:szCs w:val="20"/>
                <w:color w:val="auto"/>
              </w:rPr>
            </w:pPr>
            <w:r>
              <w:rPr>
                <w:rFonts w:ascii="Arial" w:cs="Arial" w:eastAsia="Arial" w:hAnsi="Arial"/>
                <w:sz w:val="16"/>
                <w:szCs w:val="16"/>
                <w:color w:val="auto"/>
              </w:rPr>
              <w:t>(4,254 )</w:t>
            </w:r>
          </w:p>
        </w:tc>
        <w:tc>
          <w:tcPr>
            <w:tcW w:w="320" w:type="dxa"/>
            <w:vAlign w:val="bottom"/>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(3,855 )</w:t>
            </w: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4500880</wp:posOffset>
            </wp:positionH>
            <wp:positionV relativeFrom="paragraph">
              <wp:posOffset>-24765</wp:posOffset>
            </wp:positionV>
            <wp:extent cx="6731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-7620</wp:posOffset>
            </wp:positionV>
            <wp:extent cx="6731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5786120</wp:posOffset>
            </wp:positionH>
            <wp:positionV relativeFrom="paragraph">
              <wp:posOffset>-24765</wp:posOffset>
            </wp:positionV>
            <wp:extent cx="6731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5786120</wp:posOffset>
            </wp:positionH>
            <wp:positionV relativeFrom="paragraph">
              <wp:posOffset>-7620</wp:posOffset>
            </wp:positionV>
            <wp:extent cx="6731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-24765</wp:posOffset>
            </wp:positionV>
            <wp:extent cx="6731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-7620</wp:posOffset>
            </wp:positionV>
            <wp:extent cx="6731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392" w:lineRule="exact"/>
        <w:rPr>
          <w:sz w:val="20"/>
          <w:szCs w:val="20"/>
          <w:color w:val="auto"/>
        </w:rPr>
      </w:pPr>
    </w:p>
    <w:p>
      <w:pPr>
        <w:ind w:left="320" w:hanging="314"/>
        <w:spacing w:after="0"/>
        <w:tabs>
          <w:tab w:leader="none" w:pos="32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Stock-based Compensation Plans</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SLB has three types of stock-based compensation programs: (i) a restricted stock unit and performance share unit program (collectively referred to as “restricted stock”), (ii) a discounted stock purchase plan (“DSPP”), and (iii) stock options.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w:t>
      </w:r>
    </w:p>
    <w:p>
      <w:pPr>
        <w:spacing w:after="0" w:line="10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SLB grants performance share units to certain key employees. The number of shares earned is determined at the end of each performance period based on SLB’s achievement of certain predefined targets as described in the underlying performance share unit agreement. In the event SLB exceeds the predefined target, shares for up to a maximum of 250% of the target award may be awarded. In the event SLB falls below the predefined target, a reduced number of shares may be awarded. If SLB falls below the threshold award performance level, no shares will be awarded. As of December 31, 2024, 2.4 million performance share units were outstanding assuming the achievement of 100% of target.</w:t>
      </w:r>
    </w:p>
    <w:p>
      <w:pPr>
        <w:spacing w:after="0" w:line="15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Restricted stock awards do not pay dividends or have voting rights prior to vesting and generally vest at the end of three years or ratably in equal tranches over a three-year period. The fair value of a restricted stock award is generally the quoted market price of SLB’s stock on the date of grant less the present value of the expected dividends not received prior to vesting.</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related to restricted stock activity: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5"/>
          </w:tcPr>
          <w:p>
            <w:pPr>
              <w:jc w:val="right"/>
              <w:ind w:right="140"/>
              <w:spacing w:after="0"/>
              <w:rPr>
                <w:sz w:val="20"/>
                <w:szCs w:val="20"/>
                <w:color w:val="auto"/>
              </w:rPr>
            </w:pPr>
            <w:r>
              <w:rPr>
                <w:rFonts w:ascii="Arial" w:cs="Arial" w:eastAsia="Arial" w:hAnsi="Arial"/>
                <w:sz w:val="14"/>
                <w:szCs w:val="14"/>
                <w:i w:val="1"/>
                <w:iCs w:val="1"/>
                <w:color w:val="auto"/>
              </w:rPr>
              <w:t>(Shares stated in millions)</w:t>
            </w:r>
          </w:p>
        </w:tc>
      </w:tr>
      <w:tr>
        <w:trPr>
          <w:trHeight w:val="369"/>
        </w:trPr>
        <w:tc>
          <w:tcPr>
            <w:tcW w:w="4540" w:type="dxa"/>
            <w:vAlign w:val="bottom"/>
          </w:tcPr>
          <w:p>
            <w:pPr>
              <w:spacing w:after="0"/>
              <w:rPr>
                <w:sz w:val="24"/>
                <w:szCs w:val="24"/>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gridSpan w:val="4"/>
          </w:tcPr>
          <w:p>
            <w:pPr>
              <w:jc w:val="right"/>
              <w:ind w:right="20"/>
              <w:spacing w:after="0"/>
              <w:rPr>
                <w:sz w:val="20"/>
                <w:szCs w:val="20"/>
                <w:color w:val="auto"/>
              </w:rPr>
            </w:pPr>
            <w:r>
              <w:rPr>
                <w:rFonts w:ascii="Arial" w:cs="Arial" w:eastAsia="Arial" w:hAnsi="Arial"/>
                <w:sz w:val="16"/>
                <w:szCs w:val="16"/>
                <w:color w:val="auto"/>
              </w:rPr>
              <w:t>2023</w:t>
            </w:r>
          </w:p>
        </w:tc>
        <w:tc>
          <w:tcPr>
            <w:tcW w:w="740" w:type="dxa"/>
            <w:vAlign w:val="bottom"/>
          </w:tcPr>
          <w:p>
            <w:pPr>
              <w:spacing w:after="0"/>
              <w:rPr>
                <w:sz w:val="24"/>
                <w:szCs w:val="24"/>
                <w:color w:val="auto"/>
              </w:rPr>
            </w:pPr>
          </w:p>
        </w:tc>
        <w:tc>
          <w:tcPr>
            <w:tcW w:w="1500" w:type="dxa"/>
            <w:vAlign w:val="bottom"/>
            <w:gridSpan w:val="4"/>
          </w:tcPr>
          <w:p>
            <w:pPr>
              <w:jc w:val="right"/>
              <w:spacing w:after="0"/>
              <w:rPr>
                <w:sz w:val="20"/>
                <w:szCs w:val="20"/>
                <w:color w:val="auto"/>
              </w:rPr>
            </w:pPr>
            <w:r>
              <w:rPr>
                <w:rFonts w:ascii="Arial" w:cs="Arial" w:eastAsia="Arial" w:hAnsi="Arial"/>
                <w:sz w:val="16"/>
                <w:szCs w:val="16"/>
                <w:color w:val="auto"/>
              </w:rPr>
              <w:t>2022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6"/>
        </w:trPr>
        <w:tc>
          <w:tcPr>
            <w:tcW w:w="45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jc w:val="center"/>
              <w:spacing w:after="0" w:line="165" w:lineRule="exact"/>
              <w:rPr>
                <w:sz w:val="20"/>
                <w:szCs w:val="20"/>
                <w:color w:val="auto"/>
              </w:rPr>
            </w:pPr>
            <w:r>
              <w:rPr>
                <w:rFonts w:ascii="Arial" w:cs="Arial" w:eastAsia="Arial" w:hAnsi="Arial"/>
                <w:sz w:val="16"/>
                <w:szCs w:val="16"/>
                <w:b w:val="1"/>
                <w:bCs w:val="1"/>
                <w:color w:val="auto"/>
                <w:w w:val="98"/>
              </w:rPr>
              <w:t>Weighted-</w:t>
            </w:r>
          </w:p>
        </w:tc>
        <w:tc>
          <w:tcPr>
            <w:tcW w:w="22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jc w:val="center"/>
              <w:spacing w:after="0" w:line="165" w:lineRule="exact"/>
              <w:rPr>
                <w:sz w:val="20"/>
                <w:szCs w:val="20"/>
                <w:color w:val="auto"/>
              </w:rPr>
            </w:pPr>
            <w:r>
              <w:rPr>
                <w:rFonts w:ascii="Arial" w:cs="Arial" w:eastAsia="Arial" w:hAnsi="Arial"/>
                <w:sz w:val="16"/>
                <w:szCs w:val="16"/>
                <w:color w:val="auto"/>
              </w:rPr>
              <w:t>Weighted-</w:t>
            </w:r>
          </w:p>
        </w:tc>
        <w:tc>
          <w:tcPr>
            <w:tcW w:w="2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jc w:val="center"/>
              <w:spacing w:after="0" w:line="165" w:lineRule="exact"/>
              <w:rPr>
                <w:sz w:val="20"/>
                <w:szCs w:val="20"/>
                <w:color w:val="auto"/>
              </w:rPr>
            </w:pPr>
            <w:r>
              <w:rPr>
                <w:rFonts w:ascii="Arial" w:cs="Arial" w:eastAsia="Arial" w:hAnsi="Arial"/>
                <w:sz w:val="16"/>
                <w:szCs w:val="16"/>
                <w:color w:val="auto"/>
                <w:w w:val="98"/>
              </w:rPr>
              <w:t>Weighted-</w:t>
            </w:r>
          </w:p>
        </w:tc>
        <w:tc>
          <w:tcPr>
            <w:tcW w:w="100" w:type="dxa"/>
            <w:vAlign w:val="bottom"/>
          </w:tcPr>
          <w:p>
            <w:pPr>
              <w:spacing w:after="0"/>
              <w:rPr>
                <w:sz w:val="14"/>
                <w:szCs w:val="14"/>
                <w:color w:val="auto"/>
              </w:rPr>
            </w:pPr>
          </w:p>
        </w:tc>
      </w:tr>
      <w:tr>
        <w:trPr>
          <w:trHeight w:val="186"/>
        </w:trPr>
        <w:tc>
          <w:tcPr>
            <w:tcW w:w="4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40"/>
              <w:spacing w:after="0"/>
              <w:rPr>
                <w:sz w:val="20"/>
                <w:szCs w:val="20"/>
                <w:color w:val="auto"/>
              </w:rPr>
            </w:pPr>
            <w:r>
              <w:rPr>
                <w:rFonts w:ascii="Arial" w:cs="Arial" w:eastAsia="Arial" w:hAnsi="Arial"/>
                <w:sz w:val="16"/>
                <w:szCs w:val="16"/>
                <w:b w:val="1"/>
                <w:bCs w:val="1"/>
                <w:color w:val="auto"/>
              </w:rPr>
              <w:t>Average</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60"/>
              <w:spacing w:after="0"/>
              <w:rPr>
                <w:sz w:val="20"/>
                <w:szCs w:val="20"/>
                <w:color w:val="auto"/>
              </w:rPr>
            </w:pPr>
            <w:r>
              <w:rPr>
                <w:rFonts w:ascii="Arial" w:cs="Arial" w:eastAsia="Arial" w:hAnsi="Arial"/>
                <w:sz w:val="16"/>
                <w:szCs w:val="16"/>
                <w:color w:val="auto"/>
              </w:rPr>
              <w:t>Average</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color w:val="auto"/>
              </w:rPr>
              <w:t>Average</w:t>
            </w:r>
          </w:p>
        </w:tc>
      </w:tr>
      <w:tr>
        <w:trPr>
          <w:trHeight w:val="186"/>
        </w:trPr>
        <w:tc>
          <w:tcPr>
            <w:tcW w:w="4540" w:type="dxa"/>
            <w:vAlign w:val="bottom"/>
          </w:tcPr>
          <w:p>
            <w:pPr>
              <w:spacing w:after="0"/>
              <w:rPr>
                <w:sz w:val="16"/>
                <w:szCs w:val="16"/>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Restricted</w:t>
            </w:r>
          </w:p>
        </w:tc>
        <w:tc>
          <w:tcPr>
            <w:tcW w:w="860" w:type="dxa"/>
            <w:vAlign w:val="bottom"/>
            <w:gridSpan w:val="2"/>
          </w:tcPr>
          <w:p>
            <w:pPr>
              <w:spacing w:after="0"/>
              <w:rPr>
                <w:sz w:val="20"/>
                <w:szCs w:val="20"/>
                <w:color w:val="auto"/>
              </w:rPr>
            </w:pPr>
            <w:r>
              <w:rPr>
                <w:rFonts w:ascii="Arial" w:cs="Arial" w:eastAsia="Arial" w:hAnsi="Arial"/>
                <w:sz w:val="16"/>
                <w:szCs w:val="16"/>
                <w:b w:val="1"/>
                <w:bCs w:val="1"/>
                <w:color w:val="auto"/>
              </w:rPr>
              <w:t>Grant Date</w:t>
            </w:r>
          </w:p>
        </w:tc>
        <w:tc>
          <w:tcPr>
            <w:tcW w:w="220" w:type="dxa"/>
            <w:vAlign w:val="bottom"/>
          </w:tcPr>
          <w:p>
            <w:pPr>
              <w:spacing w:after="0"/>
              <w:rPr>
                <w:sz w:val="16"/>
                <w:szCs w:val="16"/>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Restricted</w:t>
            </w:r>
          </w:p>
        </w:tc>
        <w:tc>
          <w:tcPr>
            <w:tcW w:w="860" w:type="dxa"/>
            <w:vAlign w:val="bottom"/>
            <w:gridSpan w:val="2"/>
          </w:tcPr>
          <w:p>
            <w:pPr>
              <w:ind w:left="40"/>
              <w:spacing w:after="0"/>
              <w:rPr>
                <w:sz w:val="20"/>
                <w:szCs w:val="20"/>
                <w:color w:val="auto"/>
              </w:rPr>
            </w:pPr>
            <w:r>
              <w:rPr>
                <w:rFonts w:ascii="Arial" w:cs="Arial" w:eastAsia="Arial" w:hAnsi="Arial"/>
                <w:sz w:val="16"/>
                <w:szCs w:val="16"/>
                <w:color w:val="auto"/>
              </w:rPr>
              <w:t>Grant Date</w:t>
            </w:r>
          </w:p>
        </w:tc>
        <w:tc>
          <w:tcPr>
            <w:tcW w:w="22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Restricted</w:t>
            </w:r>
          </w:p>
        </w:tc>
        <w:tc>
          <w:tcPr>
            <w:tcW w:w="102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Grant Date</w:t>
            </w:r>
          </w:p>
        </w:tc>
      </w:tr>
      <w:tr>
        <w:trPr>
          <w:trHeight w:val="200"/>
        </w:trPr>
        <w:tc>
          <w:tcPr>
            <w:tcW w:w="4540" w:type="dxa"/>
            <w:vAlign w:val="bottom"/>
          </w:tcPr>
          <w:p>
            <w:pPr>
              <w:spacing w:after="0"/>
              <w:rPr>
                <w:sz w:val="17"/>
                <w:szCs w:val="17"/>
                <w:color w:val="auto"/>
              </w:rPr>
            </w:pPr>
          </w:p>
        </w:tc>
        <w:tc>
          <w:tcPr>
            <w:tcW w:w="9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Stock</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Fair Value</w:t>
            </w:r>
          </w:p>
        </w:tc>
        <w:tc>
          <w:tcPr>
            <w:tcW w:w="220" w:type="dxa"/>
            <w:vAlign w:val="bottom"/>
          </w:tcPr>
          <w:p>
            <w:pPr>
              <w:spacing w:after="0"/>
              <w:rPr>
                <w:sz w:val="17"/>
                <w:szCs w:val="17"/>
                <w:color w:val="auto"/>
              </w:rPr>
            </w:pPr>
          </w:p>
        </w:tc>
        <w:tc>
          <w:tcPr>
            <w:tcW w:w="9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Stock</w:t>
            </w:r>
          </w:p>
        </w:tc>
        <w:tc>
          <w:tcPr>
            <w:tcW w:w="200" w:type="dxa"/>
            <w:vAlign w:val="bottom"/>
          </w:tcPr>
          <w:p>
            <w:pPr>
              <w:spacing w:after="0"/>
              <w:rPr>
                <w:sz w:val="17"/>
                <w:szCs w:val="17"/>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Fair Value</w:t>
            </w:r>
          </w:p>
        </w:tc>
        <w:tc>
          <w:tcPr>
            <w:tcW w:w="220" w:type="dxa"/>
            <w:vAlign w:val="bottom"/>
          </w:tcPr>
          <w:p>
            <w:pPr>
              <w:spacing w:after="0"/>
              <w:rPr>
                <w:sz w:val="17"/>
                <w:szCs w:val="17"/>
                <w:color w:val="auto"/>
              </w:rPr>
            </w:pP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Stock</w:t>
            </w:r>
          </w:p>
        </w:tc>
        <w:tc>
          <w:tcPr>
            <w:tcW w:w="200" w:type="dxa"/>
            <w:vAlign w:val="bottom"/>
          </w:tcPr>
          <w:p>
            <w:pPr>
              <w:spacing w:after="0"/>
              <w:rPr>
                <w:sz w:val="17"/>
                <w:szCs w:val="17"/>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8"/>
              </w:rPr>
              <w:t>Fair Value</w:t>
            </w:r>
          </w:p>
        </w:tc>
        <w:tc>
          <w:tcPr>
            <w:tcW w:w="100" w:type="dxa"/>
            <w:vAlign w:val="bottom"/>
          </w:tcPr>
          <w:p>
            <w:pPr>
              <w:spacing w:after="0"/>
              <w:rPr>
                <w:sz w:val="17"/>
                <w:szCs w:val="17"/>
                <w:color w:val="auto"/>
              </w:rPr>
            </w:pPr>
          </w:p>
        </w:tc>
      </w:tr>
      <w:tr>
        <w:trPr>
          <w:trHeight w:val="180"/>
        </w:trPr>
        <w:tc>
          <w:tcPr>
            <w:tcW w:w="454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Unvested at beginning of year</w:t>
            </w:r>
          </w:p>
        </w:tc>
        <w:tc>
          <w:tcPr>
            <w:tcW w:w="9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14</w:t>
            </w: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39.88</w:t>
            </w:r>
          </w:p>
        </w:tc>
        <w:tc>
          <w:tcPr>
            <w:tcW w:w="118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18</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30.24</w:t>
            </w:r>
          </w:p>
        </w:tc>
        <w:tc>
          <w:tcPr>
            <w:tcW w:w="116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22</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29.03</w:t>
            </w:r>
          </w:p>
        </w:tc>
        <w:tc>
          <w:tcPr>
            <w:tcW w:w="100" w:type="dxa"/>
            <w:vAlign w:val="bottom"/>
            <w:shd w:val="clear" w:color="auto" w:fill="CFF0FC"/>
          </w:tcPr>
          <w:p>
            <w:pPr>
              <w:spacing w:after="0"/>
              <w:rPr>
                <w:sz w:val="15"/>
                <w:szCs w:val="15"/>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6"/>
                <w:szCs w:val="16"/>
                <w:color w:val="auto"/>
              </w:rPr>
              <w:t>Granted</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45.44</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56.24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36.16</w:t>
            </w:r>
          </w:p>
        </w:tc>
        <w:tc>
          <w:tcPr>
            <w:tcW w:w="100" w:type="dxa"/>
            <w:vAlign w:val="bottom"/>
          </w:tcPr>
          <w:p>
            <w:pPr>
              <w:spacing w:after="0"/>
              <w:rPr>
                <w:sz w:val="16"/>
                <w:szCs w:val="16"/>
                <w:color w:val="auto"/>
              </w:rPr>
            </w:pPr>
          </w:p>
        </w:tc>
      </w:tr>
      <w:tr>
        <w:trPr>
          <w:trHeight w:val="186"/>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for performance achieved</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22.85</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35.55</w:t>
            </w:r>
          </w:p>
        </w:tc>
        <w:tc>
          <w:tcPr>
            <w:tcW w:w="100" w:type="dxa"/>
            <w:vAlign w:val="bottom"/>
            <w:shd w:val="clear" w:color="auto" w:fill="CFF0FC"/>
          </w:tcPr>
          <w:p>
            <w:pPr>
              <w:spacing w:after="0"/>
              <w:rPr>
                <w:sz w:val="16"/>
                <w:szCs w:val="16"/>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6"/>
                <w:szCs w:val="16"/>
                <w:color w:val="auto"/>
              </w:rPr>
              <w:t>Vested</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(8 )</w:t>
            </w:r>
          </w:p>
        </w:tc>
        <w:tc>
          <w:tcPr>
            <w:tcW w:w="2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32.50</w:t>
            </w:r>
          </w:p>
        </w:tc>
        <w:tc>
          <w:tcPr>
            <w:tcW w:w="1380" w:type="dxa"/>
            <w:vAlign w:val="bottom"/>
            <w:gridSpan w:val="3"/>
          </w:tcPr>
          <w:p>
            <w:pPr>
              <w:jc w:val="right"/>
              <w:ind w:right="140"/>
              <w:spacing w:after="0"/>
              <w:rPr>
                <w:sz w:val="20"/>
                <w:szCs w:val="20"/>
                <w:color w:val="auto"/>
              </w:rPr>
            </w:pPr>
            <w:r>
              <w:rPr>
                <w:rFonts w:ascii="Arial" w:cs="Arial" w:eastAsia="Arial" w:hAnsi="Arial"/>
                <w:sz w:val="16"/>
                <w:szCs w:val="16"/>
                <w:color w:val="auto"/>
              </w:rPr>
              <w:t>(11 )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29.82</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(13 )</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32.42</w:t>
            </w:r>
          </w:p>
        </w:tc>
        <w:tc>
          <w:tcPr>
            <w:tcW w:w="100" w:type="dxa"/>
            <w:vAlign w:val="bottom"/>
          </w:tcPr>
          <w:p>
            <w:pPr>
              <w:spacing w:after="0"/>
              <w:rPr>
                <w:sz w:val="16"/>
                <w:szCs w:val="16"/>
                <w:color w:val="auto"/>
              </w:rPr>
            </w:pPr>
          </w:p>
        </w:tc>
      </w:tr>
      <w:tr>
        <w:trPr>
          <w:trHeight w:val="220"/>
        </w:trPr>
        <w:tc>
          <w:tcPr>
            <w:tcW w:w="4540" w:type="dxa"/>
            <w:vAlign w:val="bottom"/>
            <w:tcBorders>
              <w:top w:val="single" w:sz="8" w:color="CFF0FC"/>
              <w:bottom w:val="single" w:sz="8" w:color="CFF0FC"/>
            </w:tcBorders>
            <w:shd w:val="clear" w:color="auto" w:fill="CFF0FC"/>
          </w:tcPr>
          <w:p>
            <w:pPr>
              <w:ind w:left="20"/>
              <w:spacing w:after="0" w:line="167" w:lineRule="exact"/>
              <w:rPr>
                <w:sz w:val="20"/>
                <w:szCs w:val="20"/>
                <w:color w:val="auto"/>
              </w:rPr>
            </w:pPr>
            <w:r>
              <w:rPr>
                <w:rFonts w:ascii="Arial" w:cs="Arial" w:eastAsia="Arial" w:hAnsi="Arial"/>
                <w:sz w:val="16"/>
                <w:szCs w:val="16"/>
                <w:color w:val="auto"/>
              </w:rPr>
              <w:t>Unvested at year-end</w:t>
            </w:r>
          </w:p>
        </w:tc>
        <w:tc>
          <w:tcPr>
            <w:tcW w:w="960" w:type="dxa"/>
            <w:vAlign w:val="bottom"/>
            <w:tcBorders>
              <w:top w:val="single" w:sz="8" w:color="auto"/>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6"/>
                <w:szCs w:val="16"/>
                <w:b w:val="1"/>
                <w:bCs w:val="1"/>
                <w:color w:val="auto"/>
              </w:rPr>
              <w:t>13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line="167" w:lineRule="exact"/>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6"/>
                <w:szCs w:val="16"/>
                <w:b w:val="1"/>
                <w:bCs w:val="1"/>
                <w:color w:val="auto"/>
              </w:rPr>
              <w:t>46.12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6"/>
                <w:szCs w:val="16"/>
                <w:color w:val="auto"/>
              </w:rPr>
              <w:t>14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ind w:left="20"/>
              <w:spacing w:after="0" w:line="167"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6"/>
                <w:szCs w:val="16"/>
                <w:color w:val="auto"/>
              </w:rPr>
              <w:t>39.88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6"/>
                <w:szCs w:val="16"/>
                <w:color w:val="auto"/>
              </w:rPr>
              <w:t>18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6"/>
                <w:szCs w:val="16"/>
                <w:color w:val="auto"/>
              </w:rPr>
              <w:t>30.24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-24765</wp:posOffset>
            </wp:positionV>
            <wp:extent cx="762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-7620</wp:posOffset>
            </wp:positionV>
            <wp:extent cx="762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-151765</wp:posOffset>
            </wp:positionV>
            <wp:extent cx="762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-24765</wp:posOffset>
            </wp:positionV>
            <wp:extent cx="762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-7620</wp:posOffset>
            </wp:positionV>
            <wp:extent cx="762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-151765</wp:posOffset>
            </wp:positionV>
            <wp:extent cx="762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-24765</wp:posOffset>
            </wp:positionV>
            <wp:extent cx="6731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-7620</wp:posOffset>
            </wp:positionV>
            <wp:extent cx="6731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-151765</wp:posOffset>
            </wp:positionV>
            <wp:extent cx="6731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5625465</wp:posOffset>
            </wp:positionH>
            <wp:positionV relativeFrom="paragraph">
              <wp:posOffset>-24765</wp:posOffset>
            </wp:positionV>
            <wp:extent cx="6731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5625465</wp:posOffset>
            </wp:positionH>
            <wp:positionV relativeFrom="paragraph">
              <wp:posOffset>-7620</wp:posOffset>
            </wp:positionV>
            <wp:extent cx="6731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5625465</wp:posOffset>
            </wp:positionH>
            <wp:positionV relativeFrom="paragraph">
              <wp:posOffset>-151765</wp:posOffset>
            </wp:positionV>
            <wp:extent cx="6731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-24765</wp:posOffset>
            </wp:positionV>
            <wp:extent cx="6731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-7620</wp:posOffset>
            </wp:positionV>
            <wp:extent cx="6731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-151765</wp:posOffset>
            </wp:positionV>
            <wp:extent cx="6731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-24765</wp:posOffset>
            </wp:positionV>
            <wp:extent cx="6731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-7620</wp:posOffset>
            </wp:positionV>
            <wp:extent cx="6731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-151765</wp:posOffset>
            </wp:positionV>
            <wp:extent cx="6731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Discounted Stock Purchase Plan</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Under the terms of the DSPP, employees can choose to have a portion of their earnings withheld, subject to certain restrictions, to purchase SLB common stock. Until July 1, 2022, the purchase price of the stock was 92.5% of the lower of the stock price at the beginning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44" w:name="page45"/>
    <w:bookmarkEnd w:id="44"/>
    <w:p>
      <w:pPr>
        <w:ind w:right="20"/>
        <w:spacing w:after="0" w:line="277" w:lineRule="auto"/>
        <w:rPr>
          <w:sz w:val="20"/>
          <w:szCs w:val="20"/>
          <w:color w:val="auto"/>
        </w:rPr>
      </w:pPr>
      <w:r>
        <w:rPr>
          <w:rFonts w:ascii="Arial" w:cs="Arial" w:eastAsia="Arial" w:hAnsi="Arial"/>
          <w:sz w:val="16"/>
          <w:szCs w:val="16"/>
          <w:color w:val="auto"/>
        </w:rPr>
        <w:t>or end of the plan period at six-month intervals. Effective July 1, 2022, the purchase price of the stock was changed to 85% of the lower of the stock price at the beginning or end of the plan period at six-month intervals.</w:t>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fair value of the employees’ purchase rights under the DSPP was estimated using the Black-Scholes model with the following assumptions and resulting weighted-average fair value per share: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4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7"/>
                <w:szCs w:val="17"/>
                <w:color w:val="auto"/>
              </w:rPr>
            </w:pPr>
          </w:p>
        </w:tc>
      </w:tr>
      <w:tr>
        <w:trPr>
          <w:trHeight w:val="180"/>
        </w:trPr>
        <w:tc>
          <w:tcPr>
            <w:tcW w:w="640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Dividend yield</w:t>
            </w:r>
          </w:p>
        </w:tc>
        <w:tc>
          <w:tcPr>
            <w:tcW w:w="9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line="180" w:lineRule="exact"/>
              <w:rPr>
                <w:sz w:val="20"/>
                <w:szCs w:val="20"/>
                <w:color w:val="auto"/>
              </w:rPr>
            </w:pPr>
            <w:r>
              <w:rPr>
                <w:rFonts w:ascii="Arial" w:cs="Arial" w:eastAsia="Arial" w:hAnsi="Arial"/>
                <w:sz w:val="16"/>
                <w:szCs w:val="16"/>
                <w:b w:val="1"/>
                <w:bCs w:val="1"/>
                <w:color w:val="auto"/>
              </w:rPr>
              <w:t>2.1 %</w:t>
            </w:r>
          </w:p>
        </w:tc>
        <w:tc>
          <w:tcPr>
            <w:tcW w:w="3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20"/>
              <w:spacing w:after="0" w:line="180" w:lineRule="exact"/>
              <w:rPr>
                <w:sz w:val="20"/>
                <w:szCs w:val="20"/>
                <w:color w:val="auto"/>
              </w:rPr>
            </w:pPr>
            <w:r>
              <w:rPr>
                <w:rFonts w:ascii="Arial" w:cs="Arial" w:eastAsia="Arial" w:hAnsi="Arial"/>
                <w:sz w:val="16"/>
                <w:szCs w:val="16"/>
                <w:color w:val="auto"/>
              </w:rPr>
              <w:t>1.7 %</w:t>
            </w:r>
          </w:p>
        </w:tc>
        <w:tc>
          <w:tcPr>
            <w:tcW w:w="3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1.8 %</w:t>
            </w:r>
          </w:p>
        </w:tc>
      </w:tr>
      <w:tr>
        <w:trPr>
          <w:trHeight w:val="186"/>
        </w:trPr>
        <w:tc>
          <w:tcPr>
            <w:tcW w:w="640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9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31 %</w:t>
            </w:r>
          </w:p>
        </w:tc>
        <w:tc>
          <w:tcPr>
            <w:tcW w:w="3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50 %</w:t>
            </w:r>
          </w:p>
        </w:tc>
        <w:tc>
          <w:tcPr>
            <w:tcW w:w="30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47 %</w:t>
            </w:r>
          </w:p>
        </w:tc>
      </w:tr>
      <w:tr>
        <w:trPr>
          <w:trHeight w:val="186"/>
        </w:trPr>
        <w:tc>
          <w:tcPr>
            <w:tcW w:w="6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Risk-free interest rate</w:t>
            </w:r>
          </w:p>
        </w:tc>
        <w:tc>
          <w:tcPr>
            <w:tcW w:w="90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5.31 %</w:t>
            </w:r>
          </w:p>
        </w:tc>
        <w:tc>
          <w:tcPr>
            <w:tcW w:w="3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5.13 %</w:t>
            </w: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1.32 %</w:t>
            </w:r>
          </w:p>
        </w:tc>
      </w:tr>
      <w:tr>
        <w:trPr>
          <w:trHeight w:val="219"/>
        </w:trPr>
        <w:tc>
          <w:tcPr>
            <w:tcW w:w="6400" w:type="dxa"/>
            <w:vAlign w:val="bottom"/>
          </w:tcPr>
          <w:p>
            <w:pPr>
              <w:ind w:left="20"/>
              <w:spacing w:after="0"/>
              <w:rPr>
                <w:sz w:val="20"/>
                <w:szCs w:val="20"/>
                <w:color w:val="auto"/>
              </w:rPr>
            </w:pPr>
            <w:r>
              <w:rPr>
                <w:rFonts w:ascii="Arial" w:cs="Arial" w:eastAsia="Arial" w:hAnsi="Arial"/>
                <w:sz w:val="16"/>
                <w:szCs w:val="16"/>
                <w:color w:val="auto"/>
              </w:rPr>
              <w:t>Weighted-average fair value per share</w:t>
            </w:r>
          </w:p>
        </w:tc>
        <w:tc>
          <w:tcPr>
            <w:tcW w:w="900" w:type="dxa"/>
            <w:vAlign w:val="bottom"/>
          </w:tcPr>
          <w:p>
            <w:pPr>
              <w:jc w:val="right"/>
              <w:ind w:right="720"/>
              <w:spacing w:after="0"/>
              <w:rPr>
                <w:sz w:val="20"/>
                <w:szCs w:val="20"/>
                <w:color w:val="auto"/>
              </w:rPr>
            </w:pPr>
            <w:r>
              <w:rPr>
                <w:rFonts w:ascii="Arial" w:cs="Arial" w:eastAsia="Arial" w:hAnsi="Arial"/>
                <w:sz w:val="16"/>
                <w:szCs w:val="16"/>
                <w:b w:val="1"/>
                <w:bCs w:val="1"/>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12.02</w:t>
            </w:r>
          </w:p>
        </w:tc>
        <w:tc>
          <w:tcPr>
            <w:tcW w:w="280" w:type="dxa"/>
            <w:vAlign w:val="bottom"/>
          </w:tcPr>
          <w:p>
            <w:pPr>
              <w:spacing w:after="0"/>
              <w:rPr>
                <w:sz w:val="19"/>
                <w:szCs w:val="19"/>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14.93</w:t>
            </w:r>
          </w:p>
        </w:tc>
        <w:tc>
          <w:tcPr>
            <w:tcW w:w="280" w:type="dxa"/>
            <w:vAlign w:val="bottom"/>
          </w:tcPr>
          <w:p>
            <w:pPr>
              <w:spacing w:after="0"/>
              <w:rPr>
                <w:sz w:val="19"/>
                <w:szCs w:val="19"/>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8.05</w:t>
            </w:r>
          </w:p>
        </w:tc>
        <w:tc>
          <w:tcPr>
            <w:tcW w:w="180" w:type="dxa"/>
            <w:vAlign w:val="bottom"/>
          </w:tcPr>
          <w:p>
            <w:pPr>
              <w:spacing w:after="0"/>
              <w:rPr>
                <w:sz w:val="19"/>
                <w:szCs w:val="19"/>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Key employees may be granted stock options under SLB stock option plans. The exercise price equals the average of the high and low sales prices of SLB stock on the date of grant. The maximum term is 10 years, and the options generally vest in increments over five years.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stock option activity: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9"/>
          </w:tcPr>
          <w:p>
            <w:pPr>
              <w:jc w:val="center"/>
              <w:ind w:left="184"/>
              <w:spacing w:after="0"/>
              <w:rPr>
                <w:sz w:val="20"/>
                <w:szCs w:val="20"/>
                <w:color w:val="auto"/>
              </w:rPr>
            </w:pPr>
            <w:r>
              <w:rPr>
                <w:rFonts w:ascii="Arial" w:cs="Arial" w:eastAsia="Arial" w:hAnsi="Arial"/>
                <w:sz w:val="14"/>
                <w:szCs w:val="14"/>
                <w:i w:val="1"/>
                <w:iCs w:val="1"/>
                <w:color w:val="auto"/>
              </w:rPr>
              <w:t>(Shares stated in millions)</w:t>
            </w:r>
          </w:p>
        </w:tc>
      </w:tr>
      <w:tr>
        <w:trPr>
          <w:trHeight w:val="369"/>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gridSpan w:val="4"/>
          </w:tcPr>
          <w:p>
            <w:pPr>
              <w:ind w:left="80"/>
              <w:spacing w:after="0"/>
              <w:rPr>
                <w:sz w:val="20"/>
                <w:szCs w:val="20"/>
                <w:color w:val="auto"/>
              </w:rPr>
            </w:pPr>
            <w:r>
              <w:rPr>
                <w:rFonts w:ascii="Arial" w:cs="Arial" w:eastAsia="Arial" w:hAnsi="Arial"/>
                <w:sz w:val="16"/>
                <w:szCs w:val="16"/>
                <w:color w:val="auto"/>
              </w:rPr>
              <w:t>2023</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7"/>
          </w:tcPr>
          <w:p>
            <w:pPr>
              <w:jc w:val="right"/>
              <w:spacing w:after="0"/>
              <w:rPr>
                <w:sz w:val="20"/>
                <w:szCs w:val="20"/>
                <w:color w:val="auto"/>
              </w:rPr>
            </w:pPr>
            <w:r>
              <w:rPr>
                <w:rFonts w:ascii="Arial" w:cs="Arial" w:eastAsia="Arial" w:hAnsi="Arial"/>
                <w:sz w:val="16"/>
                <w:szCs w:val="16"/>
                <w:color w:val="auto"/>
              </w:rPr>
              <w:t>2022</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6"/>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4"/>
          </w:tcPr>
          <w:p>
            <w:pPr>
              <w:jc w:val="center"/>
              <w:spacing w:after="0" w:line="165" w:lineRule="exact"/>
              <w:rPr>
                <w:sz w:val="20"/>
                <w:szCs w:val="20"/>
                <w:color w:val="auto"/>
              </w:rPr>
            </w:pPr>
            <w:r>
              <w:rPr>
                <w:rFonts w:ascii="Arial" w:cs="Arial" w:eastAsia="Arial" w:hAnsi="Arial"/>
                <w:sz w:val="16"/>
                <w:szCs w:val="16"/>
                <w:b w:val="1"/>
                <w:bCs w:val="1"/>
                <w:color w:val="auto"/>
                <w:w w:val="98"/>
              </w:rPr>
              <w:t>Weighted-</w:t>
            </w:r>
          </w:p>
        </w:tc>
        <w:tc>
          <w:tcPr>
            <w:tcW w:w="2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4"/>
          </w:tcPr>
          <w:p>
            <w:pPr>
              <w:ind w:left="60"/>
              <w:spacing w:after="0" w:line="165" w:lineRule="exact"/>
              <w:rPr>
                <w:sz w:val="20"/>
                <w:szCs w:val="20"/>
                <w:color w:val="auto"/>
              </w:rPr>
            </w:pPr>
            <w:r>
              <w:rPr>
                <w:rFonts w:ascii="Arial" w:cs="Arial" w:eastAsia="Arial" w:hAnsi="Arial"/>
                <w:sz w:val="16"/>
                <w:szCs w:val="16"/>
                <w:color w:val="auto"/>
              </w:rPr>
              <w:t>Weighted-</w:t>
            </w:r>
          </w:p>
        </w:tc>
        <w:tc>
          <w:tcPr>
            <w:tcW w:w="2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3"/>
          </w:tcPr>
          <w:p>
            <w:pPr>
              <w:jc w:val="center"/>
              <w:spacing w:after="0" w:line="165" w:lineRule="exact"/>
              <w:rPr>
                <w:sz w:val="20"/>
                <w:szCs w:val="20"/>
                <w:color w:val="auto"/>
              </w:rPr>
            </w:pPr>
            <w:r>
              <w:rPr>
                <w:rFonts w:ascii="Arial" w:cs="Arial" w:eastAsia="Arial" w:hAnsi="Arial"/>
                <w:sz w:val="16"/>
                <w:szCs w:val="16"/>
                <w:color w:val="auto"/>
                <w:w w:val="98"/>
              </w:rPr>
              <w:t>Weighted-</w:t>
            </w:r>
          </w:p>
        </w:tc>
        <w:tc>
          <w:tcPr>
            <w:tcW w:w="10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4"/>
          </w:tcPr>
          <w:p>
            <w:pPr>
              <w:jc w:val="center"/>
              <w:spacing w:after="0"/>
              <w:rPr>
                <w:sz w:val="20"/>
                <w:szCs w:val="20"/>
                <w:color w:val="auto"/>
              </w:rPr>
            </w:pPr>
            <w:r>
              <w:rPr>
                <w:rFonts w:ascii="Arial" w:cs="Arial" w:eastAsia="Arial" w:hAnsi="Arial"/>
                <w:sz w:val="16"/>
                <w:szCs w:val="16"/>
                <w:b w:val="1"/>
                <w:bCs w:val="1"/>
                <w:color w:val="auto"/>
              </w:rPr>
              <w:t>Average</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auto"/>
              </w:rPr>
              <w:t>Average</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6"/>
                <w:szCs w:val="16"/>
                <w:color w:val="auto"/>
              </w:rPr>
              <w:t>Average</w:t>
            </w:r>
          </w:p>
        </w:tc>
      </w:tr>
      <w:tr>
        <w:trPr>
          <w:trHeight w:val="186"/>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4"/>
          </w:tcPr>
          <w:p>
            <w:pPr>
              <w:jc w:val="center"/>
              <w:spacing w:after="0"/>
              <w:rPr>
                <w:sz w:val="20"/>
                <w:szCs w:val="20"/>
                <w:color w:val="auto"/>
              </w:rPr>
            </w:pPr>
            <w:r>
              <w:rPr>
                <w:rFonts w:ascii="Arial" w:cs="Arial" w:eastAsia="Arial" w:hAnsi="Arial"/>
                <w:sz w:val="16"/>
                <w:szCs w:val="16"/>
                <w:b w:val="1"/>
                <w:bCs w:val="1"/>
                <w:color w:val="auto"/>
              </w:rPr>
              <w:t>Exercise</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auto"/>
              </w:rPr>
              <w:t>Exercise</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6"/>
                <w:szCs w:val="16"/>
                <w:color w:val="auto"/>
                <w:w w:val="97"/>
              </w:rPr>
              <w:t>Exercise</w:t>
            </w:r>
          </w:p>
        </w:tc>
      </w:tr>
      <w:tr>
        <w:trPr>
          <w:trHeight w:val="200"/>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Price</w:t>
            </w:r>
          </w:p>
        </w:tc>
        <w:tc>
          <w:tcPr>
            <w:tcW w:w="220" w:type="dxa"/>
            <w:vAlign w:val="bottom"/>
          </w:tcPr>
          <w:p>
            <w:pPr>
              <w:spacing w:after="0"/>
              <w:rPr>
                <w:sz w:val="17"/>
                <w:szCs w:val="17"/>
                <w:color w:val="auto"/>
              </w:rPr>
            </w:pPr>
          </w:p>
        </w:tc>
        <w:tc>
          <w:tcPr>
            <w:tcW w:w="74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color w:val="auto"/>
                <w:w w:val="98"/>
              </w:rPr>
              <w:t>Shares</w:t>
            </w:r>
          </w:p>
        </w:tc>
        <w:tc>
          <w:tcPr>
            <w:tcW w:w="2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color w:val="auto"/>
              </w:rPr>
              <w:t>Price</w:t>
            </w:r>
          </w:p>
        </w:tc>
        <w:tc>
          <w:tcPr>
            <w:tcW w:w="220" w:type="dxa"/>
            <w:vAlign w:val="bottom"/>
          </w:tcPr>
          <w:p>
            <w:pPr>
              <w:spacing w:after="0"/>
              <w:rPr>
                <w:sz w:val="17"/>
                <w:szCs w:val="17"/>
                <w:color w:val="auto"/>
              </w:rPr>
            </w:pPr>
          </w:p>
        </w:tc>
        <w:tc>
          <w:tcPr>
            <w:tcW w:w="9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Shares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color w:val="auto"/>
                <w:w w:val="98"/>
              </w:rPr>
              <w:t>Price</w:t>
            </w:r>
          </w:p>
        </w:tc>
        <w:tc>
          <w:tcPr>
            <w:tcW w:w="100" w:type="dxa"/>
            <w:vAlign w:val="bottom"/>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4520" w:type="dxa"/>
            <w:vAlign w:val="bottom"/>
            <w:gridSpan w:val="2"/>
            <w:shd w:val="clear" w:color="auto" w:fill="CFF0FC"/>
          </w:tcPr>
          <w:p>
            <w:pPr>
              <w:spacing w:after="0" w:line="180" w:lineRule="exact"/>
              <w:rPr>
                <w:sz w:val="20"/>
                <w:szCs w:val="20"/>
                <w:color w:val="auto"/>
              </w:rPr>
            </w:pPr>
            <w:r>
              <w:rPr>
                <w:rFonts w:ascii="Arial" w:cs="Arial" w:eastAsia="Arial" w:hAnsi="Arial"/>
                <w:sz w:val="16"/>
                <w:szCs w:val="16"/>
                <w:color w:val="auto"/>
              </w:rPr>
              <w:t>Outstanding at beginning of year</w:t>
            </w:r>
          </w:p>
        </w:tc>
        <w:tc>
          <w:tcPr>
            <w:tcW w:w="96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28</w:t>
            </w: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2"/>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3"/>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72.33</w:t>
            </w: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35</w:t>
            </w:r>
          </w:p>
        </w:tc>
        <w:tc>
          <w:tcPr>
            <w:tcW w:w="6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center"/>
              <w:ind w:left="60"/>
              <w:spacing w:after="0" w:line="180" w:lineRule="exact"/>
              <w:rPr>
                <w:sz w:val="20"/>
                <w:szCs w:val="20"/>
                <w:color w:val="auto"/>
              </w:rPr>
            </w:pPr>
            <w:r>
              <w:rPr>
                <w:rFonts w:ascii="Arial" w:cs="Arial" w:eastAsia="Arial" w:hAnsi="Arial"/>
                <w:sz w:val="16"/>
                <w:szCs w:val="16"/>
                <w:color w:val="auto"/>
                <w:w w:val="89"/>
              </w:rPr>
              <w:t>$</w:t>
            </w:r>
          </w:p>
        </w:tc>
        <w:tc>
          <w:tcPr>
            <w:tcW w:w="740" w:type="dxa"/>
            <w:vAlign w:val="bottom"/>
            <w:gridSpan w:val="3"/>
            <w:shd w:val="clear" w:color="auto" w:fill="CFF0FC"/>
          </w:tcPr>
          <w:p>
            <w:pPr>
              <w:ind w:left="320"/>
              <w:spacing w:after="0" w:line="180" w:lineRule="exact"/>
              <w:rPr>
                <w:sz w:val="20"/>
                <w:szCs w:val="20"/>
                <w:color w:val="auto"/>
              </w:rPr>
            </w:pPr>
            <w:r>
              <w:rPr>
                <w:rFonts w:ascii="Arial" w:cs="Arial" w:eastAsia="Arial" w:hAnsi="Arial"/>
                <w:sz w:val="16"/>
                <w:szCs w:val="16"/>
                <w:color w:val="auto"/>
                <w:w w:val="99"/>
              </w:rPr>
              <w:t>70.31</w:t>
            </w:r>
          </w:p>
        </w:tc>
        <w:tc>
          <w:tcPr>
            <w:tcW w:w="1160" w:type="dxa"/>
            <w:vAlign w:val="bottom"/>
            <w:gridSpan w:val="3"/>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42</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center"/>
              <w:spacing w:after="0" w:line="180" w:lineRule="exact"/>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68.95</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4520" w:type="dxa"/>
            <w:vAlign w:val="bottom"/>
            <w:gridSpan w:val="2"/>
          </w:tcPr>
          <w:p>
            <w:pPr>
              <w:spacing w:after="0"/>
              <w:rPr>
                <w:sz w:val="20"/>
                <w:szCs w:val="20"/>
                <w:color w:val="auto"/>
              </w:rPr>
            </w:pPr>
            <w:r>
              <w:rPr>
                <w:rFonts w:ascii="Arial" w:cs="Arial" w:eastAsia="Arial" w:hAnsi="Arial"/>
                <w:sz w:val="16"/>
                <w:szCs w:val="16"/>
                <w:color w:val="auto"/>
              </w:rPr>
              <w:t>Exercised</w:t>
            </w:r>
          </w:p>
        </w:tc>
        <w:tc>
          <w:tcPr>
            <w:tcW w:w="12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(1 )</w:t>
            </w:r>
          </w:p>
        </w:tc>
        <w:tc>
          <w:tcPr>
            <w:tcW w:w="20" w:type="dxa"/>
            <w:vAlign w:val="bottom"/>
          </w:tcPr>
          <w:p>
            <w:pPr>
              <w:spacing w:after="0"/>
              <w:rPr>
                <w:sz w:val="16"/>
                <w:szCs w:val="16"/>
                <w:color w:val="auto"/>
              </w:rPr>
            </w:pPr>
          </w:p>
        </w:tc>
        <w:tc>
          <w:tcPr>
            <w:tcW w:w="300" w:type="dxa"/>
            <w:vAlign w:val="bottom"/>
          </w:tcPr>
          <w:p>
            <w:pPr>
              <w:jc w:val="right"/>
              <w:ind w:right="142"/>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3"/>
          </w:tcPr>
          <w:p>
            <w:pPr>
              <w:jc w:val="right"/>
              <w:spacing w:after="0"/>
              <w:rPr>
                <w:sz w:val="20"/>
                <w:szCs w:val="20"/>
                <w:color w:val="auto"/>
              </w:rPr>
            </w:pPr>
            <w:r>
              <w:rPr>
                <w:rFonts w:ascii="Arial" w:cs="Arial" w:eastAsia="Arial" w:hAnsi="Arial"/>
                <w:sz w:val="16"/>
                <w:szCs w:val="16"/>
                <w:b w:val="1"/>
                <w:bCs w:val="1"/>
                <w:color w:val="auto"/>
              </w:rPr>
              <w:t>39.91</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gridSpan w:val="2"/>
          </w:tcPr>
          <w:p>
            <w:pPr>
              <w:ind w:left="40"/>
              <w:spacing w:after="0"/>
              <w:rPr>
                <w:sz w:val="20"/>
                <w:szCs w:val="20"/>
                <w:color w:val="auto"/>
              </w:rPr>
            </w:pPr>
            <w:r>
              <w:rPr>
                <w:rFonts w:ascii="Arial" w:cs="Arial" w:eastAsia="Arial" w:hAnsi="Arial"/>
                <w:sz w:val="16"/>
                <w:szCs w:val="16"/>
                <w:color w:val="auto"/>
                <w:w w:val="91"/>
              </w:rPr>
              <w:t>(2 )</w:t>
            </w:r>
          </w:p>
        </w:tc>
        <w:tc>
          <w:tcPr>
            <w:tcW w:w="26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w:t>
            </w:r>
          </w:p>
        </w:tc>
        <w:tc>
          <w:tcPr>
            <w:tcW w:w="740" w:type="dxa"/>
            <w:vAlign w:val="bottom"/>
            <w:gridSpan w:val="3"/>
          </w:tcPr>
          <w:p>
            <w:pPr>
              <w:ind w:left="320"/>
              <w:spacing w:after="0"/>
              <w:rPr>
                <w:sz w:val="20"/>
                <w:szCs w:val="20"/>
                <w:color w:val="auto"/>
              </w:rPr>
            </w:pPr>
            <w:r>
              <w:rPr>
                <w:rFonts w:ascii="Arial" w:cs="Arial" w:eastAsia="Arial" w:hAnsi="Arial"/>
                <w:sz w:val="16"/>
                <w:szCs w:val="16"/>
                <w:color w:val="auto"/>
                <w:w w:val="99"/>
              </w:rPr>
              <w:t>40.02</w:t>
            </w:r>
          </w:p>
        </w:tc>
        <w:tc>
          <w:tcPr>
            <w:tcW w:w="1220" w:type="dxa"/>
            <w:vAlign w:val="bottom"/>
            <w:gridSpan w:val="4"/>
          </w:tcPr>
          <w:p>
            <w:pPr>
              <w:jc w:val="right"/>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16"/>
                <w:szCs w:val="16"/>
                <w:color w:val="auto"/>
              </w:rPr>
            </w:pPr>
          </w:p>
        </w:tc>
        <w:tc>
          <w:tcPr>
            <w:tcW w:w="16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40.04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5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Forfeited / expired</w:t>
            </w:r>
          </w:p>
        </w:tc>
        <w:tc>
          <w:tcPr>
            <w:tcW w:w="120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(5 )</w:t>
            </w:r>
          </w:p>
        </w:tc>
        <w:tc>
          <w:tcPr>
            <w:tcW w:w="2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2"/>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6"/>
                <w:szCs w:val="16"/>
                <w:b w:val="1"/>
                <w:bCs w:val="1"/>
                <w:color w:val="auto"/>
              </w:rPr>
              <w:t>91.55</w:t>
            </w:r>
          </w:p>
        </w:tc>
        <w:tc>
          <w:tcPr>
            <w:tcW w:w="2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w w:val="91"/>
              </w:rPr>
              <w:t>(5 )</w:t>
            </w:r>
          </w:p>
        </w:tc>
        <w:tc>
          <w:tcPr>
            <w:tcW w:w="260" w:type="dxa"/>
            <w:vAlign w:val="bottom"/>
            <w:gridSpan w:val="2"/>
            <w:shd w:val="clear" w:color="auto" w:fill="CFF0FC"/>
          </w:tcPr>
          <w:p>
            <w:pPr>
              <w:jc w:val="center"/>
              <w:ind w:left="60"/>
              <w:spacing w:after="0"/>
              <w:rPr>
                <w:sz w:val="20"/>
                <w:szCs w:val="20"/>
                <w:color w:val="auto"/>
              </w:rPr>
            </w:pPr>
            <w:r>
              <w:rPr>
                <w:rFonts w:ascii="Arial" w:cs="Arial" w:eastAsia="Arial" w:hAnsi="Arial"/>
                <w:sz w:val="16"/>
                <w:szCs w:val="16"/>
                <w:color w:val="auto"/>
                <w:w w:val="89"/>
              </w:rPr>
              <w:t>$</w:t>
            </w:r>
          </w:p>
        </w:tc>
        <w:tc>
          <w:tcPr>
            <w:tcW w:w="740" w:type="dxa"/>
            <w:vAlign w:val="bottom"/>
            <w:gridSpan w:val="3"/>
            <w:shd w:val="clear" w:color="auto" w:fill="CFF0FC"/>
          </w:tcPr>
          <w:p>
            <w:pPr>
              <w:ind w:left="320"/>
              <w:spacing w:after="0"/>
              <w:rPr>
                <w:sz w:val="20"/>
                <w:szCs w:val="20"/>
                <w:color w:val="auto"/>
              </w:rPr>
            </w:pPr>
            <w:r>
              <w:rPr>
                <w:rFonts w:ascii="Arial" w:cs="Arial" w:eastAsia="Arial" w:hAnsi="Arial"/>
                <w:sz w:val="16"/>
                <w:szCs w:val="16"/>
                <w:color w:val="auto"/>
                <w:w w:val="99"/>
              </w:rPr>
              <w:t>73.18</w:t>
            </w:r>
          </w:p>
        </w:tc>
        <w:tc>
          <w:tcPr>
            <w:tcW w:w="122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(5 )</w:t>
            </w:r>
          </w:p>
        </w:tc>
        <w:tc>
          <w:tcPr>
            <w:tcW w:w="120" w:type="dxa"/>
            <w:vAlign w:val="bottom"/>
            <w:shd w:val="clear" w:color="auto" w:fill="CFF0FC"/>
          </w:tcPr>
          <w:p>
            <w:pPr>
              <w:spacing w:after="0"/>
              <w:rPr>
                <w:sz w:val="16"/>
                <w:szCs w:val="16"/>
                <w:color w:val="auto"/>
              </w:rPr>
            </w:pPr>
          </w:p>
        </w:tc>
        <w:tc>
          <w:tcPr>
            <w:tcW w:w="16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71.45</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4520" w:type="dxa"/>
            <w:vAlign w:val="bottom"/>
            <w:tcBorders>
              <w:top w:val="single" w:sz="8" w:color="CFF0FC"/>
            </w:tcBorders>
            <w:gridSpan w:val="2"/>
          </w:tcPr>
          <w:p>
            <w:pPr>
              <w:spacing w:after="0" w:line="167" w:lineRule="exact"/>
              <w:rPr>
                <w:sz w:val="20"/>
                <w:szCs w:val="20"/>
                <w:color w:val="auto"/>
              </w:rPr>
            </w:pPr>
            <w:r>
              <w:rPr>
                <w:rFonts w:ascii="Arial" w:cs="Arial" w:eastAsia="Arial" w:hAnsi="Arial"/>
                <w:sz w:val="16"/>
                <w:szCs w:val="16"/>
                <w:color w:val="auto"/>
              </w:rPr>
              <w:t>Outstanding at year-end</w:t>
            </w:r>
          </w:p>
        </w:tc>
        <w:tc>
          <w:tcPr>
            <w:tcW w:w="960" w:type="dxa"/>
            <w:vAlign w:val="bottom"/>
            <w:tcBorders>
              <w:top w:val="single" w:sz="8" w:color="auto"/>
              <w:bottom w:val="single" w:sz="8" w:color="auto"/>
            </w:tcBorders>
            <w:gridSpan w:val="2"/>
          </w:tcPr>
          <w:p>
            <w:pPr>
              <w:jc w:val="right"/>
              <w:spacing w:after="0" w:line="167" w:lineRule="exact"/>
              <w:rPr>
                <w:sz w:val="20"/>
                <w:szCs w:val="20"/>
                <w:color w:val="auto"/>
              </w:rPr>
            </w:pPr>
            <w:r>
              <w:rPr>
                <w:rFonts w:ascii="Arial" w:cs="Arial" w:eastAsia="Arial" w:hAnsi="Arial"/>
                <w:sz w:val="16"/>
                <w:szCs w:val="16"/>
                <w:b w:val="1"/>
                <w:bCs w:val="1"/>
                <w:color w:val="auto"/>
              </w:rPr>
              <w:t>22</w:t>
            </w:r>
          </w:p>
        </w:tc>
        <w:tc>
          <w:tcPr>
            <w:tcW w:w="240" w:type="dxa"/>
            <w:vAlign w:val="bottom"/>
            <w:tcBorders>
              <w:top w:val="single" w:sz="8" w:color="CFF0FC"/>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2"/>
              <w:spacing w:after="0" w:line="167" w:lineRule="exact"/>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gridSpan w:val="3"/>
          </w:tcPr>
          <w:p>
            <w:pPr>
              <w:jc w:val="right"/>
              <w:spacing w:after="0" w:line="167" w:lineRule="exact"/>
              <w:rPr>
                <w:sz w:val="20"/>
                <w:szCs w:val="20"/>
                <w:color w:val="auto"/>
              </w:rPr>
            </w:pPr>
            <w:r>
              <w:rPr>
                <w:rFonts w:ascii="Arial" w:cs="Arial" w:eastAsia="Arial" w:hAnsi="Arial"/>
                <w:sz w:val="16"/>
                <w:szCs w:val="16"/>
                <w:b w:val="1"/>
                <w:bCs w:val="1"/>
                <w:color w:val="auto"/>
              </w:rPr>
              <w:t>69.20</w:t>
            </w:r>
          </w:p>
        </w:tc>
        <w:tc>
          <w:tcPr>
            <w:tcW w:w="220" w:type="dxa"/>
            <w:vAlign w:val="bottom"/>
            <w:tcBorders>
              <w:top w:val="single" w:sz="8" w:color="CFF0FC"/>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ind w:left="20"/>
              <w:spacing w:after="0" w:line="167" w:lineRule="exact"/>
              <w:rPr>
                <w:sz w:val="20"/>
                <w:szCs w:val="20"/>
                <w:color w:val="auto"/>
              </w:rPr>
            </w:pPr>
            <w:r>
              <w:rPr>
                <w:rFonts w:ascii="Arial" w:cs="Arial" w:eastAsia="Arial" w:hAnsi="Arial"/>
                <w:sz w:val="16"/>
                <w:szCs w:val="16"/>
                <w:color w:val="auto"/>
              </w:rPr>
              <w:t>28</w:t>
            </w:r>
          </w:p>
        </w:tc>
        <w:tc>
          <w:tcPr>
            <w:tcW w:w="6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center"/>
              <w:spacing w:after="0" w:line="167"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gridSpan w:val="3"/>
          </w:tcPr>
          <w:p>
            <w:pPr>
              <w:ind w:left="320"/>
              <w:spacing w:after="0" w:line="167" w:lineRule="exact"/>
              <w:rPr>
                <w:sz w:val="20"/>
                <w:szCs w:val="20"/>
                <w:color w:val="auto"/>
              </w:rPr>
            </w:pPr>
            <w:r>
              <w:rPr>
                <w:rFonts w:ascii="Arial" w:cs="Arial" w:eastAsia="Arial" w:hAnsi="Arial"/>
                <w:sz w:val="16"/>
                <w:szCs w:val="16"/>
                <w:color w:val="auto"/>
                <w:w w:val="99"/>
              </w:rPr>
              <w:t>72.33</w:t>
            </w:r>
          </w:p>
        </w:tc>
        <w:tc>
          <w:tcPr>
            <w:tcW w:w="220" w:type="dxa"/>
            <w:vAlign w:val="bottom"/>
            <w:tcBorders>
              <w:top w:val="single" w:sz="8" w:color="CFF0FC"/>
            </w:tcBorders>
          </w:tcPr>
          <w:p>
            <w:pPr>
              <w:spacing w:after="0"/>
              <w:rPr>
                <w:sz w:val="15"/>
                <w:szCs w:val="15"/>
                <w:color w:val="auto"/>
              </w:rPr>
            </w:pPr>
          </w:p>
        </w:tc>
        <w:tc>
          <w:tcPr>
            <w:tcW w:w="940" w:type="dxa"/>
            <w:vAlign w:val="bottom"/>
            <w:tcBorders>
              <w:top w:val="single" w:sz="8" w:color="auto"/>
              <w:bottom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35</w:t>
            </w:r>
          </w:p>
        </w:tc>
        <w:tc>
          <w:tcPr>
            <w:tcW w:w="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jc w:val="center"/>
              <w:spacing w:after="0" w:line="167"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70.31</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3"/>
        </w:trPr>
        <w:tc>
          <w:tcPr>
            <w:tcW w:w="8860" w:type="dxa"/>
            <w:vAlign w:val="bottom"/>
            <w:gridSpan w:val="21"/>
          </w:tcPr>
          <w:p>
            <w:pPr>
              <w:spacing w:after="0"/>
              <w:rPr>
                <w:sz w:val="20"/>
                <w:szCs w:val="20"/>
                <w:color w:val="auto"/>
              </w:rPr>
            </w:pPr>
            <w:r>
              <w:rPr>
                <w:rFonts w:ascii="Arial" w:cs="Arial" w:eastAsia="Arial" w:hAnsi="Arial"/>
                <w:sz w:val="16"/>
                <w:szCs w:val="16"/>
                <w:color w:val="auto"/>
              </w:rPr>
              <w:t>The following table summarizes information related to options outstanding and options exercisable as of December 31, 2024:</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3"/>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9"/>
          </w:tcPr>
          <w:p>
            <w:pPr>
              <w:jc w:val="center"/>
              <w:ind w:left="164"/>
              <w:spacing w:after="0"/>
              <w:rPr>
                <w:sz w:val="20"/>
                <w:szCs w:val="20"/>
                <w:color w:val="auto"/>
              </w:rPr>
            </w:pPr>
            <w:r>
              <w:rPr>
                <w:rFonts w:ascii="Arial" w:cs="Arial" w:eastAsia="Arial" w:hAnsi="Arial"/>
                <w:sz w:val="14"/>
                <w:szCs w:val="14"/>
                <w:i w:val="1"/>
                <w:iCs w:val="1"/>
                <w:color w:val="auto"/>
              </w:rPr>
              <w:t>(Shares stated in millions)</w:t>
            </w:r>
          </w:p>
        </w:tc>
      </w:tr>
      <w:tr>
        <w:trPr>
          <w:trHeight w:val="369"/>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6"/>
          </w:tcPr>
          <w:p>
            <w:pPr>
              <w:jc w:val="center"/>
              <w:ind w:right="20"/>
              <w:spacing w:after="0"/>
              <w:rPr>
                <w:sz w:val="20"/>
                <w:szCs w:val="20"/>
                <w:color w:val="auto"/>
              </w:rPr>
            </w:pPr>
            <w:r>
              <w:rPr>
                <w:rFonts w:ascii="Arial" w:cs="Arial" w:eastAsia="Arial" w:hAnsi="Arial"/>
                <w:sz w:val="16"/>
                <w:szCs w:val="16"/>
                <w:color w:val="auto"/>
              </w:rPr>
              <w:t>Options Outstanding</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9"/>
          </w:tcPr>
          <w:p>
            <w:pPr>
              <w:ind w:left="140"/>
              <w:spacing w:after="0"/>
              <w:rPr>
                <w:sz w:val="20"/>
                <w:szCs w:val="20"/>
                <w:color w:val="auto"/>
              </w:rPr>
            </w:pPr>
            <w:r>
              <w:rPr>
                <w:rFonts w:ascii="Arial" w:cs="Arial" w:eastAsia="Arial" w:hAnsi="Arial"/>
                <w:sz w:val="16"/>
                <w:szCs w:val="16"/>
                <w:color w:val="auto"/>
              </w:rPr>
              <w:t>Options Exercisable</w:t>
            </w:r>
          </w:p>
        </w:tc>
      </w:tr>
      <w:tr>
        <w:trPr>
          <w:trHeight w:val="166"/>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4"/>
          </w:tcPr>
          <w:p>
            <w:pPr>
              <w:jc w:val="center"/>
              <w:ind w:right="220"/>
              <w:spacing w:after="0" w:line="165" w:lineRule="exact"/>
              <w:rPr>
                <w:sz w:val="20"/>
                <w:szCs w:val="20"/>
                <w:color w:val="auto"/>
              </w:rPr>
            </w:pPr>
            <w:r>
              <w:rPr>
                <w:rFonts w:ascii="Arial" w:cs="Arial" w:eastAsia="Arial" w:hAnsi="Arial"/>
                <w:sz w:val="16"/>
                <w:szCs w:val="16"/>
                <w:color w:val="auto"/>
                <w:w w:val="98"/>
              </w:rPr>
              <w:t>Weighted-</w:t>
            </w:r>
          </w:p>
        </w:tc>
        <w:tc>
          <w:tcPr>
            <w:tcW w:w="2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4"/>
          </w:tcPr>
          <w:p>
            <w:pPr>
              <w:jc w:val="center"/>
              <w:ind w:right="220"/>
              <w:spacing w:after="0"/>
              <w:rPr>
                <w:sz w:val="20"/>
                <w:szCs w:val="20"/>
                <w:color w:val="auto"/>
              </w:rPr>
            </w:pPr>
            <w:r>
              <w:rPr>
                <w:rFonts w:ascii="Arial" w:cs="Arial" w:eastAsia="Arial" w:hAnsi="Arial"/>
                <w:sz w:val="16"/>
                <w:szCs w:val="16"/>
                <w:color w:val="auto"/>
              </w:rPr>
              <w:t>Average</w:t>
            </w:r>
          </w:p>
        </w:tc>
        <w:tc>
          <w:tcPr>
            <w:tcW w:w="1280" w:type="dxa"/>
            <w:vAlign w:val="bottom"/>
            <w:gridSpan w:val="7"/>
          </w:tcPr>
          <w:p>
            <w:pPr>
              <w:jc w:val="center"/>
              <w:ind w:right="320"/>
              <w:spacing w:after="0"/>
              <w:rPr>
                <w:sz w:val="20"/>
                <w:szCs w:val="20"/>
                <w:color w:val="auto"/>
              </w:rPr>
            </w:pPr>
            <w:r>
              <w:rPr>
                <w:rFonts w:ascii="Arial" w:cs="Arial" w:eastAsia="Arial" w:hAnsi="Arial"/>
                <w:sz w:val="16"/>
                <w:szCs w:val="16"/>
                <w:color w:val="auto"/>
                <w:w w:val="98"/>
              </w:rPr>
              <w:t>Weighted-</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5"/>
          </w:tcPr>
          <w:p>
            <w:pPr>
              <w:jc w:val="center"/>
              <w:ind w:right="260"/>
              <w:spacing w:after="0"/>
              <w:rPr>
                <w:sz w:val="20"/>
                <w:szCs w:val="20"/>
                <w:color w:val="auto"/>
              </w:rPr>
            </w:pPr>
            <w:r>
              <w:rPr>
                <w:rFonts w:ascii="Arial" w:cs="Arial" w:eastAsia="Arial" w:hAnsi="Arial"/>
                <w:sz w:val="16"/>
                <w:szCs w:val="16"/>
                <w:color w:val="auto"/>
              </w:rPr>
              <w:t>Weighted-</w:t>
            </w:r>
          </w:p>
        </w:tc>
      </w:tr>
      <w:tr>
        <w:trPr>
          <w:trHeight w:val="186"/>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4"/>
          </w:tcPr>
          <w:p>
            <w:pPr>
              <w:jc w:val="center"/>
              <w:ind w:right="260"/>
              <w:spacing w:after="0"/>
              <w:rPr>
                <w:sz w:val="20"/>
                <w:szCs w:val="20"/>
                <w:color w:val="auto"/>
              </w:rPr>
            </w:pPr>
            <w:r>
              <w:rPr>
                <w:rFonts w:ascii="Arial" w:cs="Arial" w:eastAsia="Arial" w:hAnsi="Arial"/>
                <w:sz w:val="16"/>
                <w:szCs w:val="16"/>
                <w:color w:val="auto"/>
                <w:w w:val="99"/>
              </w:rPr>
              <w:t>Remaining</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gridSpan w:val="4"/>
          </w:tcPr>
          <w:p>
            <w:pPr>
              <w:jc w:val="right"/>
              <w:ind w:right="142"/>
              <w:spacing w:after="0"/>
              <w:rPr>
                <w:sz w:val="20"/>
                <w:szCs w:val="20"/>
                <w:color w:val="auto"/>
              </w:rPr>
            </w:pPr>
            <w:r>
              <w:rPr>
                <w:rFonts w:ascii="Arial" w:cs="Arial" w:eastAsia="Arial" w:hAnsi="Arial"/>
                <w:sz w:val="16"/>
                <w:szCs w:val="16"/>
                <w:color w:val="auto"/>
              </w:rPr>
              <w:t>Options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gridSpan w:val="3"/>
          </w:tcPr>
          <w:p>
            <w:pPr>
              <w:jc w:val="center"/>
              <w:ind w:right="580"/>
              <w:spacing w:after="0"/>
              <w:rPr>
                <w:sz w:val="20"/>
                <w:szCs w:val="20"/>
                <w:color w:val="auto"/>
              </w:rPr>
            </w:pPr>
            <w:r>
              <w:rPr>
                <w:rFonts w:ascii="Arial" w:cs="Arial" w:eastAsia="Arial" w:hAnsi="Arial"/>
                <w:sz w:val="16"/>
                <w:szCs w:val="16"/>
                <w:color w:val="auto"/>
              </w:rPr>
              <w:t>Life</w:t>
            </w:r>
          </w:p>
        </w:tc>
        <w:tc>
          <w:tcPr>
            <w:tcW w:w="1280" w:type="dxa"/>
            <w:vAlign w:val="bottom"/>
            <w:gridSpan w:val="7"/>
          </w:tcPr>
          <w:p>
            <w:pPr>
              <w:jc w:val="center"/>
              <w:ind w:right="320"/>
              <w:spacing w:after="0"/>
              <w:rPr>
                <w:sz w:val="20"/>
                <w:szCs w:val="20"/>
                <w:color w:val="auto"/>
              </w:rPr>
            </w:pPr>
            <w:r>
              <w:rPr>
                <w:rFonts w:ascii="Arial" w:cs="Arial" w:eastAsia="Arial" w:hAnsi="Arial"/>
                <w:sz w:val="16"/>
                <w:szCs w:val="16"/>
                <w:color w:val="auto"/>
              </w:rPr>
              <w:t>Average</w:t>
            </w:r>
          </w:p>
        </w:tc>
        <w:tc>
          <w:tcPr>
            <w:tcW w:w="1220" w:type="dxa"/>
            <w:vAlign w:val="bottom"/>
            <w:gridSpan w:val="4"/>
          </w:tcPr>
          <w:p>
            <w:pPr>
              <w:jc w:val="right"/>
              <w:ind w:right="500"/>
              <w:spacing w:after="0"/>
              <w:rPr>
                <w:sz w:val="20"/>
                <w:szCs w:val="20"/>
                <w:color w:val="auto"/>
              </w:rPr>
            </w:pPr>
            <w:r>
              <w:rPr>
                <w:rFonts w:ascii="Arial" w:cs="Arial" w:eastAsia="Arial" w:hAnsi="Arial"/>
                <w:sz w:val="16"/>
                <w:szCs w:val="16"/>
                <w:color w:val="auto"/>
              </w:rPr>
              <w:t>Options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4"/>
          </w:tcPr>
          <w:p>
            <w:pPr>
              <w:jc w:val="center"/>
              <w:ind w:right="280"/>
              <w:spacing w:after="0"/>
              <w:rPr>
                <w:sz w:val="20"/>
                <w:szCs w:val="20"/>
                <w:color w:val="auto"/>
              </w:rPr>
            </w:pPr>
            <w:r>
              <w:rPr>
                <w:rFonts w:ascii="Arial" w:cs="Arial" w:eastAsia="Arial" w:hAnsi="Arial"/>
                <w:sz w:val="16"/>
                <w:szCs w:val="16"/>
                <w:color w:val="auto"/>
                <w:w w:val="97"/>
              </w:rPr>
              <w:t>Average</w:t>
            </w:r>
          </w:p>
        </w:tc>
      </w:tr>
      <w:tr>
        <w:trPr>
          <w:trHeight w:val="186"/>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7"/>
          </w:tcPr>
          <w:p>
            <w:pPr>
              <w:jc w:val="center"/>
              <w:ind w:right="360"/>
              <w:spacing w:after="0"/>
              <w:rPr>
                <w:sz w:val="20"/>
                <w:szCs w:val="20"/>
                <w:color w:val="auto"/>
              </w:rPr>
            </w:pPr>
            <w:r>
              <w:rPr>
                <w:rFonts w:ascii="Arial" w:cs="Arial" w:eastAsia="Arial" w:hAnsi="Arial"/>
                <w:sz w:val="16"/>
                <w:szCs w:val="16"/>
                <w:color w:val="auto"/>
                <w:w w:val="97"/>
              </w:rPr>
              <w:t>Exercise</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4"/>
          </w:tcPr>
          <w:p>
            <w:pPr>
              <w:jc w:val="center"/>
              <w:ind w:right="320"/>
              <w:spacing w:after="0"/>
              <w:rPr>
                <w:sz w:val="20"/>
                <w:szCs w:val="20"/>
                <w:color w:val="auto"/>
              </w:rPr>
            </w:pPr>
            <w:r>
              <w:rPr>
                <w:rFonts w:ascii="Arial" w:cs="Arial" w:eastAsia="Arial" w:hAnsi="Arial"/>
                <w:sz w:val="16"/>
                <w:szCs w:val="16"/>
                <w:color w:val="auto"/>
              </w:rPr>
              <w:t>Exercise</w:t>
            </w:r>
          </w:p>
        </w:tc>
      </w:tr>
      <w:tr>
        <w:trPr>
          <w:trHeight w:val="194"/>
        </w:trPr>
        <w:tc>
          <w:tcPr>
            <w:tcW w:w="20" w:type="dxa"/>
            <w:vAlign w:val="bottom"/>
          </w:tcPr>
          <w:p>
            <w:pPr>
              <w:spacing w:after="0"/>
              <w:rPr>
                <w:sz w:val="16"/>
                <w:szCs w:val="16"/>
                <w:color w:val="auto"/>
              </w:rPr>
            </w:pPr>
          </w:p>
        </w:tc>
        <w:tc>
          <w:tcPr>
            <w:tcW w:w="4520" w:type="dxa"/>
            <w:vAlign w:val="bottom"/>
            <w:gridSpan w:val="2"/>
          </w:tcPr>
          <w:p>
            <w:pPr>
              <w:spacing w:after="0"/>
              <w:rPr>
                <w:sz w:val="20"/>
                <w:szCs w:val="20"/>
                <w:color w:val="auto"/>
              </w:rPr>
            </w:pPr>
            <w:r>
              <w:rPr>
                <w:rFonts w:ascii="Arial" w:cs="Arial" w:eastAsia="Arial" w:hAnsi="Arial"/>
                <w:sz w:val="16"/>
                <w:szCs w:val="16"/>
                <w:color w:val="auto"/>
              </w:rPr>
              <w:t>Exercise prices range</w:t>
            </w:r>
          </w:p>
        </w:tc>
        <w:tc>
          <w:tcPr>
            <w:tcW w:w="520" w:type="dxa"/>
            <w:vAlign w:val="bottom"/>
          </w:tcPr>
          <w:p>
            <w:pPr>
              <w:spacing w:after="0"/>
              <w:rPr>
                <w:sz w:val="16"/>
                <w:szCs w:val="16"/>
                <w:color w:val="auto"/>
              </w:rPr>
            </w:pPr>
          </w:p>
        </w:tc>
        <w:tc>
          <w:tcPr>
            <w:tcW w:w="1000" w:type="dxa"/>
            <w:vAlign w:val="bottom"/>
            <w:gridSpan w:val="4"/>
          </w:tcPr>
          <w:p>
            <w:pPr>
              <w:jc w:val="center"/>
              <w:spacing w:after="0"/>
              <w:rPr>
                <w:sz w:val="20"/>
                <w:szCs w:val="20"/>
                <w:color w:val="auto"/>
              </w:rPr>
            </w:pPr>
            <w:r>
              <w:rPr>
                <w:rFonts w:ascii="Arial" w:cs="Arial" w:eastAsia="Arial" w:hAnsi="Arial"/>
                <w:sz w:val="16"/>
                <w:szCs w:val="16"/>
                <w:color w:val="auto"/>
                <w:w w:val="99"/>
              </w:rPr>
              <w:t>Outstanding</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4"/>
          </w:tcPr>
          <w:p>
            <w:pPr>
              <w:jc w:val="center"/>
              <w:ind w:right="240"/>
              <w:spacing w:after="0"/>
              <w:rPr>
                <w:sz w:val="20"/>
                <w:szCs w:val="20"/>
                <w:color w:val="auto"/>
              </w:rPr>
            </w:pPr>
            <w:r>
              <w:rPr>
                <w:rFonts w:ascii="Arial" w:cs="Arial" w:eastAsia="Arial" w:hAnsi="Arial"/>
                <w:sz w:val="16"/>
                <w:szCs w:val="16"/>
                <w:color w:val="auto"/>
                <w:w w:val="98"/>
              </w:rPr>
              <w:t>(in years)</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5"/>
          </w:tcPr>
          <w:p>
            <w:pPr>
              <w:jc w:val="center"/>
              <w:ind w:right="600"/>
              <w:spacing w:after="0"/>
              <w:rPr>
                <w:sz w:val="20"/>
                <w:szCs w:val="20"/>
                <w:color w:val="auto"/>
              </w:rPr>
            </w:pPr>
            <w:r>
              <w:rPr>
                <w:rFonts w:ascii="Arial" w:cs="Arial" w:eastAsia="Arial" w:hAnsi="Arial"/>
                <w:sz w:val="16"/>
                <w:szCs w:val="16"/>
                <w:color w:val="auto"/>
                <w:w w:val="98"/>
              </w:rPr>
              <w:t>Price</w:t>
            </w:r>
          </w:p>
        </w:tc>
        <w:tc>
          <w:tcPr>
            <w:tcW w:w="1220" w:type="dxa"/>
            <w:vAlign w:val="bottom"/>
            <w:gridSpan w:val="4"/>
          </w:tcPr>
          <w:p>
            <w:pPr>
              <w:jc w:val="right"/>
              <w:ind w:right="360"/>
              <w:spacing w:after="0"/>
              <w:rPr>
                <w:sz w:val="20"/>
                <w:szCs w:val="20"/>
                <w:color w:val="auto"/>
              </w:rPr>
            </w:pPr>
            <w:r>
              <w:rPr>
                <w:rFonts w:ascii="Arial" w:cs="Arial" w:eastAsia="Arial" w:hAnsi="Arial"/>
                <w:sz w:val="16"/>
                <w:szCs w:val="16"/>
                <w:color w:val="auto"/>
              </w:rPr>
              <w:t>Exercisable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3"/>
          </w:tcPr>
          <w:p>
            <w:pPr>
              <w:jc w:val="center"/>
              <w:ind w:right="420"/>
              <w:spacing w:after="0"/>
              <w:rPr>
                <w:sz w:val="20"/>
                <w:szCs w:val="20"/>
                <w:color w:val="auto"/>
              </w:rPr>
            </w:pPr>
            <w:r>
              <w:rPr>
                <w:rFonts w:ascii="Arial" w:cs="Arial" w:eastAsia="Arial" w:hAnsi="Arial"/>
                <w:sz w:val="16"/>
                <w:szCs w:val="16"/>
                <w:color w:val="auto"/>
              </w:rPr>
              <w:t>Price</w:t>
            </w:r>
          </w:p>
        </w:tc>
      </w:tr>
      <w:tr>
        <w:trPr>
          <w:trHeight w:val="186"/>
        </w:trPr>
        <w:tc>
          <w:tcPr>
            <w:tcW w:w="20" w:type="dxa"/>
            <w:vAlign w:val="bottom"/>
          </w:tcPr>
          <w:p>
            <w:pPr>
              <w:spacing w:after="0"/>
              <w:rPr>
                <w:sz w:val="16"/>
                <w:szCs w:val="16"/>
                <w:color w:val="auto"/>
              </w:rPr>
            </w:pPr>
          </w:p>
        </w:tc>
        <w:tc>
          <w:tcPr>
            <w:tcW w:w="1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$38.75 - $41.47</w:t>
            </w:r>
          </w:p>
        </w:tc>
        <w:tc>
          <w:tcPr>
            <w:tcW w:w="29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2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39.75</w:t>
            </w:r>
          </w:p>
        </w:tc>
        <w:tc>
          <w:tcPr>
            <w:tcW w:w="2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40.00</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1540" w:type="dxa"/>
            <w:vAlign w:val="bottom"/>
          </w:tcPr>
          <w:p>
            <w:pPr>
              <w:spacing w:after="0"/>
              <w:rPr>
                <w:sz w:val="20"/>
                <w:szCs w:val="20"/>
                <w:color w:val="auto"/>
              </w:rPr>
            </w:pPr>
            <w:r>
              <w:rPr>
                <w:rFonts w:ascii="Arial" w:cs="Arial" w:eastAsia="Arial" w:hAnsi="Arial"/>
                <w:sz w:val="16"/>
                <w:szCs w:val="16"/>
                <w:color w:val="auto"/>
              </w:rPr>
              <w:t>$47.55 - $77.10</w:t>
            </w:r>
          </w:p>
        </w:tc>
        <w:tc>
          <w:tcPr>
            <w:tcW w:w="2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Arial" w:cs="Arial" w:eastAsia="Arial" w:hAnsi="Arial"/>
                <w:sz w:val="16"/>
                <w:szCs w:val="16"/>
                <w:color w:val="auto"/>
              </w:rPr>
              <w:t>70.54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70.54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16"/>
                <w:szCs w:val="16"/>
                <w:color w:val="auto"/>
              </w:rPr>
              <w:t>$77.80 - $84.22</w:t>
            </w:r>
          </w:p>
        </w:tc>
        <w:tc>
          <w:tcPr>
            <w:tcW w:w="29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20"/>
                <w:szCs w:val="20"/>
                <w:color w:val="auto"/>
              </w:rPr>
            </w:pPr>
            <w:r>
              <w:rPr>
                <w:rFonts w:ascii="Arial" w:cs="Arial" w:eastAsia="Arial" w:hAnsi="Arial"/>
                <w:sz w:val="16"/>
                <w:szCs w:val="16"/>
                <w:color w:val="auto"/>
              </w:rPr>
              <w:t>80.09</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80.09</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1540" w:type="dxa"/>
            <w:vAlign w:val="bottom"/>
          </w:tcPr>
          <w:p>
            <w:pPr>
              <w:spacing w:after="0"/>
              <w:rPr>
                <w:sz w:val="20"/>
                <w:szCs w:val="20"/>
                <w:color w:val="auto"/>
              </w:rPr>
            </w:pPr>
            <w:r>
              <w:rPr>
                <w:rFonts w:ascii="Arial" w:cs="Arial" w:eastAsia="Arial" w:hAnsi="Arial"/>
                <w:sz w:val="16"/>
                <w:szCs w:val="16"/>
                <w:color w:val="auto"/>
              </w:rPr>
              <w:t>$87.38 - $91.74</w:t>
            </w:r>
          </w:p>
        </w:tc>
        <w:tc>
          <w:tcPr>
            <w:tcW w:w="2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6"/>
                <w:szCs w:val="16"/>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89.44</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1540" w:type="dxa"/>
            <w:vAlign w:val="bottom"/>
            <w:tcBorders>
              <w:bottom w:val="single" w:sz="8" w:color="CFF0FC"/>
            </w:tcBorders>
            <w:shd w:val="clear" w:color="auto" w:fill="CFF0FC"/>
          </w:tcPr>
          <w:p>
            <w:pPr>
              <w:spacing w:after="0"/>
              <w:rPr>
                <w:sz w:val="19"/>
                <w:szCs w:val="19"/>
                <w:color w:val="auto"/>
              </w:rPr>
            </w:pPr>
          </w:p>
        </w:tc>
        <w:tc>
          <w:tcPr>
            <w:tcW w:w="29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22</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2.3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ind w:left="20"/>
              <w:spacing w:after="0" w:line="180" w:lineRule="exact"/>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line="180" w:lineRule="exact"/>
              <w:rPr>
                <w:sz w:val="20"/>
                <w:szCs w:val="20"/>
                <w:color w:val="auto"/>
              </w:rPr>
            </w:pPr>
            <w:r>
              <w:rPr>
                <w:rFonts w:ascii="Arial" w:cs="Arial" w:eastAsia="Arial" w:hAnsi="Arial"/>
                <w:sz w:val="16"/>
                <w:szCs w:val="16"/>
                <w:color w:val="auto"/>
              </w:rPr>
              <w:t>69.20</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21</w:t>
            </w:r>
          </w:p>
        </w:tc>
        <w:tc>
          <w:tcPr>
            <w:tcW w:w="1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71.08</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-2256155</wp:posOffset>
            </wp:positionV>
            <wp:extent cx="7620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-2256155</wp:posOffset>
            </wp:positionV>
            <wp:extent cx="762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-2256155</wp:posOffset>
            </wp:positionV>
            <wp:extent cx="6731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5625465</wp:posOffset>
            </wp:positionH>
            <wp:positionV relativeFrom="paragraph">
              <wp:posOffset>-2256155</wp:posOffset>
            </wp:positionV>
            <wp:extent cx="6731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-2256155</wp:posOffset>
            </wp:positionV>
            <wp:extent cx="6731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-2256155</wp:posOffset>
            </wp:positionV>
            <wp:extent cx="6731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3858895</wp:posOffset>
            </wp:positionH>
            <wp:positionV relativeFrom="paragraph">
              <wp:posOffset>-24765</wp:posOffset>
            </wp:positionV>
            <wp:extent cx="6731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3858895</wp:posOffset>
            </wp:positionH>
            <wp:positionV relativeFrom="paragraph">
              <wp:posOffset>-7620</wp:posOffset>
            </wp:positionV>
            <wp:extent cx="6731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-24765</wp:posOffset>
            </wp:positionV>
            <wp:extent cx="6731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-7620</wp:posOffset>
            </wp:positionV>
            <wp:extent cx="6731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6731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731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6250940</wp:posOffset>
            </wp:positionH>
            <wp:positionV relativeFrom="paragraph">
              <wp:posOffset>-24765</wp:posOffset>
            </wp:positionV>
            <wp:extent cx="6731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6250940</wp:posOffset>
            </wp:positionH>
            <wp:positionV relativeFrom="paragraph">
              <wp:posOffset>-7620</wp:posOffset>
            </wp:positionV>
            <wp:extent cx="6731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7062470</wp:posOffset>
            </wp:positionH>
            <wp:positionV relativeFrom="paragraph">
              <wp:posOffset>-24765</wp:posOffset>
            </wp:positionV>
            <wp:extent cx="762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7062470</wp:posOffset>
            </wp:positionH>
            <wp:positionV relativeFrom="paragraph">
              <wp:posOffset>-7620</wp:posOffset>
            </wp:positionV>
            <wp:extent cx="762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remaining contractual life of stock options exercisable as of December 31, 2024 was 2.1 years.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Stock options outstanding as of December 31, 2024 had no intrinsic value.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Total Stock-based Compensation Expense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stock-based compensation expense recognized in income: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5"/>
        </w:trPr>
        <w:tc>
          <w:tcPr>
            <w:tcW w:w="3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34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Restricted stock</w:t>
            </w:r>
          </w:p>
        </w:tc>
        <w:tc>
          <w:tcPr>
            <w:tcW w:w="4180" w:type="dxa"/>
            <w:vAlign w:val="bottom"/>
            <w:gridSpan w:val="2"/>
            <w:shd w:val="clear" w:color="auto" w:fill="CFF0FC"/>
          </w:tcPr>
          <w:p>
            <w:pPr>
              <w:jc w:val="right"/>
              <w:ind w:right="780"/>
              <w:spacing w:after="0" w:line="180" w:lineRule="exact"/>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250</w:t>
            </w:r>
          </w:p>
        </w:tc>
        <w:tc>
          <w:tcPr>
            <w:tcW w:w="560" w:type="dxa"/>
            <w:vAlign w:val="bottom"/>
            <w:gridSpan w:val="2"/>
            <w:shd w:val="clear" w:color="auto" w:fill="CFF0FC"/>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225</w:t>
            </w:r>
          </w:p>
        </w:tc>
        <w:tc>
          <w:tcPr>
            <w:tcW w:w="38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340" w:type="dxa"/>
            <w:vAlign w:val="bottom"/>
          </w:tcPr>
          <w:p>
            <w:pPr>
              <w:ind w:left="20"/>
              <w:spacing w:after="0"/>
              <w:rPr>
                <w:sz w:val="20"/>
                <w:szCs w:val="20"/>
                <w:color w:val="auto"/>
              </w:rPr>
            </w:pPr>
            <w:r>
              <w:rPr>
                <w:rFonts w:ascii="Arial" w:cs="Arial" w:eastAsia="Arial" w:hAnsi="Arial"/>
                <w:sz w:val="16"/>
                <w:szCs w:val="16"/>
                <w:color w:val="auto"/>
              </w:rPr>
              <w:t>DSPP</w:t>
            </w:r>
          </w:p>
        </w:tc>
        <w:tc>
          <w:tcPr>
            <w:tcW w:w="3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59</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Stock options</w:t>
            </w:r>
          </w:p>
        </w:tc>
        <w:tc>
          <w:tcPr>
            <w:tcW w:w="32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w:t>
            </w:r>
          </w:p>
        </w:tc>
        <w:tc>
          <w:tcPr>
            <w:tcW w:w="2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40" w:type="dxa"/>
            <w:vAlign w:val="bottom"/>
          </w:tcPr>
          <w:p>
            <w:pPr>
              <w:spacing w:after="0"/>
              <w:rPr>
                <w:sz w:val="15"/>
                <w:szCs w:val="15"/>
                <w:color w:val="auto"/>
              </w:rPr>
            </w:pPr>
          </w:p>
        </w:tc>
        <w:tc>
          <w:tcPr>
            <w:tcW w:w="4180" w:type="dxa"/>
            <w:vAlign w:val="bottom"/>
            <w:gridSpan w:val="2"/>
          </w:tcPr>
          <w:p>
            <w:pPr>
              <w:jc w:val="right"/>
              <w:ind w:right="780"/>
              <w:spacing w:after="0" w:line="180" w:lineRule="exact"/>
              <w:rPr>
                <w:sz w:val="20"/>
                <w:szCs w:val="20"/>
                <w:color w:val="auto"/>
              </w:rPr>
            </w:pPr>
            <w:r>
              <w:rPr>
                <w:rFonts w:ascii="Arial" w:cs="Arial" w:eastAsia="Arial" w:hAnsi="Arial"/>
                <w:sz w:val="16"/>
                <w:szCs w:val="16"/>
                <w:b w:val="1"/>
                <w:bCs w:val="1"/>
                <w:color w:val="auto"/>
              </w:rPr>
              <w:t>$</w:t>
            </w:r>
          </w:p>
        </w:tc>
        <w:tc>
          <w:tcPr>
            <w:tcW w:w="40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316</w:t>
            </w:r>
          </w:p>
        </w:tc>
        <w:tc>
          <w:tcPr>
            <w:tcW w:w="56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293</w:t>
            </w:r>
          </w:p>
        </w:tc>
        <w:tc>
          <w:tcPr>
            <w:tcW w:w="38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80" w:lineRule="exact"/>
              <w:rPr>
                <w:sz w:val="20"/>
                <w:szCs w:val="20"/>
                <w:color w:val="auto"/>
              </w:rPr>
            </w:pPr>
            <w:r>
              <w:rPr>
                <w:rFonts w:ascii="Arial" w:cs="Arial" w:eastAsia="Arial" w:hAnsi="Arial"/>
                <w:sz w:val="16"/>
                <w:szCs w:val="16"/>
                <w:color w:val="auto"/>
              </w:rPr>
              <w:t>313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220" w:type="dxa"/>
            <w:vAlign w:val="bottom"/>
            <w:vMerge w:val="restart"/>
          </w:tcPr>
          <w:p>
            <w:pPr>
              <w:jc w:val="right"/>
              <w:ind w:right="760"/>
              <w:spacing w:after="0"/>
              <w:rPr>
                <w:sz w:val="20"/>
                <w:szCs w:val="20"/>
                <w:color w:val="auto"/>
              </w:rPr>
            </w:pPr>
            <w:r>
              <w:rPr>
                <w:rFonts w:ascii="Arial" w:cs="Arial" w:eastAsia="Arial" w:hAnsi="Arial"/>
                <w:sz w:val="16"/>
                <w:szCs w:val="16"/>
                <w:color w:val="auto"/>
              </w:rPr>
              <w:t>45</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34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334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5033645</wp:posOffset>
            </wp:positionH>
            <wp:positionV relativeFrom="paragraph">
              <wp:posOffset>-1030605</wp:posOffset>
            </wp:positionV>
            <wp:extent cx="762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6056630</wp:posOffset>
            </wp:positionH>
            <wp:positionV relativeFrom="paragraph">
              <wp:posOffset>-1030605</wp:posOffset>
            </wp:positionV>
            <wp:extent cx="6731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-1030605</wp:posOffset>
            </wp:positionV>
            <wp:extent cx="6731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45" w:name="page46"/>
    <w:bookmarkEnd w:id="45"/>
    <w:p>
      <w:pPr>
        <w:spacing w:after="0" w:line="277" w:lineRule="auto"/>
        <w:rPr>
          <w:sz w:val="20"/>
          <w:szCs w:val="20"/>
          <w:color w:val="auto"/>
        </w:rPr>
      </w:pPr>
      <w:r>
        <w:rPr>
          <w:rFonts w:ascii="Arial" w:cs="Arial" w:eastAsia="Arial" w:hAnsi="Arial"/>
          <w:sz w:val="16"/>
          <w:szCs w:val="16"/>
          <w:color w:val="auto"/>
        </w:rPr>
        <w:t>At December 31, 2024, there was $292 million of total unrecognized compensation cost related to nonvested stock-based compensation arrangements, of which $172 million is expected to be recognized in 2025, $100 million in 2026, $17 million in 2027, and $3 million in 2028.</w:t>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As of December 31, 2024, approximately 18 million shares of SLB common stock were available for future grants under SLB’s stock-based compensation programs.</w:t>
      </w:r>
    </w:p>
    <w:p>
      <w:pPr>
        <w:spacing w:after="0" w:line="161" w:lineRule="exact"/>
        <w:rPr>
          <w:sz w:val="20"/>
          <w:szCs w:val="20"/>
          <w:color w:val="auto"/>
        </w:rPr>
      </w:pPr>
    </w:p>
    <w:p>
      <w:pPr>
        <w:ind w:left="320" w:hanging="314"/>
        <w:spacing w:after="0"/>
        <w:tabs>
          <w:tab w:leader="none" w:pos="32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Income Taxes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Income before taxes </w:t>
      </w:r>
      <w:r>
        <w:rPr>
          <w:rFonts w:ascii="Arial" w:cs="Arial" w:eastAsia="Arial" w:hAnsi="Arial"/>
          <w:sz w:val="16"/>
          <w:szCs w:val="16"/>
          <w:color w:val="auto"/>
        </w:rPr>
        <w:t>subject to United States and non-United States income taxes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369"/>
        </w:trPr>
        <w:tc>
          <w:tcPr>
            <w:tcW w:w="614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r>
      <w:tr>
        <w:trPr>
          <w:trHeight w:val="180"/>
        </w:trPr>
        <w:tc>
          <w:tcPr>
            <w:tcW w:w="614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United States</w:t>
            </w:r>
          </w:p>
        </w:tc>
        <w:tc>
          <w:tcPr>
            <w:tcW w:w="1000" w:type="dxa"/>
            <w:vAlign w:val="bottom"/>
            <w:shd w:val="clear" w:color="auto" w:fill="CFF0FC"/>
          </w:tcPr>
          <w:p>
            <w:pPr>
              <w:jc w:val="right"/>
              <w:ind w:right="820"/>
              <w:spacing w:after="0" w:line="180" w:lineRule="exact"/>
              <w:rPr>
                <w:sz w:val="20"/>
                <w:szCs w:val="20"/>
                <w:color w:val="auto"/>
              </w:rPr>
            </w:pPr>
            <w:r>
              <w:rPr>
                <w:rFonts w:ascii="Arial" w:cs="Arial" w:eastAsia="Arial" w:hAnsi="Arial"/>
                <w:sz w:val="16"/>
                <w:szCs w:val="16"/>
                <w:b w:val="1"/>
                <w:bCs w:val="1"/>
                <w:color w:val="auto"/>
                <w:w w:val="89"/>
              </w:rPr>
              <w:t>$</w:t>
            </w:r>
          </w:p>
        </w:tc>
        <w:tc>
          <w:tcPr>
            <w:tcW w:w="5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641</w:t>
            </w:r>
          </w:p>
        </w:tc>
        <w:tc>
          <w:tcPr>
            <w:tcW w:w="60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355</w:t>
            </w:r>
          </w:p>
        </w:tc>
        <w:tc>
          <w:tcPr>
            <w:tcW w:w="46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600</w:t>
            </w:r>
          </w:p>
        </w:tc>
        <w:tc>
          <w:tcPr>
            <w:tcW w:w="100" w:type="dxa"/>
            <w:vAlign w:val="bottom"/>
            <w:shd w:val="clear" w:color="auto" w:fill="CFF0FC"/>
          </w:tcPr>
          <w:p>
            <w:pPr>
              <w:spacing w:after="0"/>
              <w:rPr>
                <w:sz w:val="15"/>
                <w:szCs w:val="15"/>
                <w:color w:val="auto"/>
              </w:rPr>
            </w:pPr>
          </w:p>
        </w:tc>
      </w:tr>
      <w:tr>
        <w:trPr>
          <w:trHeight w:val="186"/>
        </w:trPr>
        <w:tc>
          <w:tcPr>
            <w:tcW w:w="6140" w:type="dxa"/>
            <w:vAlign w:val="bottom"/>
          </w:tcPr>
          <w:p>
            <w:pPr>
              <w:ind w:left="20"/>
              <w:spacing w:after="0"/>
              <w:rPr>
                <w:sz w:val="20"/>
                <w:szCs w:val="20"/>
                <w:color w:val="auto"/>
              </w:rPr>
            </w:pPr>
            <w:r>
              <w:rPr>
                <w:rFonts w:ascii="Arial" w:cs="Arial" w:eastAsia="Arial" w:hAnsi="Arial"/>
                <w:sz w:val="16"/>
                <w:szCs w:val="16"/>
                <w:color w:val="auto"/>
              </w:rPr>
              <w:t>Outside United States</w:t>
            </w:r>
          </w:p>
        </w:tc>
        <w:tc>
          <w:tcPr>
            <w:tcW w:w="10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5,031</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4,927</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3,671</w:t>
            </w:r>
          </w:p>
        </w:tc>
        <w:tc>
          <w:tcPr>
            <w:tcW w:w="100" w:type="dxa"/>
            <w:vAlign w:val="bottom"/>
          </w:tcPr>
          <w:p>
            <w:pPr>
              <w:spacing w:after="0"/>
              <w:rPr>
                <w:sz w:val="16"/>
                <w:szCs w:val="16"/>
                <w:color w:val="auto"/>
              </w:rPr>
            </w:pPr>
          </w:p>
        </w:tc>
      </w:tr>
      <w:tr>
        <w:trPr>
          <w:trHeight w:val="220"/>
        </w:trPr>
        <w:tc>
          <w:tcPr>
            <w:tcW w:w="61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20"/>
              <w:spacing w:after="0" w:line="180" w:lineRule="exact"/>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5,672</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5,282</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4,271</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4855845</wp:posOffset>
            </wp:positionH>
            <wp:positionV relativeFrom="paragraph">
              <wp:posOffset>-24765</wp:posOffset>
            </wp:positionV>
            <wp:extent cx="6731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-7620</wp:posOffset>
            </wp:positionV>
            <wp:extent cx="6731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-24765</wp:posOffset>
            </wp:positionV>
            <wp:extent cx="6731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-7620</wp:posOffset>
            </wp:positionV>
            <wp:extent cx="6731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-24765</wp:posOffset>
            </wp:positionV>
            <wp:extent cx="6731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-7620</wp:posOffset>
            </wp:positionV>
            <wp:extent cx="6731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SLB recorded net pretax charges of $540 million in 2024 ($188 million of charges in the US and $352 million of net charges outside the US); $110 million in 2023 ($2 million of net credits in the US and $112 million of charges outside the US); and $347 million in 2022 ($379 million of net credits in the US and $32 million of net charges outside the US). These charges and credits are included in the table above and are more fully described in Note 3 – </w:t>
      </w:r>
      <w:r>
        <w:rPr>
          <w:rFonts w:ascii="Arial" w:cs="Arial" w:eastAsia="Arial" w:hAnsi="Arial"/>
          <w:sz w:val="16"/>
          <w:szCs w:val="16"/>
          <w:i w:val="1"/>
          <w:iCs w:val="1"/>
          <w:color w:val="auto"/>
        </w:rPr>
        <w:t>Charges and</w:t>
      </w:r>
      <w:r>
        <w:rPr>
          <w:rFonts w:ascii="Arial" w:cs="Arial" w:eastAsia="Arial" w:hAnsi="Arial"/>
          <w:sz w:val="16"/>
          <w:szCs w:val="16"/>
          <w:color w:val="auto"/>
        </w:rPr>
        <w:t xml:space="preserve"> </w:t>
      </w:r>
      <w:r>
        <w:rPr>
          <w:rFonts w:ascii="Arial" w:cs="Arial" w:eastAsia="Arial" w:hAnsi="Arial"/>
          <w:sz w:val="16"/>
          <w:szCs w:val="16"/>
          <w:i w:val="1"/>
          <w:iCs w:val="1"/>
          <w:color w:val="auto"/>
        </w:rPr>
        <w:t>Credits</w:t>
      </w:r>
      <w:r>
        <w:rPr>
          <w:rFonts w:ascii="Arial" w:cs="Arial" w:eastAsia="Arial" w:hAnsi="Arial"/>
          <w:sz w:val="16"/>
          <w:szCs w:val="16"/>
          <w:color w:val="auto"/>
        </w:rPr>
        <w: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net deferred tax liabilities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69"/>
        </w:trPr>
        <w:tc>
          <w:tcPr>
            <w:tcW w:w="7660" w:type="dxa"/>
            <w:vAlign w:val="bottom"/>
          </w:tcPr>
          <w:p>
            <w:pPr>
              <w:spacing w:after="0"/>
              <w:rPr>
                <w:sz w:val="24"/>
                <w:szCs w:val="24"/>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4"/>
                <w:szCs w:val="24"/>
                <w:color w:val="auto"/>
              </w:rPr>
            </w:pPr>
          </w:p>
        </w:tc>
      </w:tr>
      <w:tr>
        <w:trPr>
          <w:trHeight w:val="180"/>
        </w:trPr>
        <w:tc>
          <w:tcPr>
            <w:tcW w:w="76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Intangible assets</w:t>
            </w:r>
          </w:p>
        </w:tc>
        <w:tc>
          <w:tcPr>
            <w:tcW w:w="1120" w:type="dxa"/>
            <w:vAlign w:val="bottom"/>
            <w:shd w:val="clear" w:color="auto" w:fill="CFF0FC"/>
          </w:tcPr>
          <w:p>
            <w:pPr>
              <w:jc w:val="right"/>
              <w:ind w:right="940"/>
              <w:spacing w:after="0" w:line="180" w:lineRule="exact"/>
              <w:rPr>
                <w:sz w:val="20"/>
                <w:szCs w:val="20"/>
                <w:color w:val="auto"/>
              </w:rPr>
            </w:pPr>
            <w:r>
              <w:rPr>
                <w:rFonts w:ascii="Arial" w:cs="Arial" w:eastAsia="Arial" w:hAnsi="Arial"/>
                <w:sz w:val="16"/>
                <w:szCs w:val="16"/>
                <w:b w:val="1"/>
                <w:bCs w:val="1"/>
                <w:color w:val="auto"/>
                <w:w w:val="89"/>
              </w:rPr>
              <w:t>$</w:t>
            </w:r>
          </w:p>
        </w:tc>
        <w:tc>
          <w:tcPr>
            <w:tcW w:w="780" w:type="dxa"/>
            <w:vAlign w:val="bottom"/>
            <w:gridSpan w:val="2"/>
            <w:shd w:val="clear" w:color="auto" w:fill="CFF0FC"/>
          </w:tcPr>
          <w:p>
            <w:pPr>
              <w:jc w:val="right"/>
              <w:ind w:right="240"/>
              <w:spacing w:after="0" w:line="180" w:lineRule="exact"/>
              <w:rPr>
                <w:sz w:val="20"/>
                <w:szCs w:val="20"/>
                <w:color w:val="auto"/>
              </w:rPr>
            </w:pPr>
            <w:r>
              <w:rPr>
                <w:rFonts w:ascii="Arial" w:cs="Arial" w:eastAsia="Arial" w:hAnsi="Arial"/>
                <w:sz w:val="16"/>
                <w:szCs w:val="16"/>
                <w:b w:val="1"/>
                <w:bCs w:val="1"/>
                <w:color w:val="auto"/>
              </w:rPr>
              <w:t>(788 )</w:t>
            </w:r>
          </w:p>
        </w:tc>
        <w:tc>
          <w:tcPr>
            <w:tcW w:w="240" w:type="dxa"/>
            <w:vAlign w:val="bottom"/>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(844 )</w:t>
            </w:r>
          </w:p>
        </w:tc>
      </w:tr>
      <w:tr>
        <w:trPr>
          <w:trHeight w:val="186"/>
        </w:trPr>
        <w:tc>
          <w:tcPr>
            <w:tcW w:w="7660" w:type="dxa"/>
            <w:vAlign w:val="bottom"/>
          </w:tcPr>
          <w:p>
            <w:pPr>
              <w:ind w:left="20"/>
              <w:spacing w:after="0"/>
              <w:rPr>
                <w:sz w:val="20"/>
                <w:szCs w:val="20"/>
                <w:color w:val="auto"/>
              </w:rPr>
            </w:pPr>
            <w:r>
              <w:rPr>
                <w:rFonts w:ascii="Arial" w:cs="Arial" w:eastAsia="Arial" w:hAnsi="Arial"/>
                <w:sz w:val="16"/>
                <w:szCs w:val="16"/>
                <w:color w:val="auto"/>
              </w:rPr>
              <w:t>Net operating losses</w:t>
            </w:r>
          </w:p>
        </w:tc>
        <w:tc>
          <w:tcPr>
            <w:tcW w:w="1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123</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6"/>
                <w:szCs w:val="16"/>
                <w:color w:val="auto"/>
              </w:rPr>
            </w:pPr>
          </w:p>
        </w:tc>
      </w:tr>
      <w:tr>
        <w:trPr>
          <w:trHeight w:val="18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Fixed assets, net</w:t>
            </w:r>
          </w:p>
        </w:tc>
        <w:tc>
          <w:tcPr>
            <w:tcW w:w="112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173</w:t>
            </w: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FF0FC"/>
          </w:tcPr>
          <w:p>
            <w:pPr>
              <w:spacing w:after="0"/>
              <w:rPr>
                <w:sz w:val="16"/>
                <w:szCs w:val="16"/>
                <w:color w:val="auto"/>
              </w:rPr>
            </w:pPr>
          </w:p>
        </w:tc>
      </w:tr>
      <w:tr>
        <w:trPr>
          <w:trHeight w:val="186"/>
        </w:trPr>
        <w:tc>
          <w:tcPr>
            <w:tcW w:w="7660" w:type="dxa"/>
            <w:vAlign w:val="bottom"/>
          </w:tcPr>
          <w:p>
            <w:pPr>
              <w:ind w:left="20"/>
              <w:spacing w:after="0"/>
              <w:rPr>
                <w:sz w:val="20"/>
                <w:szCs w:val="20"/>
                <w:color w:val="auto"/>
              </w:rPr>
            </w:pPr>
            <w:r>
              <w:rPr>
                <w:rFonts w:ascii="Arial" w:cs="Arial" w:eastAsia="Arial" w:hAnsi="Arial"/>
                <w:sz w:val="16"/>
                <w:szCs w:val="16"/>
                <w:color w:val="auto"/>
              </w:rPr>
              <w:t>Research and development credits</w:t>
            </w:r>
          </w:p>
        </w:tc>
        <w:tc>
          <w:tcPr>
            <w:tcW w:w="1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158</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6"/>
                <w:szCs w:val="16"/>
                <w:color w:val="auto"/>
              </w:rPr>
            </w:pPr>
          </w:p>
        </w:tc>
      </w:tr>
      <w:tr>
        <w:trPr>
          <w:trHeight w:val="18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Capitalized research and development costs</w:t>
            </w:r>
          </w:p>
        </w:tc>
        <w:tc>
          <w:tcPr>
            <w:tcW w:w="112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216</w:t>
            </w: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FF0FC"/>
          </w:tcPr>
          <w:p>
            <w:pPr>
              <w:spacing w:after="0"/>
              <w:rPr>
                <w:sz w:val="16"/>
                <w:szCs w:val="16"/>
                <w:color w:val="auto"/>
              </w:rPr>
            </w:pPr>
          </w:p>
        </w:tc>
      </w:tr>
      <w:tr>
        <w:trPr>
          <w:trHeight w:val="186"/>
        </w:trPr>
        <w:tc>
          <w:tcPr>
            <w:tcW w:w="7660" w:type="dxa"/>
            <w:vAlign w:val="bottom"/>
          </w:tcPr>
          <w:p>
            <w:pPr>
              <w:ind w:left="20"/>
              <w:spacing w:after="0"/>
              <w:rPr>
                <w:sz w:val="20"/>
                <w:szCs w:val="20"/>
                <w:color w:val="auto"/>
              </w:rPr>
            </w:pPr>
            <w:r>
              <w:rPr>
                <w:rFonts w:ascii="Arial" w:cs="Arial" w:eastAsia="Arial" w:hAnsi="Arial"/>
                <w:sz w:val="16"/>
                <w:szCs w:val="16"/>
                <w:color w:val="auto"/>
              </w:rPr>
              <w:t>Pension and other postretirement benefits</w:t>
            </w:r>
          </w:p>
        </w:tc>
        <w:tc>
          <w:tcPr>
            <w:tcW w:w="112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(62 )</w:t>
            </w:r>
          </w:p>
        </w:tc>
        <w:tc>
          <w:tcPr>
            <w:tcW w:w="240" w:type="dxa"/>
            <w:vAlign w:val="bottom"/>
          </w:tcPr>
          <w:p>
            <w:pPr>
              <w:spacing w:after="0"/>
              <w:rPr>
                <w:sz w:val="16"/>
                <w:szCs w:val="16"/>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(94 )</w:t>
            </w:r>
          </w:p>
        </w:tc>
      </w:tr>
      <w:tr>
        <w:trPr>
          <w:trHeight w:val="186"/>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net</w:t>
            </w:r>
          </w:p>
        </w:tc>
        <w:tc>
          <w:tcPr>
            <w:tcW w:w="112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113</w:t>
            </w:r>
          </w:p>
        </w:tc>
        <w:tc>
          <w:tcPr>
            <w:tcW w:w="3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0"/>
        </w:trPr>
        <w:tc>
          <w:tcPr>
            <w:tcW w:w="7660" w:type="dxa"/>
            <w:vAlign w:val="bottom"/>
          </w:tcPr>
          <w:p>
            <w:pPr>
              <w:spacing w:after="0"/>
              <w:rPr>
                <w:sz w:val="15"/>
                <w:szCs w:val="15"/>
                <w:color w:val="auto"/>
              </w:rPr>
            </w:pPr>
          </w:p>
        </w:tc>
        <w:tc>
          <w:tcPr>
            <w:tcW w:w="1120" w:type="dxa"/>
            <w:vAlign w:val="bottom"/>
          </w:tcPr>
          <w:p>
            <w:pPr>
              <w:jc w:val="right"/>
              <w:ind w:right="940"/>
              <w:spacing w:after="0" w:line="180" w:lineRule="exact"/>
              <w:rPr>
                <w:sz w:val="20"/>
                <w:szCs w:val="20"/>
                <w:color w:val="auto"/>
              </w:rPr>
            </w:pPr>
            <w:r>
              <w:rPr>
                <w:rFonts w:ascii="Arial" w:cs="Arial" w:eastAsia="Arial" w:hAnsi="Arial"/>
                <w:sz w:val="16"/>
                <w:szCs w:val="16"/>
                <w:b w:val="1"/>
                <w:bCs w:val="1"/>
                <w:color w:val="auto"/>
                <w:w w:val="89"/>
              </w:rPr>
              <w:t>$</w:t>
            </w:r>
          </w:p>
        </w:tc>
        <w:tc>
          <w:tcPr>
            <w:tcW w:w="780" w:type="dxa"/>
            <w:vAlign w:val="bottom"/>
            <w:gridSpan w:val="2"/>
          </w:tcPr>
          <w:p>
            <w:pPr>
              <w:jc w:val="right"/>
              <w:ind w:right="240"/>
              <w:spacing w:after="0" w:line="180" w:lineRule="exact"/>
              <w:rPr>
                <w:sz w:val="20"/>
                <w:szCs w:val="20"/>
                <w:color w:val="auto"/>
              </w:rPr>
            </w:pPr>
            <w:r>
              <w:rPr>
                <w:rFonts w:ascii="Arial" w:cs="Arial" w:eastAsia="Arial" w:hAnsi="Arial"/>
                <w:sz w:val="16"/>
                <w:szCs w:val="16"/>
                <w:b w:val="1"/>
                <w:bCs w:val="1"/>
                <w:color w:val="auto"/>
              </w:rPr>
              <w:t>(67 )</w:t>
            </w:r>
          </w:p>
        </w:tc>
        <w:tc>
          <w:tcPr>
            <w:tcW w:w="240" w:type="dxa"/>
            <w:vAlign w:val="bottom"/>
          </w:tcPr>
          <w:p>
            <w:pPr>
              <w:jc w:val="right"/>
              <w:ind w:right="60"/>
              <w:spacing w:after="0" w:line="180" w:lineRule="exact"/>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(140 )</w:t>
            </w:r>
          </w:p>
        </w:tc>
      </w:tr>
      <w:tr>
        <w:trPr>
          <w:trHeight w:val="20"/>
        </w:trPr>
        <w:tc>
          <w:tcPr>
            <w:tcW w:w="7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-151765</wp:posOffset>
            </wp:positionV>
            <wp:extent cx="6731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-151765</wp:posOffset>
            </wp:positionV>
            <wp:extent cx="6731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Approximately $97 million of the $123 million deferred tax asset relating to net operating losses at December 31, 2024 can be carried forward indefinitely. The majority of the remaining balance expires at various dates between 2037 and 2042.</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deferred tax balance at December 31, 2024 and 2023 was net of valuation allowances relating to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69"/>
        </w:trPr>
        <w:tc>
          <w:tcPr>
            <w:tcW w:w="7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40"/>
              <w:spacing w:after="0"/>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4"/>
                <w:szCs w:val="24"/>
                <w:color w:val="auto"/>
              </w:rPr>
            </w:pPr>
          </w:p>
        </w:tc>
      </w:tr>
      <w:tr>
        <w:trPr>
          <w:trHeight w:val="180"/>
        </w:trPr>
        <w:tc>
          <w:tcPr>
            <w:tcW w:w="728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US foreign tax credits</w:t>
            </w:r>
          </w:p>
        </w:tc>
        <w:tc>
          <w:tcPr>
            <w:tcW w:w="400" w:type="dxa"/>
            <w:vAlign w:val="bottom"/>
            <w:shd w:val="clear" w:color="auto" w:fill="CFF0FC"/>
          </w:tcPr>
          <w:p>
            <w:pPr>
              <w:jc w:val="right"/>
              <w:ind w:right="200"/>
              <w:spacing w:after="0" w:line="180" w:lineRule="exact"/>
              <w:rPr>
                <w:sz w:val="20"/>
                <w:szCs w:val="20"/>
                <w:color w:val="auto"/>
              </w:rPr>
            </w:pPr>
            <w:r>
              <w:rPr>
                <w:rFonts w:ascii="Arial" w:cs="Arial" w:eastAsia="Arial" w:hAnsi="Arial"/>
                <w:sz w:val="16"/>
                <w:szCs w:val="16"/>
                <w:b w:val="1"/>
                <w:bCs w:val="1"/>
                <w:color w:val="auto"/>
              </w:rPr>
              <w:t>$</w:t>
            </w:r>
          </w:p>
        </w:tc>
        <w:tc>
          <w:tcPr>
            <w:tcW w:w="13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162</w:t>
            </w:r>
          </w:p>
        </w:tc>
        <w:tc>
          <w:tcPr>
            <w:tcW w:w="640" w:type="dxa"/>
            <w:vAlign w:val="bottom"/>
            <w:gridSpan w:val="2"/>
            <w:shd w:val="clear" w:color="auto" w:fill="CFF0FC"/>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188</w:t>
            </w:r>
          </w:p>
        </w:tc>
        <w:tc>
          <w:tcPr>
            <w:tcW w:w="100" w:type="dxa"/>
            <w:vAlign w:val="bottom"/>
            <w:shd w:val="clear" w:color="auto" w:fill="CFF0FC"/>
          </w:tcPr>
          <w:p>
            <w:pPr>
              <w:spacing w:after="0"/>
              <w:rPr>
                <w:sz w:val="15"/>
                <w:szCs w:val="15"/>
                <w:color w:val="auto"/>
              </w:rPr>
            </w:pPr>
          </w:p>
        </w:tc>
      </w:tr>
      <w:tr>
        <w:trPr>
          <w:trHeight w:val="219"/>
        </w:trPr>
        <w:tc>
          <w:tcPr>
            <w:tcW w:w="7280" w:type="dxa"/>
            <w:vAlign w:val="bottom"/>
          </w:tcPr>
          <w:p>
            <w:pPr>
              <w:ind w:left="20"/>
              <w:spacing w:after="0"/>
              <w:rPr>
                <w:sz w:val="20"/>
                <w:szCs w:val="20"/>
                <w:color w:val="auto"/>
              </w:rPr>
            </w:pPr>
            <w:r>
              <w:rPr>
                <w:rFonts w:ascii="Arial" w:cs="Arial" w:eastAsia="Arial" w:hAnsi="Arial"/>
                <w:sz w:val="16"/>
                <w:szCs w:val="16"/>
                <w:color w:val="auto"/>
              </w:rPr>
              <w:t>Net operating losses</w:t>
            </w:r>
          </w:p>
        </w:tc>
        <w:tc>
          <w:tcPr>
            <w:tcW w:w="400" w:type="dxa"/>
            <w:vAlign w:val="bottom"/>
          </w:tcPr>
          <w:p>
            <w:pPr>
              <w:jc w:val="right"/>
              <w:ind w:right="200"/>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62</w:t>
            </w: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9"/>
                <w:szCs w:val="19"/>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vast majority of the $162 million of US foreign tax credits will expire by 2026.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 xml:space="preserve">The components of </w:t>
      </w:r>
      <w:r>
        <w:rPr>
          <w:rFonts w:ascii="Arial" w:cs="Arial" w:eastAsia="Arial" w:hAnsi="Arial"/>
          <w:sz w:val="16"/>
          <w:szCs w:val="16"/>
          <w:i w:val="1"/>
          <w:iCs w:val="1"/>
          <w:color w:val="auto"/>
        </w:rPr>
        <w:t>Tax expense</w:t>
      </w:r>
      <w:r>
        <w:rPr>
          <w:rFonts w:ascii="Arial" w:cs="Arial" w:eastAsia="Arial" w:hAnsi="Arial"/>
          <w:sz w:val="16"/>
          <w:szCs w:val="16"/>
          <w:color w:val="auto"/>
        </w:rPr>
        <w:t xml:space="preserve">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55"/>
        </w:trPr>
        <w:tc>
          <w:tcPr>
            <w:tcW w:w="6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r>
      <w:tr>
        <w:trPr>
          <w:trHeight w:val="180"/>
        </w:trPr>
        <w:tc>
          <w:tcPr>
            <w:tcW w:w="614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Current:</w:t>
            </w: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6"/>
        </w:trPr>
        <w:tc>
          <w:tcPr>
            <w:tcW w:w="6140" w:type="dxa"/>
            <w:vAlign w:val="bottom"/>
          </w:tcPr>
          <w:p>
            <w:pPr>
              <w:ind w:left="20"/>
              <w:spacing w:after="0"/>
              <w:rPr>
                <w:sz w:val="20"/>
                <w:szCs w:val="20"/>
                <w:color w:val="auto"/>
              </w:rPr>
            </w:pPr>
            <w:r>
              <w:rPr>
                <w:rFonts w:ascii="Arial" w:cs="Arial" w:eastAsia="Arial" w:hAnsi="Arial"/>
                <w:sz w:val="16"/>
                <w:szCs w:val="16"/>
                <w:color w:val="auto"/>
              </w:rPr>
              <w:t>United States-Federal</w:t>
            </w:r>
          </w:p>
        </w:tc>
        <w:tc>
          <w:tcPr>
            <w:tcW w:w="340" w:type="dxa"/>
            <w:vAlign w:val="bottom"/>
          </w:tcPr>
          <w:p>
            <w:pPr>
              <w:jc w:val="right"/>
              <w:ind w:right="160"/>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280" w:type="dxa"/>
            <w:vAlign w:val="bottom"/>
          </w:tcPr>
          <w:p>
            <w:pPr>
              <w:spacing w:after="0"/>
              <w:rPr>
                <w:sz w:val="16"/>
                <w:szCs w:val="16"/>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(23 )</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6"/>
                <w:szCs w:val="16"/>
                <w:color w:val="auto"/>
              </w:rPr>
            </w:pPr>
          </w:p>
        </w:tc>
      </w:tr>
      <w:tr>
        <w:trPr>
          <w:trHeight w:val="186"/>
        </w:trPr>
        <w:tc>
          <w:tcPr>
            <w:tcW w:w="6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United States-State</w:t>
            </w: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6"/>
                <w:szCs w:val="16"/>
                <w:color w:val="auto"/>
              </w:rPr>
            </w:pPr>
          </w:p>
        </w:tc>
      </w:tr>
      <w:tr>
        <w:trPr>
          <w:trHeight w:val="186"/>
        </w:trPr>
        <w:tc>
          <w:tcPr>
            <w:tcW w:w="6140" w:type="dxa"/>
            <w:vAlign w:val="bottom"/>
          </w:tcPr>
          <w:p>
            <w:pPr>
              <w:ind w:left="20"/>
              <w:spacing w:after="0"/>
              <w:rPr>
                <w:sz w:val="20"/>
                <w:szCs w:val="20"/>
                <w:color w:val="auto"/>
              </w:rPr>
            </w:pPr>
            <w:r>
              <w:rPr>
                <w:rFonts w:ascii="Arial" w:cs="Arial" w:eastAsia="Arial" w:hAnsi="Arial"/>
                <w:sz w:val="16"/>
                <w:szCs w:val="16"/>
                <w:color w:val="auto"/>
              </w:rPr>
              <w:t>Outside United States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1,117</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w:t>
            </w:r>
          </w:p>
        </w:tc>
        <w:tc>
          <w:tcPr>
            <w:tcW w:w="100" w:type="dxa"/>
            <w:vAlign w:val="bottom"/>
          </w:tcPr>
          <w:p>
            <w:pPr>
              <w:spacing w:after="0"/>
              <w:rPr>
                <w:sz w:val="16"/>
                <w:szCs w:val="16"/>
                <w:color w:val="auto"/>
              </w:rPr>
            </w:pPr>
          </w:p>
        </w:tc>
      </w:tr>
      <w:tr>
        <w:trPr>
          <w:trHeight w:val="180"/>
        </w:trPr>
        <w:tc>
          <w:tcPr>
            <w:tcW w:w="614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1,134</w:t>
            </w:r>
          </w:p>
        </w:tc>
        <w:tc>
          <w:tcPr>
            <w:tcW w:w="2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979</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818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0"/>
        </w:trPr>
        <w:tc>
          <w:tcPr>
            <w:tcW w:w="6140" w:type="dxa"/>
            <w:vAlign w:val="bottom"/>
          </w:tcPr>
          <w:p>
            <w:pPr>
              <w:ind w:left="20"/>
              <w:spacing w:after="0" w:line="180" w:lineRule="exact"/>
              <w:rPr>
                <w:sz w:val="20"/>
                <w:szCs w:val="20"/>
                <w:color w:val="auto"/>
              </w:rPr>
            </w:pPr>
            <w:r>
              <w:rPr>
                <w:rFonts w:ascii="Arial" w:cs="Arial" w:eastAsia="Arial" w:hAnsi="Arial"/>
                <w:sz w:val="16"/>
                <w:szCs w:val="16"/>
                <w:color w:val="auto"/>
              </w:rPr>
              <w:t>Deferred:</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6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United States-Federal</w:t>
            </w:r>
          </w:p>
        </w:tc>
        <w:tc>
          <w:tcPr>
            <w:tcW w:w="340" w:type="dxa"/>
            <w:vAlign w:val="bottom"/>
            <w:shd w:val="clear" w:color="auto" w:fill="CFF0FC"/>
          </w:tcPr>
          <w:p>
            <w:pPr>
              <w:jc w:val="right"/>
              <w:ind w:right="160"/>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88</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40"/>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(77 )</w:t>
            </w:r>
          </w:p>
        </w:tc>
        <w:tc>
          <w:tcPr>
            <w:tcW w:w="2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FF0FC"/>
          </w:tcPr>
          <w:p>
            <w:pPr>
              <w:spacing w:after="0"/>
              <w:rPr>
                <w:sz w:val="16"/>
                <w:szCs w:val="16"/>
                <w:color w:val="auto"/>
              </w:rPr>
            </w:pPr>
          </w:p>
        </w:tc>
      </w:tr>
      <w:tr>
        <w:trPr>
          <w:trHeight w:val="186"/>
        </w:trPr>
        <w:tc>
          <w:tcPr>
            <w:tcW w:w="6140" w:type="dxa"/>
            <w:vAlign w:val="bottom"/>
          </w:tcPr>
          <w:p>
            <w:pPr>
              <w:ind w:left="20"/>
              <w:spacing w:after="0"/>
              <w:rPr>
                <w:sz w:val="20"/>
                <w:szCs w:val="20"/>
                <w:color w:val="auto"/>
              </w:rPr>
            </w:pPr>
            <w:r>
              <w:rPr>
                <w:rFonts w:ascii="Arial" w:cs="Arial" w:eastAsia="Arial" w:hAnsi="Arial"/>
                <w:sz w:val="16"/>
                <w:szCs w:val="16"/>
                <w:color w:val="auto"/>
              </w:rPr>
              <w:t>United States-State</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6"/>
                <w:szCs w:val="16"/>
                <w:color w:val="auto"/>
              </w:rPr>
            </w:pPr>
          </w:p>
        </w:tc>
      </w:tr>
      <w:tr>
        <w:trPr>
          <w:trHeight w:val="186"/>
        </w:trPr>
        <w:tc>
          <w:tcPr>
            <w:tcW w:w="6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Outside United States</w:t>
            </w:r>
          </w:p>
        </w:tc>
        <w:tc>
          <w:tcPr>
            <w:tcW w:w="3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(61 )</w:t>
            </w: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(70 )</w:t>
            </w:r>
          </w:p>
        </w:tc>
      </w:tr>
      <w:tr>
        <w:trPr>
          <w:trHeight w:val="186"/>
        </w:trPr>
        <w:tc>
          <w:tcPr>
            <w:tcW w:w="6140" w:type="dxa"/>
            <w:vAlign w:val="bottom"/>
          </w:tcPr>
          <w:p>
            <w:pPr>
              <w:ind w:left="20"/>
              <w:spacing w:after="0"/>
              <w:rPr>
                <w:sz w:val="20"/>
                <w:szCs w:val="20"/>
                <w:color w:val="auto"/>
              </w:rPr>
            </w:pPr>
            <w:r>
              <w:rPr>
                <w:rFonts w:ascii="Arial" w:cs="Arial" w:eastAsia="Arial" w:hAnsi="Arial"/>
                <w:sz w:val="16"/>
                <w:szCs w:val="16"/>
                <w:color w:val="auto"/>
              </w:rPr>
              <w:t>Valuation allowance</w:t>
            </w:r>
          </w:p>
        </w:tc>
        <w:tc>
          <w:tcPr>
            <w:tcW w:w="340" w:type="dxa"/>
            <w:vAlign w:val="bottom"/>
          </w:tcPr>
          <w:p>
            <w:pPr>
              <w:spacing w:after="0"/>
              <w:rPr>
                <w:sz w:val="16"/>
                <w:szCs w:val="16"/>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(70 )</w:t>
            </w:r>
          </w:p>
        </w:tc>
        <w:tc>
          <w:tcPr>
            <w:tcW w:w="32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(5 )</w:t>
            </w:r>
          </w:p>
        </w:tc>
        <w:tc>
          <w:tcPr>
            <w:tcW w:w="200" w:type="dxa"/>
            <w:vAlign w:val="bottom"/>
          </w:tcPr>
          <w:p>
            <w:pPr>
              <w:spacing w:after="0"/>
              <w:rPr>
                <w:sz w:val="16"/>
                <w:szCs w:val="16"/>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(80 )</w:t>
            </w:r>
          </w:p>
        </w:tc>
      </w:tr>
      <w:tr>
        <w:trPr>
          <w:trHeight w:val="20"/>
        </w:trPr>
        <w:tc>
          <w:tcPr>
            <w:tcW w:w="6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0"/>
        </w:trPr>
        <w:tc>
          <w:tcPr>
            <w:tcW w:w="6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00"/>
              <w:spacing w:after="0" w:line="180" w:lineRule="exact"/>
              <w:rPr>
                <w:sz w:val="20"/>
                <w:szCs w:val="20"/>
                <w:color w:val="auto"/>
              </w:rPr>
            </w:pPr>
            <w:r>
              <w:rPr>
                <w:rFonts w:ascii="Arial" w:cs="Arial" w:eastAsia="Arial" w:hAnsi="Arial"/>
                <w:sz w:val="16"/>
                <w:szCs w:val="16"/>
                <w:b w:val="1"/>
                <w:bCs w:val="1"/>
                <w:color w:val="auto"/>
              </w:rPr>
              <w:t>(41 )</w:t>
            </w: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28</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(39 )</w:t>
            </w:r>
          </w:p>
        </w:tc>
      </w:tr>
      <w:tr>
        <w:trPr>
          <w:trHeight w:val="180"/>
        </w:trPr>
        <w:tc>
          <w:tcPr>
            <w:tcW w:w="6140" w:type="dxa"/>
            <w:vAlign w:val="bottom"/>
            <w:tcBorders>
              <w:top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160"/>
              <w:spacing w:after="0" w:line="180" w:lineRule="exact"/>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1,093</w:t>
            </w:r>
          </w:p>
        </w:tc>
        <w:tc>
          <w:tcPr>
            <w:tcW w:w="280" w:type="dxa"/>
            <w:vAlign w:val="bottom"/>
            <w:tcBorders>
              <w:top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40"/>
              <w:spacing w:after="0" w:line="180" w:lineRule="exact"/>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1,007</w:t>
            </w:r>
          </w:p>
        </w:tc>
        <w:tc>
          <w:tcPr>
            <w:tcW w:w="26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20"/>
              <w:spacing w:after="0" w:line="180" w:lineRule="exact"/>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779</w:t>
            </w:r>
          </w:p>
        </w:tc>
        <w:tc>
          <w:tcPr>
            <w:tcW w:w="100" w:type="dxa"/>
            <w:vAlign w:val="bottom"/>
            <w:tcBorders>
              <w:top w:val="single" w:sz="8" w:color="CFF0FC"/>
            </w:tcBorders>
          </w:tcPr>
          <w:p>
            <w:pPr>
              <w:spacing w:after="0"/>
              <w:rPr>
                <w:sz w:val="15"/>
                <w:szCs w:val="15"/>
                <w:color w:val="auto"/>
              </w:rPr>
            </w:pPr>
          </w:p>
        </w:tc>
      </w:tr>
      <w:tr>
        <w:trPr>
          <w:trHeight w:val="20"/>
        </w:trPr>
        <w:tc>
          <w:tcPr>
            <w:tcW w:w="6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4855845</wp:posOffset>
            </wp:positionH>
            <wp:positionV relativeFrom="paragraph">
              <wp:posOffset>-878205</wp:posOffset>
            </wp:positionV>
            <wp:extent cx="6731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-878205</wp:posOffset>
            </wp:positionV>
            <wp:extent cx="6731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-878205</wp:posOffset>
            </wp:positionV>
            <wp:extent cx="6731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-151765</wp:posOffset>
            </wp:positionV>
            <wp:extent cx="6731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-151765</wp:posOffset>
            </wp:positionV>
            <wp:extent cx="6731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-151765</wp:posOffset>
            </wp:positionV>
            <wp:extent cx="6731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United States statutory federal tax rate to the consolidated effective tax rate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980" w:type="dxa"/>
            <w:vAlign w:val="bottom"/>
          </w:tcPr>
          <w:p>
            <w:pPr>
              <w:spacing w:after="0"/>
              <w:rPr>
                <w:sz w:val="17"/>
                <w:szCs w:val="17"/>
                <w:color w:val="auto"/>
              </w:rPr>
            </w:pPr>
          </w:p>
        </w:tc>
        <w:tc>
          <w:tcPr>
            <w:tcW w:w="15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17"/>
                <w:szCs w:val="17"/>
                <w:color w:val="auto"/>
              </w:rPr>
            </w:pPr>
          </w:p>
        </w:tc>
        <w:tc>
          <w:tcPr>
            <w:tcW w:w="152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17"/>
                <w:szCs w:val="17"/>
                <w:color w:val="auto"/>
              </w:rPr>
            </w:pPr>
          </w:p>
        </w:tc>
        <w:tc>
          <w:tcPr>
            <w:tcW w:w="15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7"/>
                <w:szCs w:val="17"/>
                <w:color w:val="auto"/>
              </w:rPr>
            </w:pPr>
          </w:p>
        </w:tc>
      </w:tr>
      <w:tr>
        <w:trPr>
          <w:trHeight w:val="180"/>
        </w:trPr>
        <w:tc>
          <w:tcPr>
            <w:tcW w:w="598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US federal statutory rate</w:t>
            </w:r>
          </w:p>
        </w:tc>
        <w:tc>
          <w:tcPr>
            <w:tcW w:w="178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b w:val="1"/>
                <w:bCs w:val="1"/>
                <w:color w:val="auto"/>
              </w:rPr>
              <w:t>21 %</w:t>
            </w:r>
          </w:p>
        </w:tc>
        <w:tc>
          <w:tcPr>
            <w:tcW w:w="180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21 %</w:t>
            </w:r>
          </w:p>
        </w:tc>
        <w:tc>
          <w:tcPr>
            <w:tcW w:w="168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21 %</w:t>
            </w:r>
          </w:p>
        </w:tc>
      </w:tr>
      <w:tr>
        <w:trPr>
          <w:trHeight w:val="186"/>
        </w:trPr>
        <w:tc>
          <w:tcPr>
            <w:tcW w:w="5980" w:type="dxa"/>
            <w:vAlign w:val="bottom"/>
          </w:tcPr>
          <w:p>
            <w:pPr>
              <w:ind w:left="20"/>
              <w:spacing w:after="0"/>
              <w:rPr>
                <w:sz w:val="20"/>
                <w:szCs w:val="20"/>
                <w:color w:val="auto"/>
              </w:rPr>
            </w:pPr>
            <w:r>
              <w:rPr>
                <w:rFonts w:ascii="Arial" w:cs="Arial" w:eastAsia="Arial" w:hAnsi="Arial"/>
                <w:sz w:val="16"/>
                <w:szCs w:val="16"/>
                <w:color w:val="auto"/>
              </w:rPr>
              <w:t>Charges and credits (See Note 3)</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(1 )</w:t>
            </w:r>
          </w:p>
        </w:tc>
      </w:tr>
      <w:tr>
        <w:trPr>
          <w:trHeight w:val="186"/>
        </w:trPr>
        <w:tc>
          <w:tcPr>
            <w:tcW w:w="5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 in valuation allowance</w:t>
            </w: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(1 )</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(2 )</w:t>
            </w:r>
          </w:p>
        </w:tc>
      </w:tr>
      <w:tr>
        <w:trPr>
          <w:trHeight w:val="186"/>
        </w:trPr>
        <w:tc>
          <w:tcPr>
            <w:tcW w:w="5980" w:type="dxa"/>
            <w:vAlign w:val="bottom"/>
          </w:tcPr>
          <w:p>
            <w:pPr>
              <w:ind w:left="20"/>
              <w:spacing w:after="0"/>
              <w:rPr>
                <w:sz w:val="20"/>
                <w:szCs w:val="20"/>
                <w:color w:val="auto"/>
              </w:rPr>
            </w:pPr>
            <w:r>
              <w:rPr>
                <w:rFonts w:ascii="Arial" w:cs="Arial" w:eastAsia="Arial" w:hAnsi="Arial"/>
                <w:sz w:val="16"/>
                <w:szCs w:val="16"/>
                <w:color w:val="auto"/>
              </w:rPr>
              <w:t>Other</w:t>
            </w:r>
          </w:p>
        </w:tc>
        <w:tc>
          <w:tcPr>
            <w:tcW w:w="17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(1 )</w:t>
            </w:r>
          </w:p>
        </w:tc>
        <w:tc>
          <w:tcPr>
            <w:tcW w:w="1800" w:type="dxa"/>
            <w:vAlign w:val="bottom"/>
            <w:gridSpan w:val="2"/>
          </w:tcPr>
          <w:p>
            <w:pPr>
              <w:jc w:val="right"/>
              <w:ind w:right="220"/>
              <w:spacing w:after="0"/>
              <w:rPr>
                <w:sz w:val="20"/>
                <w:szCs w:val="20"/>
                <w:color w:val="auto"/>
              </w:rPr>
            </w:pPr>
            <w:r>
              <w:rPr>
                <w:rFonts w:ascii="Arial" w:cs="Arial" w:eastAsia="Arial" w:hAnsi="Arial"/>
                <w:sz w:val="16"/>
                <w:szCs w:val="16"/>
                <w:color w:val="auto"/>
              </w:rPr>
              <w:t>(2 )</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r>
      <w:tr>
        <w:trPr>
          <w:trHeight w:val="20"/>
        </w:trPr>
        <w:tc>
          <w:tcPr>
            <w:tcW w:w="59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598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b w:val="1"/>
                <w:bCs w:val="1"/>
                <w:color w:val="auto"/>
              </w:rPr>
              <w:t>19 %</w:t>
            </w:r>
          </w:p>
        </w:tc>
        <w:tc>
          <w:tcPr>
            <w:tcW w:w="180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19 %</w:t>
            </w:r>
          </w:p>
        </w:tc>
        <w:tc>
          <w:tcPr>
            <w:tcW w:w="168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18 %</w:t>
            </w:r>
          </w:p>
        </w:tc>
      </w:tr>
      <w:tr>
        <w:trPr>
          <w:trHeight w:val="20"/>
        </w:trPr>
        <w:tc>
          <w:tcPr>
            <w:tcW w:w="598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-24765</wp:posOffset>
            </wp:positionV>
            <wp:extent cx="1098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09855"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-7620</wp:posOffset>
            </wp:positionV>
            <wp:extent cx="1098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09855"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1098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09855"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1098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09855" cy="8255"/>
                    </a:xfrm>
                    <a:prstGeom prst="rect">
                      <a:avLst/>
                    </a:prstGeom>
                    <a:noFill/>
                  </pic:spPr>
                </pic:pic>
              </a:graphicData>
            </a:graphic>
          </wp:anchor>
        </w:drawing>
        <w:drawing>
          <wp:anchor simplePos="0" relativeHeight="251657728" behindDoc="1" locked="0" layoutInCell="0" allowOverlap="1">
            <wp:simplePos x="0" y="0"/>
            <wp:positionH relativeFrom="column">
              <wp:posOffset>7028180</wp:posOffset>
            </wp:positionH>
            <wp:positionV relativeFrom="paragraph">
              <wp:posOffset>-24765</wp:posOffset>
            </wp:positionV>
            <wp:extent cx="1098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9855" cy="8255"/>
                    </a:xfrm>
                    <a:prstGeom prst="rect">
                      <a:avLst/>
                    </a:prstGeom>
                    <a:noFill/>
                  </pic:spPr>
                </pic:pic>
              </a:graphicData>
            </a:graphic>
          </wp:anchor>
        </w:drawing>
        <w:drawing>
          <wp:anchor simplePos="0" relativeHeight="251657728" behindDoc="1" locked="0" layoutInCell="0" allowOverlap="1">
            <wp:simplePos x="0" y="0"/>
            <wp:positionH relativeFrom="column">
              <wp:posOffset>7028180</wp:posOffset>
            </wp:positionH>
            <wp:positionV relativeFrom="paragraph">
              <wp:posOffset>-7620</wp:posOffset>
            </wp:positionV>
            <wp:extent cx="1098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 number of the jurisdictions in which SLB operates have tax laws that are not fully defined and are evolving. SLB’s tax filings are subject to regular audit by the tax authorities. These audits may result in assessments for additional taxes that are resolved with the tax authorities or, potentially, through the courts. Tax liabilities are recorded based on estimates of additional taxes that will be due upon the conclusion of these audits. Due to the uncertain and complex application of tax regulations, the ultimate resolution of audits may result in liabilities which could be materially different from these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beginning and ending amount of liabilities associated with uncertain tax positions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69"/>
        </w:trPr>
        <w:tc>
          <w:tcPr>
            <w:tcW w:w="656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r>
      <w:tr>
        <w:trPr>
          <w:trHeight w:val="180"/>
        </w:trPr>
        <w:tc>
          <w:tcPr>
            <w:tcW w:w="65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Balance at beginning of year</w:t>
            </w:r>
          </w:p>
        </w:tc>
        <w:tc>
          <w:tcPr>
            <w:tcW w:w="940" w:type="dxa"/>
            <w:vAlign w:val="bottom"/>
            <w:shd w:val="clear" w:color="auto" w:fill="CFF0FC"/>
          </w:tcPr>
          <w:p>
            <w:pPr>
              <w:jc w:val="right"/>
              <w:ind w:right="760"/>
              <w:spacing w:after="0" w:line="180" w:lineRule="exact"/>
              <w:rPr>
                <w:sz w:val="20"/>
                <w:szCs w:val="20"/>
                <w:color w:val="auto"/>
              </w:rPr>
            </w:pPr>
            <w:r>
              <w:rPr>
                <w:rFonts w:ascii="Arial" w:cs="Arial" w:eastAsia="Arial" w:hAnsi="Arial"/>
                <w:sz w:val="16"/>
                <w:szCs w:val="16"/>
                <w:b w:val="1"/>
                <w:bCs w:val="1"/>
                <w:color w:val="auto"/>
                <w:w w:val="89"/>
              </w:rPr>
              <w:t>$</w:t>
            </w:r>
          </w:p>
        </w:tc>
        <w:tc>
          <w:tcPr>
            <w:tcW w:w="4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783</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0"/>
              <w:spacing w:after="0" w:line="180" w:lineRule="exact"/>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893</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1,001</w:t>
            </w:r>
          </w:p>
        </w:tc>
        <w:tc>
          <w:tcPr>
            <w:tcW w:w="100" w:type="dxa"/>
            <w:vAlign w:val="bottom"/>
            <w:shd w:val="clear" w:color="auto" w:fill="CFF0FC"/>
          </w:tcPr>
          <w:p>
            <w:pPr>
              <w:spacing w:after="0"/>
              <w:rPr>
                <w:sz w:val="15"/>
                <w:szCs w:val="15"/>
                <w:color w:val="auto"/>
              </w:rPr>
            </w:pPr>
          </w:p>
        </w:tc>
      </w:tr>
      <w:tr>
        <w:trPr>
          <w:trHeight w:val="186"/>
        </w:trPr>
        <w:tc>
          <w:tcPr>
            <w:tcW w:w="656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the current year</w:t>
            </w:r>
          </w:p>
        </w:tc>
        <w:tc>
          <w:tcPr>
            <w:tcW w:w="9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6"/>
                <w:szCs w:val="16"/>
                <w:color w:val="auto"/>
              </w:rPr>
            </w:pPr>
          </w:p>
        </w:tc>
      </w:tr>
      <w:tr>
        <w:trPr>
          <w:trHeight w:val="186"/>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Additions for tax positions of prior years</w:t>
            </w:r>
          </w:p>
        </w:tc>
        <w:tc>
          <w:tcPr>
            <w:tcW w:w="94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150</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FF0FC"/>
          </w:tcPr>
          <w:p>
            <w:pPr>
              <w:spacing w:after="0"/>
              <w:rPr>
                <w:sz w:val="16"/>
                <w:szCs w:val="16"/>
                <w:color w:val="auto"/>
              </w:rPr>
            </w:pPr>
          </w:p>
        </w:tc>
      </w:tr>
      <w:tr>
        <w:trPr>
          <w:trHeight w:val="186"/>
        </w:trPr>
        <w:tc>
          <w:tcPr>
            <w:tcW w:w="6560" w:type="dxa"/>
            <w:vAlign w:val="bottom"/>
          </w:tcPr>
          <w:p>
            <w:pPr>
              <w:ind w:left="20"/>
              <w:spacing w:after="0"/>
              <w:rPr>
                <w:sz w:val="20"/>
                <w:szCs w:val="20"/>
                <w:color w:val="auto"/>
              </w:rPr>
            </w:pPr>
            <w:r>
              <w:rPr>
                <w:rFonts w:ascii="Arial" w:cs="Arial" w:eastAsia="Arial" w:hAnsi="Arial"/>
                <w:sz w:val="16"/>
                <w:szCs w:val="16"/>
                <w:color w:val="auto"/>
              </w:rPr>
              <w:t>Impact of changes in exchange rates</w:t>
            </w:r>
          </w:p>
        </w:tc>
        <w:tc>
          <w:tcPr>
            <w:tcW w:w="94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(23 )</w:t>
            </w:r>
          </w:p>
        </w:tc>
        <w:tc>
          <w:tcPr>
            <w:tcW w:w="28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(38 )</w:t>
            </w:r>
          </w:p>
        </w:tc>
      </w:tr>
      <w:tr>
        <w:trPr>
          <w:trHeight w:val="186"/>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Settlements with tax authorities</w:t>
            </w:r>
          </w:p>
        </w:tc>
        <w:tc>
          <w:tcPr>
            <w:tcW w:w="9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(75 )</w:t>
            </w:r>
          </w:p>
        </w:tc>
        <w:tc>
          <w:tcPr>
            <w:tcW w:w="2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(36 )</w:t>
            </w: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(37 )</w:t>
            </w:r>
          </w:p>
        </w:tc>
      </w:tr>
      <w:tr>
        <w:trPr>
          <w:trHeight w:val="186"/>
        </w:trPr>
        <w:tc>
          <w:tcPr>
            <w:tcW w:w="6560" w:type="dxa"/>
            <w:vAlign w:val="bottom"/>
          </w:tcPr>
          <w:p>
            <w:pPr>
              <w:ind w:left="20"/>
              <w:spacing w:after="0"/>
              <w:rPr>
                <w:sz w:val="20"/>
                <w:szCs w:val="20"/>
                <w:color w:val="auto"/>
              </w:rPr>
            </w:pPr>
            <w:r>
              <w:rPr>
                <w:rFonts w:ascii="Arial" w:cs="Arial" w:eastAsia="Arial" w:hAnsi="Arial"/>
                <w:sz w:val="16"/>
                <w:szCs w:val="16"/>
                <w:color w:val="auto"/>
              </w:rPr>
              <w:t>Reductions for tax positions of prior years</w:t>
            </w:r>
          </w:p>
        </w:tc>
        <w:tc>
          <w:tcPr>
            <w:tcW w:w="94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(104 )</w:t>
            </w:r>
          </w:p>
        </w:tc>
        <w:tc>
          <w:tcPr>
            <w:tcW w:w="28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(176 )</w:t>
            </w:r>
          </w:p>
        </w:tc>
        <w:tc>
          <w:tcPr>
            <w:tcW w:w="12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(94 )</w:t>
            </w:r>
          </w:p>
        </w:tc>
      </w:tr>
      <w:tr>
        <w:trPr>
          <w:trHeight w:val="186"/>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Reductions due to the lapse of statute of limitations</w:t>
            </w:r>
          </w:p>
        </w:tc>
        <w:tc>
          <w:tcPr>
            <w:tcW w:w="9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(95 )</w:t>
            </w:r>
          </w:p>
        </w:tc>
        <w:tc>
          <w:tcPr>
            <w:tcW w:w="2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(30 )</w:t>
            </w: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(44 )</w:t>
            </w:r>
          </w:p>
        </w:tc>
      </w:tr>
      <w:tr>
        <w:trPr>
          <w:trHeight w:val="180"/>
        </w:trPr>
        <w:tc>
          <w:tcPr>
            <w:tcW w:w="6560" w:type="dxa"/>
            <w:vAlign w:val="bottom"/>
            <w:tcBorders>
              <w:top w:val="single" w:sz="8" w:color="CFF0FC"/>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760"/>
              <w:spacing w:after="0" w:line="180" w:lineRule="exact"/>
              <w:rPr>
                <w:sz w:val="20"/>
                <w:szCs w:val="20"/>
                <w:color w:val="auto"/>
              </w:rPr>
            </w:pPr>
            <w:r>
              <w:rPr>
                <w:rFonts w:ascii="Arial" w:cs="Arial" w:eastAsia="Arial" w:hAnsi="Arial"/>
                <w:sz w:val="16"/>
                <w:szCs w:val="16"/>
                <w:b w:val="1"/>
                <w:bCs w:val="1"/>
                <w:color w:val="auto"/>
                <w:w w:val="89"/>
              </w:rPr>
              <w:t>$</w:t>
            </w:r>
          </w:p>
        </w:tc>
        <w:tc>
          <w:tcPr>
            <w:tcW w:w="4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715</w:t>
            </w:r>
          </w:p>
        </w:tc>
        <w:tc>
          <w:tcPr>
            <w:tcW w:w="280" w:type="dxa"/>
            <w:vAlign w:val="bottom"/>
            <w:tcBorders>
              <w:top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00"/>
              <w:spacing w:after="0" w:line="180"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783</w:t>
            </w:r>
          </w:p>
        </w:tc>
        <w:tc>
          <w:tcPr>
            <w:tcW w:w="26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893</w:t>
            </w:r>
          </w:p>
        </w:tc>
        <w:tc>
          <w:tcPr>
            <w:tcW w:w="100" w:type="dxa"/>
            <w:vAlign w:val="bottom"/>
            <w:tcBorders>
              <w:top w:val="single" w:sz="8" w:color="CFF0FC"/>
            </w:tcBorders>
          </w:tcPr>
          <w:p>
            <w:pPr>
              <w:spacing w:after="0"/>
              <w:rPr>
                <w:sz w:val="15"/>
                <w:szCs w:val="15"/>
                <w:color w:val="auto"/>
              </w:rPr>
            </w:pPr>
          </w:p>
        </w:tc>
      </w:tr>
      <w:tr>
        <w:trPr>
          <w:trHeight w:val="20"/>
        </w:trPr>
        <w:tc>
          <w:tcPr>
            <w:tcW w:w="6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5033645</wp:posOffset>
            </wp:positionH>
            <wp:positionV relativeFrom="paragraph">
              <wp:posOffset>-151765</wp:posOffset>
            </wp:positionV>
            <wp:extent cx="7620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6056630</wp:posOffset>
            </wp:positionH>
            <wp:positionV relativeFrom="paragraph">
              <wp:posOffset>-151765</wp:posOffset>
            </wp:positionV>
            <wp:extent cx="6731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-151765</wp:posOffset>
            </wp:positionV>
            <wp:extent cx="6731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 xml:space="preserve">The amounts above exclude accrued interest and penalties of $116 million at December 31, 2024 and $155 million at December 31, 2023. SLB classifies interest and penalties relating to uncertain tax positions within </w:t>
      </w:r>
      <w:r>
        <w:rPr>
          <w:rFonts w:ascii="Arial" w:cs="Arial" w:eastAsia="Arial" w:hAnsi="Arial"/>
          <w:sz w:val="16"/>
          <w:szCs w:val="16"/>
          <w:i w:val="1"/>
          <w:iCs w:val="1"/>
          <w:color w:val="auto"/>
        </w:rPr>
        <w:t>Tax expense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following table summarizes the tax years that are either currently under audit or remain open and subject to examination by the tax authorities in the most significant jurisdictions in which SLB operates: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Ecuador</w:t>
            </w:r>
          </w:p>
        </w:tc>
        <w:tc>
          <w:tcPr>
            <w:tcW w:w="5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2020 - 2024</w:t>
            </w:r>
          </w:p>
        </w:tc>
        <w:tc>
          <w:tcPr>
            <w:tcW w:w="2240" w:type="dxa"/>
            <w:vAlign w:val="bottom"/>
          </w:tcPr>
          <w:p>
            <w:pPr>
              <w:spacing w:after="0"/>
              <w:rPr>
                <w:sz w:val="16"/>
                <w:szCs w:val="16"/>
                <w:color w:val="auto"/>
              </w:rPr>
            </w:pPr>
          </w:p>
        </w:tc>
      </w:tr>
      <w:tr>
        <w:trPr>
          <w:trHeight w:val="186"/>
        </w:trPr>
        <w:tc>
          <w:tcPr>
            <w:tcW w:w="3340" w:type="dxa"/>
            <w:vAlign w:val="bottom"/>
          </w:tcPr>
          <w:p>
            <w:pPr>
              <w:ind w:left="20"/>
              <w:spacing w:after="0"/>
              <w:rPr>
                <w:sz w:val="20"/>
                <w:szCs w:val="20"/>
                <w:color w:val="auto"/>
              </w:rPr>
            </w:pPr>
            <w:r>
              <w:rPr>
                <w:rFonts w:ascii="Arial" w:cs="Arial" w:eastAsia="Arial" w:hAnsi="Arial"/>
                <w:sz w:val="16"/>
                <w:szCs w:val="16"/>
                <w:color w:val="auto"/>
              </w:rPr>
              <w:t>Mexico</w:t>
            </w:r>
          </w:p>
        </w:tc>
        <w:tc>
          <w:tcPr>
            <w:tcW w:w="5660" w:type="dxa"/>
            <w:vAlign w:val="bottom"/>
          </w:tcPr>
          <w:p>
            <w:pPr>
              <w:jc w:val="right"/>
              <w:spacing w:after="0"/>
              <w:rPr>
                <w:sz w:val="20"/>
                <w:szCs w:val="20"/>
                <w:color w:val="auto"/>
              </w:rPr>
            </w:pPr>
            <w:r>
              <w:rPr>
                <w:rFonts w:ascii="Arial" w:cs="Arial" w:eastAsia="Arial" w:hAnsi="Arial"/>
                <w:sz w:val="16"/>
                <w:szCs w:val="16"/>
                <w:color w:val="auto"/>
              </w:rPr>
              <w:t>2019 - 2024</w:t>
            </w:r>
          </w:p>
        </w:tc>
        <w:tc>
          <w:tcPr>
            <w:tcW w:w="2240" w:type="dxa"/>
            <w:vAlign w:val="bottom"/>
          </w:tcPr>
          <w:p>
            <w:pPr>
              <w:spacing w:after="0"/>
              <w:rPr>
                <w:sz w:val="16"/>
                <w:szCs w:val="16"/>
                <w:color w:val="auto"/>
              </w:rPr>
            </w:pPr>
          </w:p>
        </w:tc>
      </w:tr>
      <w:tr>
        <w:trPr>
          <w:trHeight w:val="186"/>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Norway</w:t>
            </w:r>
          </w:p>
        </w:tc>
        <w:tc>
          <w:tcPr>
            <w:tcW w:w="5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2019 - 2024</w:t>
            </w:r>
          </w:p>
        </w:tc>
        <w:tc>
          <w:tcPr>
            <w:tcW w:w="2240" w:type="dxa"/>
            <w:vAlign w:val="bottom"/>
          </w:tcPr>
          <w:p>
            <w:pPr>
              <w:spacing w:after="0"/>
              <w:rPr>
                <w:sz w:val="16"/>
                <w:szCs w:val="16"/>
                <w:color w:val="auto"/>
              </w:rPr>
            </w:pPr>
          </w:p>
        </w:tc>
      </w:tr>
      <w:tr>
        <w:trPr>
          <w:trHeight w:val="186"/>
        </w:trPr>
        <w:tc>
          <w:tcPr>
            <w:tcW w:w="3340" w:type="dxa"/>
            <w:vAlign w:val="bottom"/>
          </w:tcPr>
          <w:p>
            <w:pPr>
              <w:ind w:left="20"/>
              <w:spacing w:after="0"/>
              <w:rPr>
                <w:sz w:val="20"/>
                <w:szCs w:val="20"/>
                <w:color w:val="auto"/>
              </w:rPr>
            </w:pPr>
            <w:r>
              <w:rPr>
                <w:rFonts w:ascii="Arial" w:cs="Arial" w:eastAsia="Arial" w:hAnsi="Arial"/>
                <w:sz w:val="16"/>
                <w:szCs w:val="16"/>
                <w:color w:val="auto"/>
              </w:rPr>
              <w:t>Russia</w:t>
            </w:r>
          </w:p>
        </w:tc>
        <w:tc>
          <w:tcPr>
            <w:tcW w:w="5660" w:type="dxa"/>
            <w:vAlign w:val="bottom"/>
          </w:tcPr>
          <w:p>
            <w:pPr>
              <w:jc w:val="right"/>
              <w:spacing w:after="0"/>
              <w:rPr>
                <w:sz w:val="20"/>
                <w:szCs w:val="20"/>
                <w:color w:val="auto"/>
              </w:rPr>
            </w:pPr>
            <w:r>
              <w:rPr>
                <w:rFonts w:ascii="Arial" w:cs="Arial" w:eastAsia="Arial" w:hAnsi="Arial"/>
                <w:sz w:val="16"/>
                <w:szCs w:val="16"/>
                <w:color w:val="auto"/>
              </w:rPr>
              <w:t>2022 - 2024</w:t>
            </w:r>
          </w:p>
        </w:tc>
        <w:tc>
          <w:tcPr>
            <w:tcW w:w="2240" w:type="dxa"/>
            <w:vAlign w:val="bottom"/>
          </w:tcPr>
          <w:p>
            <w:pPr>
              <w:spacing w:after="0"/>
              <w:rPr>
                <w:sz w:val="16"/>
                <w:szCs w:val="16"/>
                <w:color w:val="auto"/>
              </w:rPr>
            </w:pPr>
          </w:p>
        </w:tc>
      </w:tr>
      <w:tr>
        <w:trPr>
          <w:trHeight w:val="186"/>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Saudi Arabia</w:t>
            </w:r>
          </w:p>
        </w:tc>
        <w:tc>
          <w:tcPr>
            <w:tcW w:w="5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2019 - 2024</w:t>
            </w:r>
          </w:p>
        </w:tc>
        <w:tc>
          <w:tcPr>
            <w:tcW w:w="2240" w:type="dxa"/>
            <w:vAlign w:val="bottom"/>
          </w:tcPr>
          <w:p>
            <w:pPr>
              <w:spacing w:after="0"/>
              <w:rPr>
                <w:sz w:val="16"/>
                <w:szCs w:val="16"/>
                <w:color w:val="auto"/>
              </w:rPr>
            </w:pPr>
          </w:p>
        </w:tc>
      </w:tr>
      <w:tr>
        <w:trPr>
          <w:trHeight w:val="186"/>
        </w:trPr>
        <w:tc>
          <w:tcPr>
            <w:tcW w:w="3340" w:type="dxa"/>
            <w:vAlign w:val="bottom"/>
          </w:tcPr>
          <w:p>
            <w:pPr>
              <w:ind w:left="20"/>
              <w:spacing w:after="0"/>
              <w:rPr>
                <w:sz w:val="20"/>
                <w:szCs w:val="20"/>
                <w:color w:val="auto"/>
              </w:rPr>
            </w:pPr>
            <w:r>
              <w:rPr>
                <w:rFonts w:ascii="Arial" w:cs="Arial" w:eastAsia="Arial" w:hAnsi="Arial"/>
                <w:sz w:val="16"/>
                <w:szCs w:val="16"/>
                <w:color w:val="auto"/>
              </w:rPr>
              <w:t>United Kingdom</w:t>
            </w:r>
          </w:p>
        </w:tc>
        <w:tc>
          <w:tcPr>
            <w:tcW w:w="5660" w:type="dxa"/>
            <w:vAlign w:val="bottom"/>
          </w:tcPr>
          <w:p>
            <w:pPr>
              <w:jc w:val="right"/>
              <w:spacing w:after="0"/>
              <w:rPr>
                <w:sz w:val="20"/>
                <w:szCs w:val="20"/>
                <w:color w:val="auto"/>
              </w:rPr>
            </w:pPr>
            <w:r>
              <w:rPr>
                <w:rFonts w:ascii="Arial" w:cs="Arial" w:eastAsia="Arial" w:hAnsi="Arial"/>
                <w:sz w:val="16"/>
                <w:szCs w:val="16"/>
                <w:color w:val="auto"/>
              </w:rPr>
              <w:t>2020 - 2024</w:t>
            </w:r>
          </w:p>
        </w:tc>
        <w:tc>
          <w:tcPr>
            <w:tcW w:w="2240" w:type="dxa"/>
            <w:vAlign w:val="bottom"/>
          </w:tcPr>
          <w:p>
            <w:pPr>
              <w:spacing w:after="0"/>
              <w:rPr>
                <w:sz w:val="16"/>
                <w:szCs w:val="16"/>
                <w:color w:val="auto"/>
              </w:rPr>
            </w:pPr>
          </w:p>
        </w:tc>
      </w:tr>
      <w:tr>
        <w:trPr>
          <w:trHeight w:val="186"/>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United States</w:t>
            </w:r>
          </w:p>
        </w:tc>
        <w:tc>
          <w:tcPr>
            <w:tcW w:w="5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2021 - 2024</w:t>
            </w:r>
          </w:p>
        </w:tc>
        <w:tc>
          <w:tcPr>
            <w:tcW w:w="2240" w:type="dxa"/>
            <w:vAlign w:val="bottom"/>
          </w:tcPr>
          <w:p>
            <w:pPr>
              <w:spacing w:after="0"/>
              <w:rPr>
                <w:sz w:val="16"/>
                <w:szCs w:val="16"/>
                <w:color w:val="auto"/>
              </w:rPr>
            </w:pPr>
          </w:p>
        </w:tc>
      </w:tr>
      <w:tr>
        <w:trPr>
          <w:trHeight w:val="622"/>
        </w:trPr>
        <w:tc>
          <w:tcPr>
            <w:tcW w:w="3340" w:type="dxa"/>
            <w:vAlign w:val="bottom"/>
          </w:tcPr>
          <w:p>
            <w:pPr>
              <w:spacing w:after="0"/>
              <w:rPr>
                <w:sz w:val="24"/>
                <w:szCs w:val="24"/>
                <w:color w:val="auto"/>
              </w:rPr>
            </w:pPr>
          </w:p>
        </w:tc>
        <w:tc>
          <w:tcPr>
            <w:tcW w:w="5660" w:type="dxa"/>
            <w:vAlign w:val="bottom"/>
          </w:tcPr>
          <w:p>
            <w:pPr>
              <w:jc w:val="right"/>
              <w:ind w:right="3200"/>
              <w:spacing w:after="0"/>
              <w:rPr>
                <w:sz w:val="20"/>
                <w:szCs w:val="20"/>
                <w:color w:val="auto"/>
              </w:rPr>
            </w:pPr>
            <w:r>
              <w:rPr>
                <w:rFonts w:ascii="Arial" w:cs="Arial" w:eastAsia="Arial" w:hAnsi="Arial"/>
                <w:sz w:val="16"/>
                <w:szCs w:val="16"/>
                <w:color w:val="auto"/>
              </w:rPr>
              <w:t>47</w:t>
            </w:r>
          </w:p>
        </w:tc>
        <w:tc>
          <w:tcPr>
            <w:tcW w:w="2240" w:type="dxa"/>
            <w:vAlign w:val="bottom"/>
          </w:tcPr>
          <w:p>
            <w:pPr>
              <w:spacing w:after="0"/>
              <w:rPr>
                <w:sz w:val="24"/>
                <w:szCs w:val="24"/>
                <w:color w:val="auto"/>
              </w:rPr>
            </w:pPr>
          </w:p>
        </w:tc>
      </w:tr>
      <w:tr>
        <w:trPr>
          <w:trHeight w:val="742"/>
        </w:trPr>
        <w:tc>
          <w:tcPr>
            <w:tcW w:w="334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47" w:name="page48"/>
    <w:bookmarkEnd w:id="47"/>
    <w:p>
      <w:pPr>
        <w:ind w:left="320" w:hanging="314"/>
        <w:spacing w:after="0"/>
        <w:tabs>
          <w:tab w:leader="none" w:pos="32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Leases</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SLB’s leasing activities primarily consist of operating leases for administrative offices, manufacturing facilities, research centers, service centers, sales offices, and certain equipment. Total operating lease expense, which approximates cash paid and includes short-term leases, was $1.4 billion in each of 2024 and 2023 and $1.2 billion in 2022.</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Maturities of operating lease liabilities as of December 31, 2024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182"/>
        </w:trPr>
        <w:tc>
          <w:tcPr>
            <w:tcW w:w="7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6"/>
        </w:trPr>
        <w:tc>
          <w:tcPr>
            <w:tcW w:w="7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2025</w:t>
            </w:r>
          </w:p>
        </w:tc>
        <w:tc>
          <w:tcPr>
            <w:tcW w:w="2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w:t>
            </w:r>
          </w:p>
        </w:tc>
        <w:tc>
          <w:tcPr>
            <w:tcW w:w="80" w:type="dxa"/>
            <w:vAlign w:val="bottom"/>
            <w:shd w:val="clear" w:color="auto" w:fill="CFF0FC"/>
          </w:tcPr>
          <w:p>
            <w:pPr>
              <w:spacing w:after="0"/>
              <w:rPr>
                <w:sz w:val="16"/>
                <w:szCs w:val="16"/>
                <w:color w:val="auto"/>
              </w:rPr>
            </w:pPr>
          </w:p>
        </w:tc>
      </w:tr>
      <w:tr>
        <w:trPr>
          <w:trHeight w:val="186"/>
        </w:trPr>
        <w:tc>
          <w:tcPr>
            <w:tcW w:w="7340" w:type="dxa"/>
            <w:vAlign w:val="bottom"/>
          </w:tcPr>
          <w:p>
            <w:pPr>
              <w:ind w:left="20"/>
              <w:spacing w:after="0"/>
              <w:rPr>
                <w:sz w:val="20"/>
                <w:szCs w:val="20"/>
                <w:color w:val="auto"/>
              </w:rPr>
            </w:pPr>
            <w:r>
              <w:rPr>
                <w:rFonts w:ascii="Arial" w:cs="Arial" w:eastAsia="Arial" w:hAnsi="Arial"/>
                <w:sz w:val="16"/>
                <w:szCs w:val="16"/>
                <w:color w:val="auto"/>
              </w:rPr>
              <w:t>2026</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rPr>
                <w:sz w:val="16"/>
                <w:szCs w:val="16"/>
                <w:color w:val="auto"/>
              </w:rPr>
            </w:pPr>
          </w:p>
        </w:tc>
      </w:tr>
      <w:tr>
        <w:trPr>
          <w:trHeight w:val="186"/>
        </w:trPr>
        <w:tc>
          <w:tcPr>
            <w:tcW w:w="7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2027</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w:t>
            </w:r>
          </w:p>
        </w:tc>
        <w:tc>
          <w:tcPr>
            <w:tcW w:w="80" w:type="dxa"/>
            <w:vAlign w:val="bottom"/>
            <w:shd w:val="clear" w:color="auto" w:fill="CFF0FC"/>
          </w:tcPr>
          <w:p>
            <w:pPr>
              <w:spacing w:after="0"/>
              <w:rPr>
                <w:sz w:val="16"/>
                <w:szCs w:val="16"/>
                <w:color w:val="auto"/>
              </w:rPr>
            </w:pPr>
          </w:p>
        </w:tc>
      </w:tr>
      <w:tr>
        <w:trPr>
          <w:trHeight w:val="186"/>
        </w:trPr>
        <w:tc>
          <w:tcPr>
            <w:tcW w:w="7340" w:type="dxa"/>
            <w:vAlign w:val="bottom"/>
          </w:tcPr>
          <w:p>
            <w:pPr>
              <w:ind w:left="20"/>
              <w:spacing w:after="0"/>
              <w:rPr>
                <w:sz w:val="20"/>
                <w:szCs w:val="20"/>
                <w:color w:val="auto"/>
              </w:rPr>
            </w:pPr>
            <w:r>
              <w:rPr>
                <w:rFonts w:ascii="Arial" w:cs="Arial" w:eastAsia="Arial" w:hAnsi="Arial"/>
                <w:sz w:val="16"/>
                <w:szCs w:val="16"/>
                <w:color w:val="auto"/>
              </w:rPr>
              <w:t>2028</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6"/>
                <w:szCs w:val="16"/>
                <w:color w:val="auto"/>
              </w:rPr>
            </w:pPr>
          </w:p>
        </w:tc>
      </w:tr>
      <w:tr>
        <w:trPr>
          <w:trHeight w:val="186"/>
        </w:trPr>
        <w:tc>
          <w:tcPr>
            <w:tcW w:w="7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2029</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80" w:type="dxa"/>
            <w:vAlign w:val="bottom"/>
            <w:shd w:val="clear" w:color="auto" w:fill="CFF0FC"/>
          </w:tcPr>
          <w:p>
            <w:pPr>
              <w:spacing w:after="0"/>
              <w:rPr>
                <w:sz w:val="16"/>
                <w:szCs w:val="16"/>
                <w:color w:val="auto"/>
              </w:rPr>
            </w:pPr>
          </w:p>
        </w:tc>
      </w:tr>
      <w:tr>
        <w:trPr>
          <w:trHeight w:val="186"/>
        </w:trPr>
        <w:tc>
          <w:tcPr>
            <w:tcW w:w="734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80" w:type="dxa"/>
            <w:vAlign w:val="bottom"/>
          </w:tcPr>
          <w:p>
            <w:pPr>
              <w:spacing w:after="0"/>
              <w:rPr>
                <w:sz w:val="16"/>
                <w:szCs w:val="16"/>
                <w:color w:val="auto"/>
              </w:rPr>
            </w:pPr>
          </w:p>
        </w:tc>
      </w:tr>
      <w:tr>
        <w:trPr>
          <w:trHeight w:val="180"/>
        </w:trPr>
        <w:tc>
          <w:tcPr>
            <w:tcW w:w="734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Total lease payments</w:t>
            </w:r>
          </w:p>
        </w:tc>
        <w:tc>
          <w:tcPr>
            <w:tcW w:w="240" w:type="dxa"/>
            <w:vAlign w:val="bottom"/>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870</w:t>
            </w:r>
          </w:p>
        </w:tc>
        <w:tc>
          <w:tcPr>
            <w:tcW w:w="80" w:type="dxa"/>
            <w:vAlign w:val="bottom"/>
            <w:shd w:val="clear" w:color="auto" w:fill="CFF0FC"/>
          </w:tcPr>
          <w:p>
            <w:pPr>
              <w:spacing w:after="0"/>
              <w:rPr>
                <w:sz w:val="15"/>
                <w:szCs w:val="15"/>
                <w:color w:val="auto"/>
              </w:rPr>
            </w:pPr>
          </w:p>
        </w:tc>
      </w:tr>
      <w:tr>
        <w:trPr>
          <w:trHeight w:val="186"/>
        </w:trPr>
        <w:tc>
          <w:tcPr>
            <w:tcW w:w="7340" w:type="dxa"/>
            <w:vAlign w:val="bottom"/>
          </w:tcPr>
          <w:p>
            <w:pPr>
              <w:ind w:left="20"/>
              <w:spacing w:after="0"/>
              <w:rPr>
                <w:sz w:val="20"/>
                <w:szCs w:val="20"/>
                <w:color w:val="auto"/>
              </w:rPr>
            </w:pPr>
            <w:r>
              <w:rPr>
                <w:rFonts w:ascii="Arial" w:cs="Arial" w:eastAsia="Arial" w:hAnsi="Arial"/>
                <w:sz w:val="16"/>
                <w:szCs w:val="16"/>
                <w:color w:val="auto"/>
              </w:rPr>
              <w:t>Less: Interest</w:t>
            </w:r>
          </w:p>
        </w:tc>
        <w:tc>
          <w:tcPr>
            <w:tcW w:w="240" w:type="dxa"/>
            <w:vAlign w:val="bottom"/>
          </w:tcPr>
          <w:p>
            <w:pPr>
              <w:spacing w:after="0"/>
              <w:rPr>
                <w:sz w:val="16"/>
                <w:szCs w:val="16"/>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(128 )</w:t>
            </w:r>
          </w:p>
        </w:tc>
      </w:tr>
      <w:tr>
        <w:trPr>
          <w:trHeight w:val="220"/>
        </w:trPr>
        <w:tc>
          <w:tcPr>
            <w:tcW w:w="73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742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66"/>
        </w:trPr>
        <w:tc>
          <w:tcPr>
            <w:tcW w:w="7340" w:type="dxa"/>
            <w:vAlign w:val="bottom"/>
          </w:tcPr>
          <w:p>
            <w:pPr>
              <w:ind w:left="20"/>
              <w:spacing w:after="0" w:line="166" w:lineRule="exact"/>
              <w:rPr>
                <w:sz w:val="20"/>
                <w:szCs w:val="20"/>
                <w:color w:val="auto"/>
              </w:rPr>
            </w:pPr>
            <w:r>
              <w:rPr>
                <w:rFonts w:ascii="Arial" w:cs="Arial" w:eastAsia="Arial" w:hAnsi="Arial"/>
                <w:sz w:val="16"/>
                <w:szCs w:val="16"/>
                <w:b w:val="1"/>
                <w:bCs w:val="1"/>
                <w:i w:val="1"/>
                <w:iCs w:val="1"/>
                <w:color w:val="auto"/>
              </w:rPr>
              <w:t>Amounts recognized in balance sheet:</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6"/>
        </w:trPr>
        <w:tc>
          <w:tcPr>
            <w:tcW w:w="73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Accounts payable and accrued liabilities</w:t>
            </w:r>
          </w:p>
        </w:tc>
        <w:tc>
          <w:tcPr>
            <w:tcW w:w="2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w:t>
            </w:r>
          </w:p>
        </w:tc>
        <w:tc>
          <w:tcPr>
            <w:tcW w:w="80" w:type="dxa"/>
            <w:vAlign w:val="bottom"/>
            <w:shd w:val="clear" w:color="auto" w:fill="CFF0FC"/>
          </w:tcPr>
          <w:p>
            <w:pPr>
              <w:spacing w:after="0"/>
              <w:rPr>
                <w:sz w:val="16"/>
                <w:szCs w:val="16"/>
                <w:color w:val="auto"/>
              </w:rPr>
            </w:pPr>
          </w:p>
        </w:tc>
      </w:tr>
      <w:tr>
        <w:trPr>
          <w:trHeight w:val="186"/>
        </w:trPr>
        <w:tc>
          <w:tcPr>
            <w:tcW w:w="7340" w:type="dxa"/>
            <w:vAlign w:val="bottom"/>
          </w:tcPr>
          <w:p>
            <w:pPr>
              <w:ind w:left="20"/>
              <w:spacing w:after="0"/>
              <w:rPr>
                <w:sz w:val="20"/>
                <w:szCs w:val="20"/>
                <w:color w:val="auto"/>
              </w:rPr>
            </w:pPr>
            <w:r>
              <w:rPr>
                <w:rFonts w:ascii="Arial" w:cs="Arial" w:eastAsia="Arial" w:hAnsi="Arial"/>
                <w:sz w:val="16"/>
                <w:szCs w:val="16"/>
                <w:i w:val="1"/>
                <w:iCs w:val="1"/>
                <w:color w:val="auto"/>
              </w:rPr>
              <w:t>Other Liabilities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c>
          <w:tcPr>
            <w:tcW w:w="80" w:type="dxa"/>
            <w:vAlign w:val="bottom"/>
          </w:tcPr>
          <w:p>
            <w:pPr>
              <w:spacing w:after="0"/>
              <w:rPr>
                <w:sz w:val="16"/>
                <w:szCs w:val="16"/>
                <w:color w:val="auto"/>
              </w:rPr>
            </w:pPr>
          </w:p>
        </w:tc>
      </w:tr>
      <w:tr>
        <w:trPr>
          <w:trHeight w:val="220"/>
        </w:trPr>
        <w:tc>
          <w:tcPr>
            <w:tcW w:w="73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742</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5659120</wp:posOffset>
            </wp:positionH>
            <wp:positionV relativeFrom="paragraph">
              <wp:posOffset>-532130</wp:posOffset>
            </wp:positionV>
            <wp:extent cx="5080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5659120</wp:posOffset>
            </wp:positionH>
            <wp:positionV relativeFrom="paragraph">
              <wp:posOffset>-514985</wp:posOffset>
            </wp:positionV>
            <wp:extent cx="5080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5659120</wp:posOffset>
            </wp:positionH>
            <wp:positionV relativeFrom="paragraph">
              <wp:posOffset>-24765</wp:posOffset>
            </wp:positionV>
            <wp:extent cx="508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5659120</wp:posOffset>
            </wp:positionH>
            <wp:positionV relativeFrom="paragraph">
              <wp:posOffset>-7620</wp:posOffset>
            </wp:positionV>
            <wp:extent cx="508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152"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The weighted-average remaining lease term as of December 31, 2024 was 8 years. The weighted-average discount rate used to determine the operating lease liability as of December 31, 2024 was 3.8%.</w:t>
      </w:r>
    </w:p>
    <w:p>
      <w:pPr>
        <w:spacing w:after="0" w:line="161" w:lineRule="exact"/>
        <w:rPr>
          <w:sz w:val="20"/>
          <w:szCs w:val="20"/>
          <w:color w:val="auto"/>
        </w:rPr>
      </w:pPr>
    </w:p>
    <w:p>
      <w:pPr>
        <w:ind w:left="320" w:hanging="314"/>
        <w:spacing w:after="0"/>
        <w:tabs>
          <w:tab w:leader="none" w:pos="32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Contingencies</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SLB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174" w:lineRule="exact"/>
        <w:rPr>
          <w:sz w:val="20"/>
          <w:szCs w:val="20"/>
          <w:color w:val="auto"/>
        </w:rPr>
      </w:pPr>
    </w:p>
    <w:p>
      <w:pPr>
        <w:ind w:left="320" w:hanging="314"/>
        <w:spacing w:after="0"/>
        <w:tabs>
          <w:tab w:leader="none" w:pos="32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Segment Information</w:t>
      </w:r>
    </w:p>
    <w:p>
      <w:pPr>
        <w:spacing w:after="0" w:line="109"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SLB is organized under four Divisions that combine and integrate SLB’s technologies, enhancing the Company’s ability to support the emerging long-term growth opportunities in each of these market segments.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four Divisions, representing SLB’s segments, are:</w:t>
      </w:r>
    </w:p>
    <w:p>
      <w:pPr>
        <w:spacing w:after="0" w:line="109" w:lineRule="exact"/>
        <w:rPr>
          <w:sz w:val="20"/>
          <w:szCs w:val="20"/>
          <w:color w:val="auto"/>
        </w:rPr>
      </w:pPr>
    </w:p>
    <w:p>
      <w:pPr>
        <w:ind w:left="760" w:hanging="379"/>
        <w:spacing w:after="0" w:line="253" w:lineRule="auto"/>
        <w:tabs>
          <w:tab w:leader="none" w:pos="76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Digital &amp; Integration </w:t>
      </w:r>
      <w:r>
        <w:rPr>
          <w:rFonts w:ascii="Arial" w:cs="Arial" w:eastAsia="Arial" w:hAnsi="Arial"/>
          <w:sz w:val="16"/>
          <w:szCs w:val="16"/>
          <w:color w:val="auto"/>
        </w:rPr>
        <w:t>– Combines SLB’s industry-leading digital solutions and data products with its integrated offering of Asset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w:t>
      </w:r>
    </w:p>
    <w:p>
      <w:pPr>
        <w:ind w:left="760" w:hanging="379"/>
        <w:spacing w:after="0" w:line="242" w:lineRule="auto"/>
        <w:tabs>
          <w:tab w:leader="none" w:pos="76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Reservoir Performance </w:t>
      </w:r>
      <w:r>
        <w:rPr>
          <w:rFonts w:ascii="Arial" w:cs="Arial" w:eastAsia="Arial" w:hAnsi="Arial"/>
          <w:sz w:val="16"/>
          <w:szCs w:val="16"/>
          <w:color w:val="auto"/>
        </w:rPr>
        <w:t>– Consists of reservoir-centric technologies and services that are critical to optimizing reservoir productivity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w:t>
      </w:r>
    </w:p>
    <w:p>
      <w:pPr>
        <w:ind w:left="760" w:hanging="379"/>
        <w:spacing w:after="0" w:line="242" w:lineRule="auto"/>
        <w:tabs>
          <w:tab w:leader="none" w:pos="76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Well Construction </w:t>
      </w:r>
      <w:r>
        <w:rPr>
          <w:rFonts w:ascii="Arial" w:cs="Arial" w:eastAsia="Arial" w:hAnsi="Arial"/>
          <w:sz w:val="16"/>
          <w:szCs w:val="16"/>
          <w:color w:val="auto"/>
        </w:rPr>
        <w:t>– Combines the full portfolio of products and services to optimize well placement and performance, maximize drilling efficiency,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improve wellbore assurance.</w:t>
      </w:r>
    </w:p>
    <w:p>
      <w:pPr>
        <w:ind w:left="760" w:hanging="379"/>
        <w:spacing w:after="0" w:line="255" w:lineRule="auto"/>
        <w:tabs>
          <w:tab w:leader="none" w:pos="76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Production Systems </w:t>
      </w:r>
      <w:r>
        <w:rPr>
          <w:rFonts w:ascii="Arial" w:cs="Arial" w:eastAsia="Arial" w:hAnsi="Arial"/>
          <w:sz w:val="16"/>
          <w:szCs w:val="16"/>
          <w:color w:val="auto"/>
        </w:rPr>
        <w:t>– Develops technologies and provides expertise that enhance production and recovery from subsurface reservoirs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surface, into pipelines, and to refineries.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Financial information by segment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i w:val="1"/>
                <w:iCs w:val="1"/>
                <w:color w:val="auto"/>
              </w:rPr>
              <w:t>(Stated in millions)</w:t>
            </w:r>
          </w:p>
        </w:tc>
      </w:tr>
      <w:tr>
        <w:trPr>
          <w:trHeight w:val="369"/>
        </w:trPr>
        <w:tc>
          <w:tcPr>
            <w:tcW w:w="5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6"/>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5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Pretax</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center"/>
              <w:ind w:right="180"/>
              <w:spacing w:after="0"/>
              <w:rPr>
                <w:sz w:val="20"/>
                <w:szCs w:val="20"/>
                <w:color w:val="auto"/>
              </w:rPr>
            </w:pPr>
            <w:r>
              <w:rPr>
                <w:rFonts w:ascii="Arial" w:cs="Arial" w:eastAsia="Arial" w:hAnsi="Arial"/>
                <w:sz w:val="16"/>
                <w:szCs w:val="16"/>
                <w:b w:val="1"/>
                <w:bCs w:val="1"/>
                <w:color w:val="auto"/>
                <w:w w:val="98"/>
              </w:rPr>
              <w:t>and</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w:t>
            </w:r>
          </w:p>
        </w:tc>
      </w:tr>
      <w:tr>
        <w:trPr>
          <w:trHeight w:val="200"/>
        </w:trPr>
        <w:tc>
          <w:tcPr>
            <w:tcW w:w="5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8"/>
              </w:rPr>
              <w:t>Revenue</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99"/>
              </w:rPr>
              <w:t>Income</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99"/>
              </w:rPr>
              <w:t>Assets</w:t>
            </w:r>
          </w:p>
        </w:tc>
        <w:tc>
          <w:tcPr>
            <w:tcW w:w="220" w:type="dxa"/>
            <w:vAlign w:val="bottom"/>
          </w:tcPr>
          <w:p>
            <w:pPr>
              <w:spacing w:after="0"/>
              <w:rPr>
                <w:sz w:val="17"/>
                <w:szCs w:val="17"/>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Amortization</w:t>
            </w:r>
          </w:p>
        </w:tc>
        <w:tc>
          <w:tcPr>
            <w:tcW w:w="240" w:type="dxa"/>
            <w:vAlign w:val="bottom"/>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8"/>
              </w:rPr>
              <w:t>Investments</w:t>
            </w:r>
          </w:p>
        </w:tc>
        <w:tc>
          <w:tcPr>
            <w:tcW w:w="100" w:type="dxa"/>
            <w:vAlign w:val="bottom"/>
          </w:tcPr>
          <w:p>
            <w:pPr>
              <w:spacing w:after="0"/>
              <w:rPr>
                <w:sz w:val="17"/>
                <w:szCs w:val="17"/>
                <w:color w:val="auto"/>
              </w:rPr>
            </w:pPr>
          </w:p>
        </w:tc>
      </w:tr>
      <w:tr>
        <w:trPr>
          <w:trHeight w:val="180"/>
        </w:trPr>
        <w:tc>
          <w:tcPr>
            <w:tcW w:w="510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Digital &amp; Integration</w:t>
            </w:r>
          </w:p>
        </w:tc>
        <w:tc>
          <w:tcPr>
            <w:tcW w:w="1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4,247</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1,408</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3,117</w:t>
            </w:r>
          </w:p>
        </w:tc>
        <w:tc>
          <w:tcPr>
            <w:tcW w:w="460" w:type="dxa"/>
            <w:vAlign w:val="bottom"/>
            <w:gridSpan w:val="2"/>
            <w:shd w:val="clear" w:color="auto" w:fill="CFF0FC"/>
          </w:tcPr>
          <w:p>
            <w:pPr>
              <w:ind w:left="240"/>
              <w:spacing w:after="0" w:line="180" w:lineRule="exact"/>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654</w:t>
            </w:r>
          </w:p>
        </w:tc>
        <w:tc>
          <w:tcPr>
            <w:tcW w:w="40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682</w:t>
            </w:r>
          </w:p>
        </w:tc>
        <w:tc>
          <w:tcPr>
            <w:tcW w:w="100" w:type="dxa"/>
            <w:vAlign w:val="bottom"/>
            <w:shd w:val="clear" w:color="auto" w:fill="CFF0FC"/>
          </w:tcPr>
          <w:p>
            <w:pPr>
              <w:spacing w:after="0"/>
              <w:rPr>
                <w:sz w:val="15"/>
                <w:szCs w:val="15"/>
                <w:color w:val="auto"/>
              </w:rPr>
            </w:pPr>
          </w:p>
        </w:tc>
      </w:tr>
      <w:tr>
        <w:trPr>
          <w:trHeight w:val="186"/>
        </w:trPr>
        <w:tc>
          <w:tcPr>
            <w:tcW w:w="510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7,177</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1,452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3,802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403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624</w:t>
            </w:r>
          </w:p>
        </w:tc>
        <w:tc>
          <w:tcPr>
            <w:tcW w:w="100" w:type="dxa"/>
            <w:vAlign w:val="bottom"/>
          </w:tcPr>
          <w:p>
            <w:pPr>
              <w:spacing w:after="0"/>
              <w:rPr>
                <w:sz w:val="16"/>
                <w:szCs w:val="16"/>
                <w:color w:val="auto"/>
              </w:rPr>
            </w:pPr>
          </w:p>
        </w:tc>
      </w:tr>
      <w:tr>
        <w:trPr>
          <w:trHeight w:val="186"/>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13,357</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2,826</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6,741</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649</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745</w:t>
            </w:r>
          </w:p>
        </w:tc>
        <w:tc>
          <w:tcPr>
            <w:tcW w:w="100" w:type="dxa"/>
            <w:vAlign w:val="bottom"/>
            <w:shd w:val="clear" w:color="auto" w:fill="CFF0FC"/>
          </w:tcPr>
          <w:p>
            <w:pPr>
              <w:spacing w:after="0"/>
              <w:rPr>
                <w:sz w:val="16"/>
                <w:szCs w:val="16"/>
                <w:color w:val="auto"/>
              </w:rPr>
            </w:pPr>
          </w:p>
        </w:tc>
      </w:tr>
      <w:tr>
        <w:trPr>
          <w:trHeight w:val="186"/>
        </w:trPr>
        <w:tc>
          <w:tcPr>
            <w:tcW w:w="510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12,143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1,898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7,116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348</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418</w:t>
            </w:r>
          </w:p>
        </w:tc>
        <w:tc>
          <w:tcPr>
            <w:tcW w:w="100" w:type="dxa"/>
            <w:vAlign w:val="bottom"/>
          </w:tcPr>
          <w:p>
            <w:pPr>
              <w:spacing w:after="0"/>
              <w:rPr>
                <w:sz w:val="16"/>
                <w:szCs w:val="16"/>
                <w:color w:val="auto"/>
              </w:rPr>
            </w:pPr>
          </w:p>
        </w:tc>
      </w:tr>
      <w:tr>
        <w:trPr>
          <w:trHeight w:val="186"/>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(635 )</w:t>
            </w: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(263 )</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1,247</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287</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143</w:t>
            </w:r>
          </w:p>
        </w:tc>
        <w:tc>
          <w:tcPr>
            <w:tcW w:w="100" w:type="dxa"/>
            <w:vAlign w:val="bottom"/>
            <w:shd w:val="clear" w:color="auto" w:fill="CFF0FC"/>
          </w:tcPr>
          <w:p>
            <w:pPr>
              <w:spacing w:after="0"/>
              <w:rPr>
                <w:sz w:val="16"/>
                <w:szCs w:val="16"/>
                <w:color w:val="auto"/>
              </w:rPr>
            </w:pPr>
          </w:p>
        </w:tc>
      </w:tr>
      <w:tr>
        <w:trPr>
          <w:trHeight w:val="186"/>
        </w:trPr>
        <w:tc>
          <w:tcPr>
            <w:tcW w:w="5100" w:type="dxa"/>
            <w:vAlign w:val="bottom"/>
          </w:tcPr>
          <w:p>
            <w:pPr>
              <w:ind w:left="20"/>
              <w:spacing w:after="0"/>
              <w:rPr>
                <w:sz w:val="20"/>
                <w:szCs w:val="20"/>
                <w:color w:val="auto"/>
              </w:rPr>
            </w:pPr>
            <w:r>
              <w:rPr>
                <w:rFonts w:ascii="Arial" w:cs="Arial" w:eastAsia="Arial" w:hAnsi="Arial"/>
                <w:sz w:val="16"/>
                <w:szCs w:val="16"/>
                <w:color w:val="auto"/>
              </w:rPr>
              <w:t>Goodwill and intangible assets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17,605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short-term investments</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4,669</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6"/>
        </w:trPr>
        <w:tc>
          <w:tcPr>
            <w:tcW w:w="5100" w:type="dxa"/>
            <w:vAlign w:val="bottom"/>
          </w:tcPr>
          <w:p>
            <w:pPr>
              <w:ind w:left="20"/>
              <w:spacing w:after="0"/>
              <w:rPr>
                <w:sz w:val="20"/>
                <w:szCs w:val="20"/>
                <w:color w:val="auto"/>
              </w:rPr>
            </w:pPr>
            <w:r>
              <w:rPr>
                <w:rFonts w:ascii="Arial" w:cs="Arial" w:eastAsia="Arial" w:hAnsi="Arial"/>
                <w:sz w:val="16"/>
                <w:szCs w:val="16"/>
                <w:color w:val="auto"/>
              </w:rPr>
              <w:t>All other assets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4,638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5100" w:type="dxa"/>
            <w:vAlign w:val="bottom"/>
            <w:shd w:val="clear" w:color="auto" w:fill="CFF0FC"/>
          </w:tcPr>
          <w:p>
            <w:pPr>
              <w:ind w:left="20"/>
              <w:spacing w:after="0" w:line="187"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(744 )</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178</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6"/>
        </w:trPr>
        <w:tc>
          <w:tcPr>
            <w:tcW w:w="5100" w:type="dxa"/>
            <w:vAlign w:val="bottom"/>
          </w:tcPr>
          <w:p>
            <w:pPr>
              <w:ind w:left="20"/>
              <w:spacing w:after="0" w:line="187"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134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5100" w:type="dxa"/>
            <w:vAlign w:val="bottom"/>
            <w:shd w:val="clear" w:color="auto" w:fill="CFF0FC"/>
          </w:tcPr>
          <w:p>
            <w:pPr>
              <w:ind w:left="20"/>
              <w:spacing w:after="0" w:line="187"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(498 )</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6"/>
        </w:trPr>
        <w:tc>
          <w:tcPr>
            <w:tcW w:w="5100" w:type="dxa"/>
            <w:vAlign w:val="bottom"/>
          </w:tcPr>
          <w:p>
            <w:pPr>
              <w:ind w:left="20"/>
              <w:spacing w:after="0" w:line="187" w:lineRule="exact"/>
              <w:rPr>
                <w:sz w:val="20"/>
                <w:szCs w:val="20"/>
                <w:color w:val="auto"/>
              </w:rPr>
            </w:pPr>
            <w:r>
              <w:rPr>
                <w:rFonts w:ascii="Arial" w:cs="Arial" w:eastAsia="Arial" w:hAnsi="Arial"/>
                <w:sz w:val="16"/>
                <w:szCs w:val="16"/>
                <w:color w:val="auto"/>
              </w:rPr>
              <w:t xml:space="preserve">Charges &amp; credits </w:t>
            </w:r>
            <w:r>
              <w:rPr>
                <w:rFonts w:ascii="Arial" w:cs="Arial" w:eastAsia="Arial" w:hAnsi="Arial"/>
                <w:sz w:val="21"/>
                <w:szCs w:val="21"/>
                <w:color w:val="auto"/>
                <w:vertAlign w:val="superscript"/>
              </w:rPr>
              <w:t>(4)</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(541 )</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5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36,289</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5,672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48,935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ind w:left="20"/>
              <w:spacing w:after="0" w:line="180" w:lineRule="exact"/>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2,519</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2,612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783"/>
        </w:trPr>
        <w:tc>
          <w:tcPr>
            <w:tcW w:w="5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i w:val="1"/>
                <w:iCs w:val="1"/>
                <w:color w:val="auto"/>
              </w:rPr>
              <w:t>(Stated in millions)</w:t>
            </w:r>
          </w:p>
        </w:tc>
      </w:tr>
      <w:tr>
        <w:trPr>
          <w:trHeight w:val="369"/>
        </w:trPr>
        <w:tc>
          <w:tcPr>
            <w:tcW w:w="5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color w:val="auto"/>
              </w:rPr>
              <w:t>2023</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6"/>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spacing w:after="0" w:line="165" w:lineRule="exact"/>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5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color w:val="auto"/>
                <w:w w:val="99"/>
              </w:rPr>
              <w:t>Pretax</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center"/>
              <w:ind w:right="160"/>
              <w:spacing w:after="0"/>
              <w:rPr>
                <w:sz w:val="20"/>
                <w:szCs w:val="20"/>
                <w:color w:val="auto"/>
              </w:rPr>
            </w:pPr>
            <w:r>
              <w:rPr>
                <w:rFonts w:ascii="Arial" w:cs="Arial" w:eastAsia="Arial" w:hAnsi="Arial"/>
                <w:sz w:val="16"/>
                <w:szCs w:val="16"/>
                <w:color w:val="auto"/>
                <w:w w:val="97"/>
              </w:rPr>
              <w:t>and</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6"/>
                <w:szCs w:val="16"/>
                <w:color w:val="auto"/>
              </w:rPr>
              <w:t>Capital</w:t>
            </w:r>
          </w:p>
        </w:tc>
      </w:tr>
      <w:tr>
        <w:trPr>
          <w:trHeight w:val="200"/>
        </w:trPr>
        <w:tc>
          <w:tcPr>
            <w:tcW w:w="5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color w:val="auto"/>
                <w:w w:val="99"/>
              </w:rPr>
              <w:t>Revenue</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color w:val="auto"/>
                <w:w w:val="99"/>
              </w:rPr>
              <w:t>Income</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color w:val="auto"/>
                <w:w w:val="99"/>
              </w:rPr>
              <w:t>Assets</w:t>
            </w:r>
          </w:p>
        </w:tc>
        <w:tc>
          <w:tcPr>
            <w:tcW w:w="220" w:type="dxa"/>
            <w:vAlign w:val="bottom"/>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8"/>
              </w:rPr>
              <w:t>Amortization</w:t>
            </w:r>
          </w:p>
        </w:tc>
        <w:tc>
          <w:tcPr>
            <w:tcW w:w="240" w:type="dxa"/>
            <w:vAlign w:val="bottom"/>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9"/>
              </w:rPr>
              <w:t>Investments</w:t>
            </w:r>
          </w:p>
        </w:tc>
        <w:tc>
          <w:tcPr>
            <w:tcW w:w="100" w:type="dxa"/>
            <w:vAlign w:val="bottom"/>
          </w:tcPr>
          <w:p>
            <w:pPr>
              <w:spacing w:after="0"/>
              <w:rPr>
                <w:sz w:val="17"/>
                <w:szCs w:val="17"/>
                <w:color w:val="auto"/>
              </w:rPr>
            </w:pPr>
          </w:p>
        </w:tc>
      </w:tr>
      <w:tr>
        <w:trPr>
          <w:trHeight w:val="180"/>
        </w:trPr>
        <w:tc>
          <w:tcPr>
            <w:tcW w:w="510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Digital &amp; Integration</w:t>
            </w:r>
          </w:p>
        </w:tc>
        <w:tc>
          <w:tcPr>
            <w:tcW w:w="1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3,871</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1,257</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3,089</w:t>
            </w:r>
          </w:p>
        </w:tc>
        <w:tc>
          <w:tcPr>
            <w:tcW w:w="460" w:type="dxa"/>
            <w:vAlign w:val="bottom"/>
            <w:gridSpan w:val="2"/>
            <w:shd w:val="clear" w:color="auto" w:fill="CFF0FC"/>
          </w:tcPr>
          <w:p>
            <w:pPr>
              <w:ind w:left="240"/>
              <w:spacing w:after="0" w:line="180"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578</w:t>
            </w:r>
          </w:p>
        </w:tc>
        <w:tc>
          <w:tcPr>
            <w:tcW w:w="40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660</w:t>
            </w:r>
          </w:p>
        </w:tc>
        <w:tc>
          <w:tcPr>
            <w:tcW w:w="100" w:type="dxa"/>
            <w:vAlign w:val="bottom"/>
            <w:shd w:val="clear" w:color="auto" w:fill="CFF0FC"/>
          </w:tcPr>
          <w:p>
            <w:pPr>
              <w:spacing w:after="0"/>
              <w:rPr>
                <w:sz w:val="15"/>
                <w:szCs w:val="15"/>
                <w:color w:val="auto"/>
              </w:rPr>
            </w:pPr>
          </w:p>
        </w:tc>
      </w:tr>
      <w:tr>
        <w:trPr>
          <w:trHeight w:val="186"/>
        </w:trPr>
        <w:tc>
          <w:tcPr>
            <w:tcW w:w="510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6,561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1,263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3,491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387</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6"/>
                <w:szCs w:val="16"/>
                <w:color w:val="auto"/>
              </w:rPr>
            </w:pPr>
          </w:p>
        </w:tc>
      </w:tr>
      <w:tr>
        <w:trPr>
          <w:trHeight w:val="186"/>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13,478</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2,932</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7,129</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587</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908</w:t>
            </w:r>
          </w:p>
        </w:tc>
        <w:tc>
          <w:tcPr>
            <w:tcW w:w="100" w:type="dxa"/>
            <w:vAlign w:val="bottom"/>
            <w:shd w:val="clear" w:color="auto" w:fill="CFF0FC"/>
          </w:tcPr>
          <w:p>
            <w:pPr>
              <w:spacing w:after="0"/>
              <w:rPr>
                <w:sz w:val="16"/>
                <w:szCs w:val="16"/>
                <w:color w:val="auto"/>
              </w:rPr>
            </w:pPr>
          </w:p>
        </w:tc>
      </w:tr>
      <w:tr>
        <w:trPr>
          <w:trHeight w:val="186"/>
        </w:trPr>
        <w:tc>
          <w:tcPr>
            <w:tcW w:w="510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9,831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6,640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6"/>
                <w:szCs w:val="16"/>
                <w:color w:val="auto"/>
              </w:rPr>
            </w:pPr>
          </w:p>
        </w:tc>
      </w:tr>
      <w:tr>
        <w:trPr>
          <w:trHeight w:val="186"/>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(606 )</w:t>
            </w: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(174 )</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1,352</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FF0FC"/>
          </w:tcPr>
          <w:p>
            <w:pPr>
              <w:spacing w:after="0"/>
              <w:rPr>
                <w:sz w:val="16"/>
                <w:szCs w:val="16"/>
                <w:color w:val="auto"/>
              </w:rPr>
            </w:pPr>
          </w:p>
        </w:tc>
      </w:tr>
      <w:tr>
        <w:trPr>
          <w:trHeight w:val="186"/>
        </w:trPr>
        <w:tc>
          <w:tcPr>
            <w:tcW w:w="5100" w:type="dxa"/>
            <w:vAlign w:val="bottom"/>
          </w:tcPr>
          <w:p>
            <w:pPr>
              <w:ind w:left="20"/>
              <w:spacing w:after="0"/>
              <w:rPr>
                <w:sz w:val="20"/>
                <w:szCs w:val="20"/>
                <w:color w:val="auto"/>
              </w:rPr>
            </w:pPr>
            <w:r>
              <w:rPr>
                <w:rFonts w:ascii="Arial" w:cs="Arial" w:eastAsia="Arial" w:hAnsi="Arial"/>
                <w:sz w:val="16"/>
                <w:szCs w:val="16"/>
                <w:color w:val="auto"/>
              </w:rPr>
              <w:t>Goodwill and intangible assets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17,323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short-term investments</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3,989</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6"/>
        </w:trPr>
        <w:tc>
          <w:tcPr>
            <w:tcW w:w="5100" w:type="dxa"/>
            <w:vAlign w:val="bottom"/>
          </w:tcPr>
          <w:p>
            <w:pPr>
              <w:ind w:left="20"/>
              <w:spacing w:after="0"/>
              <w:rPr>
                <w:sz w:val="20"/>
                <w:szCs w:val="20"/>
                <w:color w:val="auto"/>
              </w:rPr>
            </w:pPr>
            <w:r>
              <w:rPr>
                <w:rFonts w:ascii="Arial" w:cs="Arial" w:eastAsia="Arial" w:hAnsi="Arial"/>
                <w:sz w:val="16"/>
                <w:szCs w:val="16"/>
                <w:color w:val="auto"/>
              </w:rPr>
              <w:t>All other assets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4,944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5100" w:type="dxa"/>
            <w:vAlign w:val="bottom"/>
            <w:shd w:val="clear" w:color="auto" w:fill="CFF0FC"/>
          </w:tcPr>
          <w:p>
            <w:pPr>
              <w:ind w:left="20"/>
              <w:spacing w:after="0" w:line="187"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(729 )</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6"/>
        </w:trPr>
        <w:tc>
          <w:tcPr>
            <w:tcW w:w="5100" w:type="dxa"/>
            <w:vAlign w:val="bottom"/>
          </w:tcPr>
          <w:p>
            <w:pPr>
              <w:ind w:left="20"/>
              <w:spacing w:after="0" w:line="187"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5100" w:type="dxa"/>
            <w:vAlign w:val="bottom"/>
            <w:shd w:val="clear" w:color="auto" w:fill="CFF0FC"/>
          </w:tcPr>
          <w:p>
            <w:pPr>
              <w:ind w:left="20"/>
              <w:spacing w:after="0" w:line="187"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(489 )</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6"/>
        </w:trPr>
        <w:tc>
          <w:tcPr>
            <w:tcW w:w="5100" w:type="dxa"/>
            <w:vAlign w:val="bottom"/>
          </w:tcPr>
          <w:p>
            <w:pPr>
              <w:ind w:left="20"/>
              <w:spacing w:after="0" w:line="187" w:lineRule="exact"/>
              <w:rPr>
                <w:sz w:val="20"/>
                <w:szCs w:val="20"/>
                <w:color w:val="auto"/>
              </w:rPr>
            </w:pPr>
            <w:r>
              <w:rPr>
                <w:rFonts w:ascii="Arial" w:cs="Arial" w:eastAsia="Arial" w:hAnsi="Arial"/>
                <w:sz w:val="16"/>
                <w:szCs w:val="16"/>
                <w:color w:val="auto"/>
              </w:rPr>
              <w:t xml:space="preserve">Charges &amp; credits </w:t>
            </w:r>
            <w:r>
              <w:rPr>
                <w:rFonts w:ascii="Arial" w:cs="Arial" w:eastAsia="Arial" w:hAnsi="Arial"/>
                <w:sz w:val="21"/>
                <w:szCs w:val="21"/>
                <w:color w:val="auto"/>
                <w:vertAlign w:val="superscript"/>
              </w:rPr>
              <w:t>(4)</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(110 )</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5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33,135</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5,282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47,957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ind w:left="20"/>
              <w:spacing w:after="0" w:line="180"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2,312</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2,599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789"/>
        </w:trPr>
        <w:tc>
          <w:tcPr>
            <w:tcW w:w="5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20"/>
              <w:spacing w:after="0"/>
              <w:rPr>
                <w:sz w:val="20"/>
                <w:szCs w:val="20"/>
                <w:color w:val="auto"/>
              </w:rPr>
            </w:pPr>
            <w:r>
              <w:rPr>
                <w:rFonts w:ascii="Arial" w:cs="Arial" w:eastAsia="Arial" w:hAnsi="Arial"/>
                <w:sz w:val="16"/>
                <w:szCs w:val="16"/>
                <w:color w:val="auto"/>
              </w:rPr>
              <w:t>49</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2"/>
        </w:trPr>
        <w:tc>
          <w:tcPr>
            <w:tcW w:w="5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-3710305</wp:posOffset>
            </wp:positionV>
            <wp:extent cx="6731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-3693160</wp:posOffset>
            </wp:positionV>
            <wp:extent cx="6731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4686935</wp:posOffset>
            </wp:positionH>
            <wp:positionV relativeFrom="paragraph">
              <wp:posOffset>-3710305</wp:posOffset>
            </wp:positionV>
            <wp:extent cx="6731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4686935</wp:posOffset>
            </wp:positionH>
            <wp:positionV relativeFrom="paragraph">
              <wp:posOffset>-3693160</wp:posOffset>
            </wp:positionV>
            <wp:extent cx="6731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-3710305</wp:posOffset>
            </wp:positionV>
            <wp:extent cx="6731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-3693160</wp:posOffset>
            </wp:positionV>
            <wp:extent cx="6731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6276340</wp:posOffset>
            </wp:positionH>
            <wp:positionV relativeFrom="paragraph">
              <wp:posOffset>-3710305</wp:posOffset>
            </wp:positionV>
            <wp:extent cx="6731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6276340</wp:posOffset>
            </wp:positionH>
            <wp:positionV relativeFrom="paragraph">
              <wp:posOffset>-3693160</wp:posOffset>
            </wp:positionV>
            <wp:extent cx="6731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-3710305</wp:posOffset>
            </wp:positionV>
            <wp:extent cx="6731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-3693160</wp:posOffset>
            </wp:positionV>
            <wp:extent cx="6731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-1022350</wp:posOffset>
            </wp:positionV>
            <wp:extent cx="6731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-1005205</wp:posOffset>
            </wp:positionV>
            <wp:extent cx="6731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4686935</wp:posOffset>
            </wp:positionH>
            <wp:positionV relativeFrom="paragraph">
              <wp:posOffset>-1022350</wp:posOffset>
            </wp:positionV>
            <wp:extent cx="6731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4686935</wp:posOffset>
            </wp:positionH>
            <wp:positionV relativeFrom="paragraph">
              <wp:posOffset>-1005205</wp:posOffset>
            </wp:positionV>
            <wp:extent cx="6731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-1022350</wp:posOffset>
            </wp:positionV>
            <wp:extent cx="6731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-1005205</wp:posOffset>
            </wp:positionV>
            <wp:extent cx="6731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6276340</wp:posOffset>
            </wp:positionH>
            <wp:positionV relativeFrom="paragraph">
              <wp:posOffset>-1022350</wp:posOffset>
            </wp:positionV>
            <wp:extent cx="6731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6276340</wp:posOffset>
            </wp:positionH>
            <wp:positionV relativeFrom="paragraph">
              <wp:posOffset>-1005205</wp:posOffset>
            </wp:positionV>
            <wp:extent cx="6731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-1022350</wp:posOffset>
            </wp:positionV>
            <wp:extent cx="6731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-1005205</wp:posOffset>
            </wp:positionV>
            <wp:extent cx="6731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i w:val="1"/>
                <w:iCs w:val="1"/>
                <w:color w:val="auto"/>
              </w:rPr>
              <w:t>(Stated in millions)</w:t>
            </w:r>
          </w:p>
        </w:tc>
      </w:tr>
      <w:tr>
        <w:trPr>
          <w:trHeight w:val="369"/>
        </w:trPr>
        <w:tc>
          <w:tcPr>
            <w:tcW w:w="5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2022</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6"/>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spacing w:after="0" w:line="165" w:lineRule="exact"/>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5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color w:val="auto"/>
              </w:rPr>
              <w:t>Pretax</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center"/>
              <w:ind w:right="160"/>
              <w:spacing w:after="0"/>
              <w:rPr>
                <w:sz w:val="20"/>
                <w:szCs w:val="20"/>
                <w:color w:val="auto"/>
              </w:rPr>
            </w:pPr>
            <w:r>
              <w:rPr>
                <w:rFonts w:ascii="Arial" w:cs="Arial" w:eastAsia="Arial" w:hAnsi="Arial"/>
                <w:sz w:val="16"/>
                <w:szCs w:val="16"/>
                <w:color w:val="auto"/>
                <w:w w:val="97"/>
              </w:rPr>
              <w:t>and</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color w:val="auto"/>
              </w:rPr>
              <w:t>Capital</w:t>
            </w:r>
          </w:p>
        </w:tc>
      </w:tr>
      <w:tr>
        <w:trPr>
          <w:trHeight w:val="200"/>
        </w:trPr>
        <w:tc>
          <w:tcPr>
            <w:tcW w:w="5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Income</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8"/>
              </w:rPr>
              <w:t>Amortization</w:t>
            </w:r>
          </w:p>
        </w:tc>
        <w:tc>
          <w:tcPr>
            <w:tcW w:w="240" w:type="dxa"/>
            <w:vAlign w:val="bottom"/>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9"/>
              </w:rPr>
              <w:t>Investments</w:t>
            </w:r>
          </w:p>
        </w:tc>
        <w:tc>
          <w:tcPr>
            <w:tcW w:w="100" w:type="dxa"/>
            <w:vAlign w:val="bottom"/>
          </w:tcPr>
          <w:p>
            <w:pPr>
              <w:spacing w:after="0"/>
              <w:rPr>
                <w:sz w:val="17"/>
                <w:szCs w:val="17"/>
                <w:color w:val="auto"/>
              </w:rPr>
            </w:pPr>
          </w:p>
        </w:tc>
      </w:tr>
      <w:tr>
        <w:trPr>
          <w:trHeight w:val="180"/>
        </w:trPr>
        <w:tc>
          <w:tcPr>
            <w:tcW w:w="510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Digital &amp; Integration</w:t>
            </w:r>
          </w:p>
        </w:tc>
        <w:tc>
          <w:tcPr>
            <w:tcW w:w="1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3,725</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1,357</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3,132</w:t>
            </w:r>
          </w:p>
        </w:tc>
        <w:tc>
          <w:tcPr>
            <w:tcW w:w="460" w:type="dxa"/>
            <w:vAlign w:val="bottom"/>
            <w:gridSpan w:val="2"/>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504</w:t>
            </w:r>
          </w:p>
        </w:tc>
        <w:tc>
          <w:tcPr>
            <w:tcW w:w="42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689</w:t>
            </w:r>
          </w:p>
        </w:tc>
        <w:tc>
          <w:tcPr>
            <w:tcW w:w="100" w:type="dxa"/>
            <w:vAlign w:val="bottom"/>
            <w:shd w:val="clear" w:color="auto" w:fill="CFF0FC"/>
          </w:tcPr>
          <w:p>
            <w:pPr>
              <w:spacing w:after="0"/>
              <w:rPr>
                <w:sz w:val="15"/>
                <w:szCs w:val="15"/>
                <w:color w:val="auto"/>
              </w:rPr>
            </w:pPr>
          </w:p>
        </w:tc>
      </w:tr>
      <w:tr>
        <w:trPr>
          <w:trHeight w:val="186"/>
        </w:trPr>
        <w:tc>
          <w:tcPr>
            <w:tcW w:w="510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5,553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3,159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16"/>
                <w:szCs w:val="16"/>
                <w:color w:val="auto"/>
              </w:rPr>
            </w:pPr>
          </w:p>
        </w:tc>
      </w:tr>
      <w:tr>
        <w:trPr>
          <w:trHeight w:val="186"/>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11,397</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2,202</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6,481</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687</w:t>
            </w:r>
          </w:p>
        </w:tc>
        <w:tc>
          <w:tcPr>
            <w:tcW w:w="100" w:type="dxa"/>
            <w:vAlign w:val="bottom"/>
            <w:shd w:val="clear" w:color="auto" w:fill="CFF0FC"/>
          </w:tcPr>
          <w:p>
            <w:pPr>
              <w:spacing w:after="0"/>
              <w:rPr>
                <w:sz w:val="16"/>
                <w:szCs w:val="16"/>
                <w:color w:val="auto"/>
              </w:rPr>
            </w:pPr>
          </w:p>
        </w:tc>
      </w:tr>
      <w:tr>
        <w:trPr>
          <w:trHeight w:val="186"/>
        </w:trPr>
        <w:tc>
          <w:tcPr>
            <w:tcW w:w="510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7,862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5,603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6"/>
                <w:szCs w:val="16"/>
                <w:color w:val="auto"/>
              </w:rPr>
            </w:pPr>
          </w:p>
        </w:tc>
      </w:tr>
      <w:tr>
        <w:trPr>
          <w:trHeight w:val="186"/>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(446 )</w:t>
            </w: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(177 )</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1,426</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FF0FC"/>
          </w:tcPr>
          <w:p>
            <w:pPr>
              <w:spacing w:after="0"/>
              <w:rPr>
                <w:sz w:val="16"/>
                <w:szCs w:val="16"/>
                <w:color w:val="auto"/>
              </w:rPr>
            </w:pPr>
          </w:p>
        </w:tc>
      </w:tr>
      <w:tr>
        <w:trPr>
          <w:trHeight w:val="186"/>
        </w:trPr>
        <w:tc>
          <w:tcPr>
            <w:tcW w:w="5100" w:type="dxa"/>
            <w:vAlign w:val="bottom"/>
          </w:tcPr>
          <w:p>
            <w:pPr>
              <w:ind w:left="20"/>
              <w:spacing w:after="0"/>
              <w:rPr>
                <w:sz w:val="20"/>
                <w:szCs w:val="20"/>
                <w:color w:val="auto"/>
              </w:rPr>
            </w:pPr>
            <w:r>
              <w:rPr>
                <w:rFonts w:ascii="Arial" w:cs="Arial" w:eastAsia="Arial" w:hAnsi="Arial"/>
                <w:sz w:val="16"/>
                <w:szCs w:val="16"/>
                <w:color w:val="auto"/>
              </w:rPr>
              <w:t>Goodwill and intangible assets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15,974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short-term investments</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2,897</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6"/>
        </w:trPr>
        <w:tc>
          <w:tcPr>
            <w:tcW w:w="5100" w:type="dxa"/>
            <w:vAlign w:val="bottom"/>
          </w:tcPr>
          <w:p>
            <w:pPr>
              <w:ind w:left="20"/>
              <w:spacing w:after="0"/>
              <w:rPr>
                <w:sz w:val="20"/>
                <w:szCs w:val="20"/>
                <w:color w:val="auto"/>
              </w:rPr>
            </w:pPr>
            <w:r>
              <w:rPr>
                <w:rFonts w:ascii="Arial" w:cs="Arial" w:eastAsia="Arial" w:hAnsi="Arial"/>
                <w:sz w:val="16"/>
                <w:szCs w:val="16"/>
                <w:color w:val="auto"/>
              </w:rPr>
              <w:t>All other assets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4,463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5100" w:type="dxa"/>
            <w:vAlign w:val="bottom"/>
            <w:shd w:val="clear" w:color="auto" w:fill="CFF0FC"/>
          </w:tcPr>
          <w:p>
            <w:pPr>
              <w:ind w:left="20"/>
              <w:spacing w:after="0" w:line="187"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(637 )</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6"/>
        </w:trPr>
        <w:tc>
          <w:tcPr>
            <w:tcW w:w="5100" w:type="dxa"/>
            <w:vAlign w:val="bottom"/>
          </w:tcPr>
          <w:p>
            <w:pPr>
              <w:ind w:left="20"/>
              <w:spacing w:after="0" w:line="187"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5100" w:type="dxa"/>
            <w:vAlign w:val="bottom"/>
            <w:shd w:val="clear" w:color="auto" w:fill="CFF0FC"/>
          </w:tcPr>
          <w:p>
            <w:pPr>
              <w:ind w:left="20"/>
              <w:spacing w:after="0" w:line="187"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(477 )</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6"/>
        </w:trPr>
        <w:tc>
          <w:tcPr>
            <w:tcW w:w="5100" w:type="dxa"/>
            <w:vAlign w:val="bottom"/>
          </w:tcPr>
          <w:p>
            <w:pPr>
              <w:ind w:left="20"/>
              <w:spacing w:after="0" w:line="187" w:lineRule="exact"/>
              <w:rPr>
                <w:sz w:val="20"/>
                <w:szCs w:val="20"/>
                <w:color w:val="auto"/>
              </w:rPr>
            </w:pPr>
            <w:r>
              <w:rPr>
                <w:rFonts w:ascii="Arial" w:cs="Arial" w:eastAsia="Arial" w:hAnsi="Arial"/>
                <w:sz w:val="16"/>
                <w:szCs w:val="16"/>
                <w:color w:val="auto"/>
              </w:rPr>
              <w:t xml:space="preserve">Charges &amp; credits </w:t>
            </w:r>
            <w:r>
              <w:rPr>
                <w:rFonts w:ascii="Arial" w:cs="Arial" w:eastAsia="Arial" w:hAnsi="Arial"/>
                <w:sz w:val="21"/>
                <w:szCs w:val="21"/>
                <w:color w:val="auto"/>
                <w:vertAlign w:val="superscript"/>
              </w:rPr>
              <w:t>(4)</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5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28,091</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4,271</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43,135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2,147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2,302</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-24765</wp:posOffset>
            </wp:positionV>
            <wp:extent cx="6731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-7620</wp:posOffset>
            </wp:positionV>
            <wp:extent cx="6731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4686935</wp:posOffset>
            </wp:positionH>
            <wp:positionV relativeFrom="paragraph">
              <wp:posOffset>-24765</wp:posOffset>
            </wp:positionV>
            <wp:extent cx="6731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4686935</wp:posOffset>
            </wp:positionH>
            <wp:positionV relativeFrom="paragraph">
              <wp:posOffset>-7620</wp:posOffset>
            </wp:positionV>
            <wp:extent cx="6731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-24765</wp:posOffset>
            </wp:positionV>
            <wp:extent cx="6731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-7620</wp:posOffset>
            </wp:positionV>
            <wp:extent cx="6731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6276340</wp:posOffset>
            </wp:positionH>
            <wp:positionV relativeFrom="paragraph">
              <wp:posOffset>-24765</wp:posOffset>
            </wp:positionV>
            <wp:extent cx="6731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6276340</wp:posOffset>
            </wp:positionH>
            <wp:positionV relativeFrom="paragraph">
              <wp:posOffset>-7620</wp:posOffset>
            </wp:positionV>
            <wp:extent cx="6731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-24765</wp:posOffset>
            </wp:positionV>
            <wp:extent cx="6731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-7620</wp:posOffset>
            </wp:positionV>
            <wp:extent cx="6731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157" w:lineRule="exact"/>
        <w:rPr>
          <w:sz w:val="20"/>
          <w:szCs w:val="20"/>
          <w:color w:val="auto"/>
        </w:rPr>
      </w:pPr>
    </w:p>
    <w:p>
      <w:pPr>
        <w:ind w:left="380" w:right="20" w:hanging="374"/>
        <w:spacing w:after="0" w:line="276" w:lineRule="auto"/>
        <w:tabs>
          <w:tab w:leader="none" w:pos="380" w:val="left"/>
        </w:tabs>
        <w:numPr>
          <w:ilvl w:val="0"/>
          <w:numId w:val="45"/>
        </w:numPr>
        <w:rPr>
          <w:rFonts w:ascii="Arial" w:cs="Arial" w:eastAsia="Arial" w:hAnsi="Arial"/>
          <w:sz w:val="11"/>
          <w:szCs w:val="11"/>
          <w:color w:val="auto"/>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5" w:lineRule="exact"/>
        <w:rPr>
          <w:rFonts w:ascii="Arial" w:cs="Arial" w:eastAsia="Arial" w:hAnsi="Arial"/>
          <w:sz w:val="11"/>
          <w:szCs w:val="11"/>
          <w:color w:val="auto"/>
        </w:rPr>
      </w:pPr>
    </w:p>
    <w:p>
      <w:pPr>
        <w:ind w:left="380" w:hanging="374"/>
        <w:spacing w:after="0"/>
        <w:tabs>
          <w:tab w:leader="none" w:pos="380" w:val="left"/>
        </w:tabs>
        <w:numPr>
          <w:ilvl w:val="0"/>
          <w:numId w:val="45"/>
        </w:numPr>
        <w:rPr>
          <w:rFonts w:ascii="Arial" w:cs="Arial" w:eastAsia="Arial" w:hAnsi="Arial"/>
          <w:sz w:val="11"/>
          <w:szCs w:val="11"/>
          <w:color w:val="auto"/>
        </w:rPr>
      </w:pPr>
      <w:r>
        <w:rPr>
          <w:rFonts w:ascii="Arial" w:cs="Arial" w:eastAsia="Arial" w:hAnsi="Arial"/>
          <w:sz w:val="14"/>
          <w:szCs w:val="14"/>
          <w:color w:val="auto"/>
        </w:rPr>
        <w:t>Interest income excludes amounts which are included in the segments’ income (2024: $39 million; 2023: $12 million; 2022: $72 million).</w:t>
      </w:r>
    </w:p>
    <w:p>
      <w:pPr>
        <w:spacing w:after="0" w:line="105" w:lineRule="exact"/>
        <w:rPr>
          <w:rFonts w:ascii="Arial" w:cs="Arial" w:eastAsia="Arial" w:hAnsi="Arial"/>
          <w:sz w:val="11"/>
          <w:szCs w:val="11"/>
          <w:color w:val="auto"/>
        </w:rPr>
      </w:pPr>
    </w:p>
    <w:p>
      <w:pPr>
        <w:ind w:left="380" w:hanging="374"/>
        <w:spacing w:after="0"/>
        <w:tabs>
          <w:tab w:leader="none" w:pos="380" w:val="left"/>
        </w:tabs>
        <w:numPr>
          <w:ilvl w:val="0"/>
          <w:numId w:val="45"/>
        </w:numPr>
        <w:rPr>
          <w:rFonts w:ascii="Arial" w:cs="Arial" w:eastAsia="Arial" w:hAnsi="Arial"/>
          <w:sz w:val="11"/>
          <w:szCs w:val="11"/>
          <w:color w:val="auto"/>
        </w:rPr>
      </w:pPr>
      <w:r>
        <w:rPr>
          <w:rFonts w:ascii="Arial" w:cs="Arial" w:eastAsia="Arial" w:hAnsi="Arial"/>
          <w:sz w:val="14"/>
          <w:szCs w:val="14"/>
          <w:color w:val="auto"/>
        </w:rPr>
        <w:t>Interest expense excludes amounts which are included in the segments’ income (2024: $14 million; 2023: $14 million; 2022: $13 million).</w:t>
      </w:r>
    </w:p>
    <w:p>
      <w:pPr>
        <w:spacing w:after="0" w:line="105" w:lineRule="exact"/>
        <w:rPr>
          <w:rFonts w:ascii="Arial" w:cs="Arial" w:eastAsia="Arial" w:hAnsi="Arial"/>
          <w:sz w:val="11"/>
          <w:szCs w:val="11"/>
          <w:color w:val="auto"/>
        </w:rPr>
      </w:pPr>
    </w:p>
    <w:p>
      <w:pPr>
        <w:ind w:left="380" w:hanging="374"/>
        <w:spacing w:after="0"/>
        <w:tabs>
          <w:tab w:leader="none" w:pos="380" w:val="left"/>
        </w:tabs>
        <w:numPr>
          <w:ilvl w:val="0"/>
          <w:numId w:val="45"/>
        </w:numPr>
        <w:rPr>
          <w:rFonts w:ascii="Arial" w:cs="Arial" w:eastAsia="Arial" w:hAnsi="Arial"/>
          <w:sz w:val="11"/>
          <w:szCs w:val="11"/>
          <w:color w:val="auto"/>
        </w:rPr>
      </w:pPr>
      <w:r>
        <w:rPr>
          <w:rFonts w:ascii="Arial" w:cs="Arial" w:eastAsia="Arial" w:hAnsi="Arial"/>
          <w:sz w:val="14"/>
          <w:szCs w:val="14"/>
          <w:color w:val="auto"/>
        </w:rPr>
        <w:t xml:space="preserve">See Note 3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Segment assets consist of receivables, inventories, fixed assets, exploration data, and APS investments.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Capital investments includes capital expenditures, APS investments, and exploration data cost capitalized.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includes depreciation of fixed assets and amortization of intangible assets, exploration data costs, and APS investments.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by geographic area for the years ended December 31, 2024, 2023, and 2022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i w:val="1"/>
                <w:iCs w:val="1"/>
                <w:color w:val="auto"/>
              </w:rPr>
              <w:t>(Stated in millions)</w:t>
            </w:r>
          </w:p>
        </w:tc>
      </w:tr>
      <w:tr>
        <w:trPr>
          <w:trHeight w:val="369"/>
        </w:trPr>
        <w:tc>
          <w:tcPr>
            <w:tcW w:w="656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r>
      <w:tr>
        <w:trPr>
          <w:trHeight w:val="180"/>
        </w:trPr>
        <w:tc>
          <w:tcPr>
            <w:tcW w:w="65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North America</w:t>
            </w:r>
          </w:p>
        </w:tc>
        <w:tc>
          <w:tcPr>
            <w:tcW w:w="860" w:type="dxa"/>
            <w:vAlign w:val="bottom"/>
            <w:shd w:val="clear" w:color="auto" w:fill="CFF0FC"/>
          </w:tcPr>
          <w:p>
            <w:pPr>
              <w:jc w:val="right"/>
              <w:ind w:right="680"/>
              <w:spacing w:after="0" w:line="180" w:lineRule="exact"/>
              <w:rPr>
                <w:sz w:val="20"/>
                <w:szCs w:val="20"/>
                <w:color w:val="auto"/>
              </w:rPr>
            </w:pPr>
            <w:r>
              <w:rPr>
                <w:rFonts w:ascii="Arial" w:cs="Arial" w:eastAsia="Arial" w:hAnsi="Arial"/>
                <w:sz w:val="16"/>
                <w:szCs w:val="16"/>
                <w:b w:val="1"/>
                <w:bCs w:val="1"/>
                <w:color w:val="auto"/>
                <w:w w:val="89"/>
              </w:rPr>
              <w:t>$</w:t>
            </w:r>
          </w:p>
        </w:tc>
        <w:tc>
          <w:tcPr>
            <w:tcW w:w="5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6,680</w:t>
            </w:r>
          </w:p>
        </w:tc>
        <w:tc>
          <w:tcPr>
            <w:tcW w:w="560" w:type="dxa"/>
            <w:vAlign w:val="bottom"/>
            <w:gridSpan w:val="2"/>
            <w:shd w:val="clear" w:color="auto" w:fill="CFF0FC"/>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6,727</w:t>
            </w:r>
          </w:p>
        </w:tc>
        <w:tc>
          <w:tcPr>
            <w:tcW w:w="38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5,995</w:t>
            </w:r>
          </w:p>
        </w:tc>
        <w:tc>
          <w:tcPr>
            <w:tcW w:w="100" w:type="dxa"/>
            <w:vAlign w:val="bottom"/>
            <w:shd w:val="clear" w:color="auto" w:fill="CFF0FC"/>
          </w:tcPr>
          <w:p>
            <w:pPr>
              <w:spacing w:after="0"/>
              <w:rPr>
                <w:sz w:val="15"/>
                <w:szCs w:val="15"/>
                <w:color w:val="auto"/>
              </w:rPr>
            </w:pPr>
          </w:p>
        </w:tc>
      </w:tr>
      <w:tr>
        <w:trPr>
          <w:trHeight w:val="186"/>
        </w:trPr>
        <w:tc>
          <w:tcPr>
            <w:tcW w:w="6560" w:type="dxa"/>
            <w:vAlign w:val="bottom"/>
          </w:tcPr>
          <w:p>
            <w:pPr>
              <w:ind w:left="20"/>
              <w:spacing w:after="0"/>
              <w:rPr>
                <w:sz w:val="20"/>
                <w:szCs w:val="20"/>
                <w:color w:val="auto"/>
              </w:rPr>
            </w:pPr>
            <w:r>
              <w:rPr>
                <w:rFonts w:ascii="Arial" w:cs="Arial" w:eastAsia="Arial" w:hAnsi="Arial"/>
                <w:sz w:val="16"/>
                <w:szCs w:val="16"/>
                <w:color w:val="auto"/>
              </w:rPr>
              <w:t>Latin America</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6,719</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6,645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5,661</w:t>
            </w:r>
          </w:p>
        </w:tc>
        <w:tc>
          <w:tcPr>
            <w:tcW w:w="100" w:type="dxa"/>
            <w:vAlign w:val="bottom"/>
          </w:tcPr>
          <w:p>
            <w:pPr>
              <w:spacing w:after="0"/>
              <w:rPr>
                <w:sz w:val="16"/>
                <w:szCs w:val="16"/>
                <w:color w:val="auto"/>
              </w:rPr>
            </w:pPr>
          </w:p>
        </w:tc>
      </w:tr>
      <w:tr>
        <w:trPr>
          <w:trHeight w:val="186"/>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Europe &amp; Africa *</w:t>
            </w:r>
          </w:p>
        </w:tc>
        <w:tc>
          <w:tcPr>
            <w:tcW w:w="8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9,671</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8,524</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7,201</w:t>
            </w:r>
          </w:p>
        </w:tc>
        <w:tc>
          <w:tcPr>
            <w:tcW w:w="100" w:type="dxa"/>
            <w:vAlign w:val="bottom"/>
            <w:shd w:val="clear" w:color="auto" w:fill="CFF0FC"/>
          </w:tcPr>
          <w:p>
            <w:pPr>
              <w:spacing w:after="0"/>
              <w:rPr>
                <w:sz w:val="16"/>
                <w:szCs w:val="16"/>
                <w:color w:val="auto"/>
              </w:rPr>
            </w:pPr>
          </w:p>
        </w:tc>
      </w:tr>
      <w:tr>
        <w:trPr>
          <w:trHeight w:val="186"/>
        </w:trPr>
        <w:tc>
          <w:tcPr>
            <w:tcW w:w="6560" w:type="dxa"/>
            <w:vAlign w:val="bottom"/>
          </w:tcPr>
          <w:p>
            <w:pPr>
              <w:ind w:left="20"/>
              <w:spacing w:after="0"/>
              <w:rPr>
                <w:sz w:val="20"/>
                <w:szCs w:val="20"/>
                <w:color w:val="auto"/>
              </w:rPr>
            </w:pPr>
            <w:r>
              <w:rPr>
                <w:rFonts w:ascii="Arial" w:cs="Arial" w:eastAsia="Arial" w:hAnsi="Arial"/>
                <w:sz w:val="16"/>
                <w:szCs w:val="16"/>
                <w:color w:val="auto"/>
              </w:rPr>
              <w:t>Middle East &amp; Asia</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w w:val="93"/>
              </w:rPr>
              <w:t>13,026</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11,019</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9,033</w:t>
            </w:r>
          </w:p>
        </w:tc>
        <w:tc>
          <w:tcPr>
            <w:tcW w:w="100" w:type="dxa"/>
            <w:vAlign w:val="bottom"/>
          </w:tcPr>
          <w:p>
            <w:pPr>
              <w:spacing w:after="0"/>
              <w:rPr>
                <w:sz w:val="16"/>
                <w:szCs w:val="16"/>
                <w:color w:val="auto"/>
              </w:rPr>
            </w:pPr>
          </w:p>
        </w:tc>
      </w:tr>
      <w:tr>
        <w:trPr>
          <w:trHeight w:val="186"/>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86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193</w:t>
            </w:r>
          </w:p>
        </w:tc>
        <w:tc>
          <w:tcPr>
            <w:tcW w:w="2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220</w:t>
            </w: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0"/>
        </w:trPr>
        <w:tc>
          <w:tcPr>
            <w:tcW w:w="6560" w:type="dxa"/>
            <w:vAlign w:val="bottom"/>
          </w:tcPr>
          <w:p>
            <w:pPr>
              <w:spacing w:after="0"/>
              <w:rPr>
                <w:sz w:val="15"/>
                <w:szCs w:val="15"/>
                <w:color w:val="auto"/>
              </w:rPr>
            </w:pPr>
          </w:p>
        </w:tc>
        <w:tc>
          <w:tcPr>
            <w:tcW w:w="860" w:type="dxa"/>
            <w:vAlign w:val="bottom"/>
          </w:tcPr>
          <w:p>
            <w:pPr>
              <w:jc w:val="right"/>
              <w:ind w:right="680"/>
              <w:spacing w:after="0" w:line="180" w:lineRule="exact"/>
              <w:rPr>
                <w:sz w:val="20"/>
                <w:szCs w:val="20"/>
                <w:color w:val="auto"/>
              </w:rPr>
            </w:pPr>
            <w:r>
              <w:rPr>
                <w:rFonts w:ascii="Arial" w:cs="Arial" w:eastAsia="Arial" w:hAnsi="Arial"/>
                <w:sz w:val="16"/>
                <w:szCs w:val="16"/>
                <w:b w:val="1"/>
                <w:bCs w:val="1"/>
                <w:color w:val="auto"/>
                <w:w w:val="89"/>
              </w:rPr>
              <w:t>$</w:t>
            </w:r>
          </w:p>
        </w:tc>
        <w:tc>
          <w:tcPr>
            <w:tcW w:w="500" w:type="dxa"/>
            <w:vAlign w:val="bottom"/>
          </w:tcPr>
          <w:p>
            <w:pPr>
              <w:jc w:val="right"/>
              <w:spacing w:after="0" w:line="180" w:lineRule="exact"/>
              <w:rPr>
                <w:sz w:val="20"/>
                <w:szCs w:val="20"/>
                <w:color w:val="auto"/>
              </w:rPr>
            </w:pPr>
            <w:r>
              <w:rPr>
                <w:rFonts w:ascii="Arial" w:cs="Arial" w:eastAsia="Arial" w:hAnsi="Arial"/>
                <w:sz w:val="16"/>
                <w:szCs w:val="16"/>
                <w:b w:val="1"/>
                <w:bCs w:val="1"/>
                <w:color w:val="auto"/>
                <w:w w:val="93"/>
              </w:rPr>
              <w:t>36,289</w:t>
            </w:r>
          </w:p>
        </w:tc>
        <w:tc>
          <w:tcPr>
            <w:tcW w:w="56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33,135</w:t>
            </w:r>
          </w:p>
        </w:tc>
        <w:tc>
          <w:tcPr>
            <w:tcW w:w="38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80" w:lineRule="exact"/>
              <w:rPr>
                <w:sz w:val="20"/>
                <w:szCs w:val="20"/>
                <w:color w:val="auto"/>
              </w:rPr>
            </w:pPr>
            <w:r>
              <w:rPr>
                <w:rFonts w:ascii="Arial" w:cs="Arial" w:eastAsia="Arial" w:hAnsi="Arial"/>
                <w:sz w:val="16"/>
                <w:szCs w:val="16"/>
                <w:color w:val="auto"/>
              </w:rPr>
              <w:t>28,091</w:t>
            </w:r>
          </w:p>
        </w:tc>
        <w:tc>
          <w:tcPr>
            <w:tcW w:w="100" w:type="dxa"/>
            <w:vAlign w:val="bottom"/>
          </w:tcPr>
          <w:p>
            <w:pPr>
              <w:spacing w:after="0"/>
              <w:rPr>
                <w:sz w:val="15"/>
                <w:szCs w:val="15"/>
                <w:color w:val="auto"/>
              </w:rPr>
            </w:pPr>
          </w:p>
        </w:tc>
      </w:tr>
      <w:tr>
        <w:trPr>
          <w:trHeight w:val="20"/>
        </w:trPr>
        <w:tc>
          <w:tcPr>
            <w:tcW w:w="6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5033645</wp:posOffset>
            </wp:positionH>
            <wp:positionV relativeFrom="paragraph">
              <wp:posOffset>-151765</wp:posOffset>
            </wp:positionV>
            <wp:extent cx="7620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6056630</wp:posOffset>
            </wp:positionH>
            <wp:positionV relativeFrom="paragraph">
              <wp:posOffset>-151765</wp:posOffset>
            </wp:positionV>
            <wp:extent cx="6731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-151765</wp:posOffset>
            </wp:positionV>
            <wp:extent cx="6731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 Includes Russia and the Caspian region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Revenue is based on the location where services are provided and products are sold.</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SLB did not have revenue from third-party customers in its country of domicile during the last three years. Revenue in the United States in 2024, 2023, and 2022 was $5.3 billion, $5.4 billion, and $4.6 billion,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North America and International revenue disaggregated by segment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5"/>
          </w:tcPr>
          <w:p>
            <w:pPr>
              <w:jc w:val="center"/>
              <w:ind w:right="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69"/>
        </w:trPr>
        <w:tc>
          <w:tcPr>
            <w:tcW w:w="57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760" w:type="dxa"/>
            <w:vAlign w:val="bottom"/>
          </w:tcPr>
          <w:p>
            <w:pPr>
              <w:spacing w:after="0"/>
              <w:rPr>
                <w:sz w:val="15"/>
                <w:szCs w:val="15"/>
                <w:color w:val="auto"/>
              </w:rPr>
            </w:pPr>
          </w:p>
        </w:tc>
        <w:tc>
          <w:tcPr>
            <w:tcW w:w="1160" w:type="dxa"/>
            <w:vAlign w:val="bottom"/>
            <w:tcBorders>
              <w:bottom w:val="single" w:sz="8" w:color="auto"/>
            </w:tcBorders>
            <w:gridSpan w:val="2"/>
          </w:tcPr>
          <w:p>
            <w:pPr>
              <w:ind w:left="20"/>
              <w:spacing w:after="0" w:line="180" w:lineRule="exact"/>
              <w:rPr>
                <w:sz w:val="20"/>
                <w:szCs w:val="20"/>
                <w:color w:val="auto"/>
              </w:rPr>
            </w:pPr>
            <w:r>
              <w:rPr>
                <w:rFonts w:ascii="Arial" w:cs="Arial" w:eastAsia="Arial" w:hAnsi="Arial"/>
                <w:sz w:val="16"/>
                <w:szCs w:val="16"/>
                <w:b w:val="1"/>
                <w:bCs w:val="1"/>
                <w:color w:val="auto"/>
              </w:rPr>
              <w:t>North America</w:t>
            </w:r>
          </w:p>
        </w:tc>
        <w:tc>
          <w:tcPr>
            <w:tcW w:w="240" w:type="dxa"/>
            <w:vAlign w:val="bottom"/>
          </w:tcPr>
          <w:p>
            <w:pPr>
              <w:spacing w:after="0"/>
              <w:rPr>
                <w:sz w:val="15"/>
                <w:szCs w:val="15"/>
                <w:color w:val="auto"/>
              </w:rPr>
            </w:pPr>
          </w:p>
        </w:tc>
        <w:tc>
          <w:tcPr>
            <w:tcW w:w="1160" w:type="dxa"/>
            <w:vAlign w:val="bottom"/>
            <w:tcBorders>
              <w:bottom w:val="single" w:sz="8" w:color="auto"/>
            </w:tcBorders>
            <w:gridSpan w:val="3"/>
          </w:tcPr>
          <w:p>
            <w:pPr>
              <w:jc w:val="center"/>
              <w:spacing w:after="0" w:line="180" w:lineRule="exact"/>
              <w:rPr>
                <w:sz w:val="20"/>
                <w:szCs w:val="20"/>
                <w:color w:val="auto"/>
              </w:rPr>
            </w:pPr>
            <w:r>
              <w:rPr>
                <w:rFonts w:ascii="Arial" w:cs="Arial" w:eastAsia="Arial" w:hAnsi="Arial"/>
                <w:sz w:val="16"/>
                <w:szCs w:val="16"/>
                <w:b w:val="1"/>
                <w:bCs w:val="1"/>
                <w:color w:val="auto"/>
                <w:w w:val="99"/>
              </w:rPr>
              <w:t>International</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ind w:left="180"/>
              <w:spacing w:after="0" w:line="180" w:lineRule="exact"/>
              <w:rPr>
                <w:sz w:val="20"/>
                <w:szCs w:val="20"/>
                <w:color w:val="auto"/>
              </w:rPr>
            </w:pPr>
            <w:r>
              <w:rPr>
                <w:rFonts w:ascii="Arial" w:cs="Arial" w:eastAsia="Arial" w:hAnsi="Arial"/>
                <w:sz w:val="16"/>
                <w:szCs w:val="16"/>
                <w:b w:val="1"/>
                <w:bCs w:val="1"/>
                <w:color w:val="auto"/>
              </w:rPr>
              <w:t>Other</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80"/>
              <w:spacing w:after="0" w:line="180" w:lineRule="exact"/>
              <w:rPr>
                <w:sz w:val="20"/>
                <w:szCs w:val="20"/>
                <w:color w:val="auto"/>
              </w:rPr>
            </w:pPr>
            <w:r>
              <w:rPr>
                <w:rFonts w:ascii="Arial" w:cs="Arial" w:eastAsia="Arial" w:hAnsi="Arial"/>
                <w:sz w:val="16"/>
                <w:szCs w:val="16"/>
                <w:b w:val="1"/>
                <w:bCs w:val="1"/>
                <w:color w:val="auto"/>
                <w:w w:val="99"/>
              </w:rPr>
              <w:t>Total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Digital &amp; Integration</w:t>
            </w:r>
          </w:p>
        </w:tc>
        <w:tc>
          <w:tcPr>
            <w:tcW w:w="42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1,115</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04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3,127</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5</w:t>
            </w:r>
          </w:p>
        </w:tc>
        <w:tc>
          <w:tcPr>
            <w:tcW w:w="140" w:type="dxa"/>
            <w:vAlign w:val="bottom"/>
            <w:shd w:val="clear" w:color="auto" w:fill="CFF0FC"/>
          </w:tcPr>
          <w:p>
            <w:pPr>
              <w:spacing w:after="0"/>
              <w:rPr>
                <w:sz w:val="15"/>
                <w:szCs w:val="15"/>
                <w:color w:val="auto"/>
              </w:rPr>
            </w:pPr>
          </w:p>
        </w:tc>
        <w:tc>
          <w:tcPr>
            <w:tcW w:w="240" w:type="dxa"/>
            <w:vAlign w:val="bottom"/>
            <w:gridSpan w:val="2"/>
            <w:shd w:val="clear" w:color="auto" w:fill="CFF0FC"/>
          </w:tcPr>
          <w:p>
            <w:pPr>
              <w:ind w:left="100"/>
              <w:spacing w:after="0" w:line="180" w:lineRule="exact"/>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4,247</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76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4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548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6,622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rPr>
              <w:t>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7,177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4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2,359</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10,776</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222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13,357</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4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2,725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9,386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rPr>
              <w:t>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12,143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4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(67 )</w:t>
            </w:r>
          </w:p>
        </w:tc>
        <w:tc>
          <w:tcPr>
            <w:tcW w:w="120" w:type="dxa"/>
            <w:vAlign w:val="bottom"/>
            <w:shd w:val="clear" w:color="auto" w:fill="CFF0FC"/>
          </w:tcPr>
          <w:p>
            <w:pPr>
              <w:spacing w:after="0"/>
              <w:rPr>
                <w:sz w:val="16"/>
                <w:szCs w:val="16"/>
                <w:color w:val="auto"/>
              </w:rPr>
            </w:pPr>
          </w:p>
        </w:tc>
        <w:tc>
          <w:tcPr>
            <w:tcW w:w="128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(496 )</w:t>
            </w: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(72 )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(635 )</w:t>
            </w:r>
          </w:p>
        </w:tc>
        <w:tc>
          <w:tcPr>
            <w:tcW w:w="0" w:type="dxa"/>
            <w:vAlign w:val="bottom"/>
          </w:tcPr>
          <w:p>
            <w:pPr>
              <w:spacing w:after="0"/>
              <w:rPr>
                <w:sz w:val="1"/>
                <w:szCs w:val="1"/>
                <w:color w:val="auto"/>
              </w:rPr>
            </w:pPr>
          </w:p>
        </w:tc>
      </w:tr>
      <w:tr>
        <w:trPr>
          <w:trHeight w:val="180"/>
        </w:trPr>
        <w:tc>
          <w:tcPr>
            <w:tcW w:w="5760" w:type="dxa"/>
            <w:vAlign w:val="bottom"/>
            <w:tcBorders>
              <w:top w:val="single" w:sz="8" w:color="CFF0FC"/>
            </w:tcBorders>
          </w:tcPr>
          <w:p>
            <w:pPr>
              <w:spacing w:after="0"/>
              <w:rPr>
                <w:sz w:val="15"/>
                <w:szCs w:val="15"/>
                <w:color w:val="auto"/>
              </w:rPr>
            </w:pPr>
          </w:p>
        </w:tc>
        <w:tc>
          <w:tcPr>
            <w:tcW w:w="420" w:type="dxa"/>
            <w:vAlign w:val="bottom"/>
            <w:tcBorders>
              <w:top w:val="single" w:sz="8" w:color="auto"/>
              <w:bottom w:val="single" w:sz="8" w:color="auto"/>
            </w:tcBorders>
          </w:tcPr>
          <w:p>
            <w:pPr>
              <w:ind w:left="20"/>
              <w:spacing w:after="0" w:line="180" w:lineRule="exact"/>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6,680</w:t>
            </w: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gridSpan w:val="2"/>
          </w:tcPr>
          <w:p>
            <w:pPr>
              <w:jc w:val="right"/>
              <w:spacing w:after="0" w:line="180" w:lineRule="exact"/>
              <w:rPr>
                <w:sz w:val="20"/>
                <w:szCs w:val="20"/>
                <w:color w:val="auto"/>
              </w:rPr>
            </w:pPr>
            <w:r>
              <w:rPr>
                <w:rFonts w:ascii="Arial" w:cs="Arial" w:eastAsia="Arial" w:hAnsi="Arial"/>
                <w:sz w:val="16"/>
                <w:szCs w:val="16"/>
                <w:b w:val="1"/>
                <w:bCs w:val="1"/>
                <w:color w:val="auto"/>
              </w:rPr>
              <w:t>29,415</w:t>
            </w:r>
          </w:p>
        </w:tc>
        <w:tc>
          <w:tcPr>
            <w:tcW w:w="24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5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gridSpan w:val="2"/>
          </w:tcPr>
          <w:p>
            <w:pPr>
              <w:jc w:val="right"/>
              <w:spacing w:after="0" w:line="180" w:lineRule="exact"/>
              <w:rPr>
                <w:sz w:val="20"/>
                <w:szCs w:val="20"/>
                <w:color w:val="auto"/>
              </w:rPr>
            </w:pPr>
            <w:r>
              <w:rPr>
                <w:rFonts w:ascii="Arial" w:cs="Arial" w:eastAsia="Arial" w:hAnsi="Arial"/>
                <w:sz w:val="16"/>
                <w:szCs w:val="16"/>
                <w:b w:val="1"/>
                <w:bCs w:val="1"/>
                <w:color w:val="auto"/>
              </w:rPr>
              <w:t>194</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80" w:lineRule="exact"/>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36,289</w:t>
            </w:r>
          </w:p>
        </w:tc>
        <w:tc>
          <w:tcPr>
            <w:tcW w:w="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5"/>
          </w:tcPr>
          <w:p>
            <w:pPr>
              <w:jc w:val="center"/>
              <w:ind w:right="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5"/>
        </w:trPr>
        <w:tc>
          <w:tcPr>
            <w:tcW w:w="57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color w:val="auto"/>
              </w:rPr>
              <w:t>2023</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760" w:type="dxa"/>
            <w:vAlign w:val="bottom"/>
          </w:tcPr>
          <w:p>
            <w:pPr>
              <w:spacing w:after="0"/>
              <w:rPr>
                <w:sz w:val="15"/>
                <w:szCs w:val="15"/>
                <w:color w:val="auto"/>
              </w:rPr>
            </w:pPr>
          </w:p>
        </w:tc>
        <w:tc>
          <w:tcPr>
            <w:tcW w:w="1160" w:type="dxa"/>
            <w:vAlign w:val="bottom"/>
            <w:tcBorders>
              <w:bottom w:val="single" w:sz="8" w:color="auto"/>
            </w:tcBorders>
            <w:gridSpan w:val="2"/>
          </w:tcPr>
          <w:p>
            <w:pPr>
              <w:jc w:val="right"/>
              <w:spacing w:after="0" w:line="180" w:lineRule="exact"/>
              <w:rPr>
                <w:sz w:val="20"/>
                <w:szCs w:val="20"/>
                <w:color w:val="auto"/>
              </w:rPr>
            </w:pPr>
            <w:r>
              <w:rPr>
                <w:rFonts w:ascii="Arial" w:cs="Arial" w:eastAsia="Arial" w:hAnsi="Arial"/>
                <w:sz w:val="16"/>
                <w:szCs w:val="16"/>
                <w:color w:val="auto"/>
              </w:rPr>
              <w:t>North America</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80"/>
              <w:spacing w:after="0" w:line="180" w:lineRule="exact"/>
              <w:rPr>
                <w:sz w:val="20"/>
                <w:szCs w:val="20"/>
                <w:color w:val="auto"/>
              </w:rPr>
            </w:pPr>
            <w:r>
              <w:rPr>
                <w:rFonts w:ascii="Arial" w:cs="Arial" w:eastAsia="Arial" w:hAnsi="Arial"/>
                <w:sz w:val="16"/>
                <w:szCs w:val="16"/>
                <w:color w:val="auto"/>
                <w:w w:val="99"/>
              </w:rPr>
              <w:t>International</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ind w:left="180"/>
              <w:spacing w:after="0" w:line="180" w:lineRule="exact"/>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80"/>
              <w:spacing w:after="0" w:line="180" w:lineRule="exact"/>
              <w:rPr>
                <w:sz w:val="20"/>
                <w:szCs w:val="20"/>
                <w:color w:val="auto"/>
              </w:rPr>
            </w:pPr>
            <w:r>
              <w:rPr>
                <w:rFonts w:ascii="Arial" w:cs="Arial" w:eastAsia="Arial" w:hAnsi="Arial"/>
                <w:sz w:val="16"/>
                <w:szCs w:val="16"/>
                <w:color w:val="auto"/>
                <w:w w:val="95"/>
              </w:rPr>
              <w:t>Total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Digital &amp; Integration</w:t>
            </w:r>
          </w:p>
        </w:tc>
        <w:tc>
          <w:tcPr>
            <w:tcW w:w="42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984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2,881</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6</w:t>
            </w:r>
          </w:p>
        </w:tc>
        <w:tc>
          <w:tcPr>
            <w:tcW w:w="140" w:type="dxa"/>
            <w:vAlign w:val="bottom"/>
            <w:shd w:val="clear" w:color="auto" w:fill="CFF0FC"/>
          </w:tcPr>
          <w:p>
            <w:pPr>
              <w:spacing w:after="0"/>
              <w:rPr>
                <w:sz w:val="15"/>
                <w:szCs w:val="15"/>
                <w:color w:val="auto"/>
              </w:rPr>
            </w:pPr>
          </w:p>
        </w:tc>
        <w:tc>
          <w:tcPr>
            <w:tcW w:w="240" w:type="dxa"/>
            <w:vAlign w:val="bottom"/>
            <w:gridSpan w:val="2"/>
            <w:shd w:val="clear" w:color="auto" w:fill="CFF0FC"/>
          </w:tcPr>
          <w:p>
            <w:pPr>
              <w:ind w:left="100"/>
              <w:spacing w:after="0" w:line="180"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3,871</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76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4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6,057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6,561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4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2,709</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10,530</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13,478</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4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2,598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7,219</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4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(62 )</w:t>
            </w:r>
          </w:p>
        </w:tc>
        <w:tc>
          <w:tcPr>
            <w:tcW w:w="120" w:type="dxa"/>
            <w:vAlign w:val="bottom"/>
            <w:shd w:val="clear" w:color="auto" w:fill="CFF0FC"/>
          </w:tcPr>
          <w:p>
            <w:pPr>
              <w:spacing w:after="0"/>
              <w:rPr>
                <w:sz w:val="16"/>
                <w:szCs w:val="16"/>
                <w:color w:val="auto"/>
              </w:rPr>
            </w:pPr>
          </w:p>
        </w:tc>
        <w:tc>
          <w:tcPr>
            <w:tcW w:w="128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(499 )</w:t>
            </w: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(45 )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(606 )</w:t>
            </w:r>
          </w:p>
        </w:tc>
        <w:tc>
          <w:tcPr>
            <w:tcW w:w="0" w:type="dxa"/>
            <w:vAlign w:val="bottom"/>
          </w:tcPr>
          <w:p>
            <w:pPr>
              <w:spacing w:after="0"/>
              <w:rPr>
                <w:sz w:val="1"/>
                <w:szCs w:val="1"/>
                <w:color w:val="auto"/>
              </w:rPr>
            </w:pPr>
          </w:p>
        </w:tc>
      </w:tr>
      <w:tr>
        <w:trPr>
          <w:trHeight w:val="180"/>
        </w:trPr>
        <w:tc>
          <w:tcPr>
            <w:tcW w:w="5760" w:type="dxa"/>
            <w:vAlign w:val="bottom"/>
            <w:tcBorders>
              <w:top w:val="single" w:sz="8" w:color="CFF0FC"/>
            </w:tcBorders>
          </w:tcPr>
          <w:p>
            <w:pPr>
              <w:spacing w:after="0"/>
              <w:rPr>
                <w:sz w:val="15"/>
                <w:szCs w:val="15"/>
                <w:color w:val="auto"/>
              </w:rPr>
            </w:pPr>
          </w:p>
        </w:tc>
        <w:tc>
          <w:tcPr>
            <w:tcW w:w="420" w:type="dxa"/>
            <w:vAlign w:val="bottom"/>
            <w:tcBorders>
              <w:top w:val="single" w:sz="8" w:color="auto"/>
              <w:bottom w:val="single" w:sz="8" w:color="auto"/>
            </w:tcBorders>
          </w:tcPr>
          <w:p>
            <w:pPr>
              <w:ind w:left="20"/>
              <w:spacing w:after="0" w:line="180" w:lineRule="exact"/>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6,727</w:t>
            </w: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gridSpan w:val="2"/>
          </w:tcPr>
          <w:p>
            <w:pPr>
              <w:jc w:val="right"/>
              <w:spacing w:after="0" w:line="180" w:lineRule="exact"/>
              <w:rPr>
                <w:sz w:val="20"/>
                <w:szCs w:val="20"/>
                <w:color w:val="auto"/>
              </w:rPr>
            </w:pPr>
            <w:r>
              <w:rPr>
                <w:rFonts w:ascii="Arial" w:cs="Arial" w:eastAsia="Arial" w:hAnsi="Arial"/>
                <w:sz w:val="16"/>
                <w:szCs w:val="16"/>
                <w:color w:val="auto"/>
              </w:rPr>
              <w:t>26,188</w:t>
            </w:r>
          </w:p>
        </w:tc>
        <w:tc>
          <w:tcPr>
            <w:tcW w:w="24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gridSpan w:val="2"/>
          </w:tcPr>
          <w:p>
            <w:pPr>
              <w:jc w:val="right"/>
              <w:spacing w:after="0" w:line="180" w:lineRule="exact"/>
              <w:rPr>
                <w:sz w:val="20"/>
                <w:szCs w:val="20"/>
                <w:color w:val="auto"/>
              </w:rPr>
            </w:pPr>
            <w:r>
              <w:rPr>
                <w:rFonts w:ascii="Arial" w:cs="Arial" w:eastAsia="Arial" w:hAnsi="Arial"/>
                <w:sz w:val="16"/>
                <w:szCs w:val="16"/>
                <w:color w:val="auto"/>
              </w:rPr>
              <w:t>220</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80"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33,135</w:t>
            </w:r>
          </w:p>
        </w:tc>
        <w:tc>
          <w:tcPr>
            <w:tcW w:w="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5"/>
          </w:tcPr>
          <w:p>
            <w:pPr>
              <w:jc w:val="center"/>
              <w:ind w:right="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5"/>
        </w:trPr>
        <w:tc>
          <w:tcPr>
            <w:tcW w:w="57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color w:val="auto"/>
              </w:rPr>
              <w:t>2022</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760" w:type="dxa"/>
            <w:vAlign w:val="bottom"/>
          </w:tcPr>
          <w:p>
            <w:pPr>
              <w:spacing w:after="0"/>
              <w:rPr>
                <w:sz w:val="15"/>
                <w:szCs w:val="15"/>
                <w:color w:val="auto"/>
              </w:rPr>
            </w:pPr>
          </w:p>
        </w:tc>
        <w:tc>
          <w:tcPr>
            <w:tcW w:w="1160" w:type="dxa"/>
            <w:vAlign w:val="bottom"/>
            <w:tcBorders>
              <w:bottom w:val="single" w:sz="8" w:color="auto"/>
            </w:tcBorders>
            <w:gridSpan w:val="2"/>
          </w:tcPr>
          <w:p>
            <w:pPr>
              <w:jc w:val="right"/>
              <w:spacing w:after="0" w:line="180" w:lineRule="exact"/>
              <w:rPr>
                <w:sz w:val="20"/>
                <w:szCs w:val="20"/>
                <w:color w:val="auto"/>
              </w:rPr>
            </w:pPr>
            <w:r>
              <w:rPr>
                <w:rFonts w:ascii="Arial" w:cs="Arial" w:eastAsia="Arial" w:hAnsi="Arial"/>
                <w:sz w:val="16"/>
                <w:szCs w:val="16"/>
                <w:color w:val="auto"/>
              </w:rPr>
              <w:t>North America</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80"/>
              <w:spacing w:after="0" w:line="180" w:lineRule="exact"/>
              <w:rPr>
                <w:sz w:val="20"/>
                <w:szCs w:val="20"/>
                <w:color w:val="auto"/>
              </w:rPr>
            </w:pPr>
            <w:r>
              <w:rPr>
                <w:rFonts w:ascii="Arial" w:cs="Arial" w:eastAsia="Arial" w:hAnsi="Arial"/>
                <w:sz w:val="16"/>
                <w:szCs w:val="16"/>
                <w:color w:val="auto"/>
                <w:w w:val="99"/>
              </w:rPr>
              <w:t>International</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ind w:left="180"/>
              <w:spacing w:after="0" w:line="180" w:lineRule="exact"/>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80"/>
              <w:spacing w:after="0" w:line="180" w:lineRule="exact"/>
              <w:rPr>
                <w:sz w:val="20"/>
                <w:szCs w:val="20"/>
                <w:color w:val="auto"/>
              </w:rPr>
            </w:pPr>
            <w:r>
              <w:rPr>
                <w:rFonts w:ascii="Arial" w:cs="Arial" w:eastAsia="Arial" w:hAnsi="Arial"/>
                <w:sz w:val="16"/>
                <w:szCs w:val="16"/>
                <w:color w:val="auto"/>
                <w:w w:val="95"/>
              </w:rPr>
              <w:t>Total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Digital &amp; Integration</w:t>
            </w:r>
          </w:p>
        </w:tc>
        <w:tc>
          <w:tcPr>
            <w:tcW w:w="42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1,069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2,651</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5</w:t>
            </w:r>
          </w:p>
        </w:tc>
        <w:tc>
          <w:tcPr>
            <w:tcW w:w="140" w:type="dxa"/>
            <w:vAlign w:val="bottom"/>
            <w:shd w:val="clear" w:color="auto" w:fill="CFF0FC"/>
          </w:tcPr>
          <w:p>
            <w:pPr>
              <w:spacing w:after="0"/>
              <w:rPr>
                <w:sz w:val="15"/>
                <w:szCs w:val="15"/>
                <w:color w:val="auto"/>
              </w:rPr>
            </w:pPr>
          </w:p>
        </w:tc>
        <w:tc>
          <w:tcPr>
            <w:tcW w:w="240" w:type="dxa"/>
            <w:vAlign w:val="bottom"/>
            <w:gridSpan w:val="2"/>
            <w:shd w:val="clear" w:color="auto" w:fill="CFF0FC"/>
          </w:tcPr>
          <w:p>
            <w:pPr>
              <w:ind w:left="100"/>
              <w:spacing w:after="0" w:line="180"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3,725</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76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4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5,091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5,553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4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2,311</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8,875</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211</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11,397</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4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2,176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5,675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7,862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4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FF0FC"/>
          </w:tcPr>
          <w:p>
            <w:pPr>
              <w:spacing w:after="0"/>
              <w:rPr>
                <w:sz w:val="16"/>
                <w:szCs w:val="16"/>
                <w:color w:val="auto"/>
              </w:rPr>
            </w:pPr>
          </w:p>
        </w:tc>
        <w:tc>
          <w:tcPr>
            <w:tcW w:w="128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(397 )</w:t>
            </w: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(33 )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(446 )</w:t>
            </w:r>
          </w:p>
        </w:tc>
        <w:tc>
          <w:tcPr>
            <w:tcW w:w="0" w:type="dxa"/>
            <w:vAlign w:val="bottom"/>
          </w:tcPr>
          <w:p>
            <w:pPr>
              <w:spacing w:after="0"/>
              <w:rPr>
                <w:sz w:val="1"/>
                <w:szCs w:val="1"/>
                <w:color w:val="auto"/>
              </w:rPr>
            </w:pPr>
          </w:p>
        </w:tc>
      </w:tr>
      <w:tr>
        <w:trPr>
          <w:trHeight w:val="180"/>
        </w:trPr>
        <w:tc>
          <w:tcPr>
            <w:tcW w:w="5760" w:type="dxa"/>
            <w:vAlign w:val="bottom"/>
            <w:tcBorders>
              <w:top w:val="single" w:sz="8" w:color="CFF0FC"/>
            </w:tcBorders>
          </w:tcPr>
          <w:p>
            <w:pPr>
              <w:spacing w:after="0"/>
              <w:rPr>
                <w:sz w:val="15"/>
                <w:szCs w:val="15"/>
                <w:color w:val="auto"/>
              </w:rPr>
            </w:pPr>
          </w:p>
        </w:tc>
        <w:tc>
          <w:tcPr>
            <w:tcW w:w="420" w:type="dxa"/>
            <w:vAlign w:val="bottom"/>
            <w:tcBorders>
              <w:top w:val="single" w:sz="8" w:color="auto"/>
              <w:bottom w:val="single" w:sz="8" w:color="auto"/>
            </w:tcBorders>
          </w:tcPr>
          <w:p>
            <w:pPr>
              <w:ind w:left="20"/>
              <w:spacing w:after="0" w:line="180" w:lineRule="exact"/>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5,995</w:t>
            </w: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gridSpan w:val="2"/>
          </w:tcPr>
          <w:p>
            <w:pPr>
              <w:jc w:val="right"/>
              <w:spacing w:after="0" w:line="180" w:lineRule="exact"/>
              <w:rPr>
                <w:sz w:val="20"/>
                <w:szCs w:val="20"/>
                <w:color w:val="auto"/>
              </w:rPr>
            </w:pPr>
            <w:r>
              <w:rPr>
                <w:rFonts w:ascii="Arial" w:cs="Arial" w:eastAsia="Arial" w:hAnsi="Arial"/>
                <w:sz w:val="16"/>
                <w:szCs w:val="16"/>
                <w:color w:val="auto"/>
              </w:rPr>
              <w:t>21,895</w:t>
            </w:r>
          </w:p>
        </w:tc>
        <w:tc>
          <w:tcPr>
            <w:tcW w:w="24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gridSpan w:val="2"/>
          </w:tcPr>
          <w:p>
            <w:pPr>
              <w:jc w:val="right"/>
              <w:spacing w:after="0" w:line="180" w:lineRule="exact"/>
              <w:rPr>
                <w:sz w:val="20"/>
                <w:szCs w:val="20"/>
                <w:color w:val="auto"/>
              </w:rPr>
            </w:pPr>
            <w:r>
              <w:rPr>
                <w:rFonts w:ascii="Arial" w:cs="Arial" w:eastAsia="Arial" w:hAnsi="Arial"/>
                <w:sz w:val="16"/>
                <w:szCs w:val="16"/>
                <w:color w:val="auto"/>
              </w:rPr>
              <w:t>201</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80"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28,091</w:t>
            </w:r>
          </w:p>
        </w:tc>
        <w:tc>
          <w:tcPr>
            <w:tcW w:w="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6"/>
                <w:szCs w:val="16"/>
                <w:i w:val="1"/>
                <w:iCs w:val="1"/>
                <w:color w:val="auto"/>
              </w:rPr>
              <w:t xml:space="preserve">Fixed Assets less accumulated depreciation </w:t>
            </w:r>
            <w:r>
              <w:rPr>
                <w:rFonts w:ascii="Arial" w:cs="Arial" w:eastAsia="Arial" w:hAnsi="Arial"/>
                <w:sz w:val="16"/>
                <w:szCs w:val="16"/>
                <w:color w:val="auto"/>
              </w:rPr>
              <w:t>by geographic area was as follows:</w:t>
            </w: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7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5"/>
          </w:tcPr>
          <w:p>
            <w:pPr>
              <w:ind w:left="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69"/>
        </w:trPr>
        <w:tc>
          <w:tcPr>
            <w:tcW w:w="5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color w:val="auto"/>
              </w:rPr>
              <w:t>2023</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7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North America</w:t>
            </w:r>
          </w:p>
        </w:tc>
        <w:tc>
          <w:tcPr>
            <w:tcW w:w="4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center"/>
              <w:ind w:right="80"/>
              <w:spacing w:after="0" w:line="180" w:lineRule="exact"/>
              <w:rPr>
                <w:sz w:val="20"/>
                <w:szCs w:val="20"/>
                <w:color w:val="auto"/>
              </w:rPr>
            </w:pPr>
            <w:r>
              <w:rPr>
                <w:rFonts w:ascii="Arial" w:cs="Arial" w:eastAsia="Arial" w:hAnsi="Arial"/>
                <w:sz w:val="16"/>
                <w:szCs w:val="16"/>
                <w:b w:val="1"/>
                <w:bCs w:val="1"/>
                <w:color w:val="auto"/>
                <w:w w:val="89"/>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1,805</w:t>
            </w:r>
          </w:p>
        </w:tc>
        <w:tc>
          <w:tcPr>
            <w:tcW w:w="12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1,728</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760" w:type="dxa"/>
            <w:vAlign w:val="bottom"/>
          </w:tcPr>
          <w:p>
            <w:pPr>
              <w:ind w:left="20"/>
              <w:spacing w:after="0"/>
              <w:rPr>
                <w:sz w:val="20"/>
                <w:szCs w:val="20"/>
                <w:color w:val="auto"/>
              </w:rPr>
            </w:pPr>
            <w:r>
              <w:rPr>
                <w:rFonts w:ascii="Arial" w:cs="Arial" w:eastAsia="Arial" w:hAnsi="Arial"/>
                <w:sz w:val="16"/>
                <w:szCs w:val="16"/>
                <w:color w:val="auto"/>
              </w:rPr>
              <w:t>Latin America</w:t>
            </w: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1,044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Europe &amp; Africa</w:t>
            </w:r>
          </w:p>
        </w:tc>
        <w:tc>
          <w:tcPr>
            <w:tcW w:w="4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1,721</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1,804</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Middle East &amp; Asia</w:t>
            </w:r>
          </w:p>
        </w:tc>
        <w:tc>
          <w:tcPr>
            <w:tcW w:w="420" w:type="dxa"/>
            <w:vAlign w:val="bottom"/>
            <w:tcBorders>
              <w:bottom w:val="single" w:sz="8" w:color="CFF0FC"/>
            </w:tcBorders>
          </w:tcPr>
          <w:p>
            <w:pPr>
              <w:spacing w:after="0"/>
              <w:rPr>
                <w:sz w:val="16"/>
                <w:szCs w:val="16"/>
                <w:color w:val="auto"/>
              </w:rPr>
            </w:pPr>
          </w:p>
        </w:tc>
        <w:tc>
          <w:tcPr>
            <w:tcW w:w="740" w:type="dxa"/>
            <w:vAlign w:val="bottom"/>
            <w:tcBorders>
              <w:bottom w:val="single" w:sz="8" w:color="CFF0FC"/>
            </w:tcBorders>
          </w:tcPr>
          <w:p>
            <w:pPr>
              <w:spacing w:after="0"/>
              <w:rPr>
                <w:sz w:val="16"/>
                <w:szCs w:val="16"/>
                <w:color w:val="auto"/>
              </w:rPr>
            </w:pPr>
          </w:p>
        </w:tc>
        <w:tc>
          <w:tcPr>
            <w:tcW w:w="24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380" w:type="dxa"/>
            <w:vAlign w:val="bottom"/>
            <w:tcBorders>
              <w:bottom w:val="single" w:sz="8" w:color="CFF0FC"/>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2,789</w:t>
            </w:r>
          </w:p>
        </w:tc>
        <w:tc>
          <w:tcPr>
            <w:tcW w:w="120" w:type="dxa"/>
            <w:vAlign w:val="bottom"/>
            <w:tcBorders>
              <w:bottom w:val="single" w:sz="8" w:color="CFF0FC"/>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2,629</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7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center"/>
              <w:ind w:right="460"/>
              <w:spacing w:after="0" w:line="180" w:lineRule="exact"/>
              <w:rPr>
                <w:sz w:val="20"/>
                <w:szCs w:val="20"/>
                <w:color w:val="auto"/>
              </w:rPr>
            </w:pPr>
            <w:r>
              <w:rPr>
                <w:rFonts w:ascii="Arial" w:cs="Arial" w:eastAsia="Arial" w:hAnsi="Arial"/>
                <w:sz w:val="16"/>
                <w:szCs w:val="16"/>
                <w:b w:val="1"/>
                <w:bCs w:val="1"/>
                <w:color w:val="auto"/>
                <w:w w:val="89"/>
              </w:rPr>
              <w:t>$</w:t>
            </w:r>
          </w:p>
        </w:tc>
        <w:tc>
          <w:tcPr>
            <w:tcW w:w="2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7,359</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7,240</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4391025</wp:posOffset>
            </wp:positionH>
            <wp:positionV relativeFrom="paragraph">
              <wp:posOffset>-4183380</wp:posOffset>
            </wp:positionV>
            <wp:extent cx="6731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5278755</wp:posOffset>
            </wp:positionH>
            <wp:positionV relativeFrom="paragraph">
              <wp:posOffset>-4183380</wp:posOffset>
            </wp:positionV>
            <wp:extent cx="6731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6166485</wp:posOffset>
            </wp:positionH>
            <wp:positionV relativeFrom="paragraph">
              <wp:posOffset>-4183380</wp:posOffset>
            </wp:positionV>
            <wp:extent cx="6731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7062470</wp:posOffset>
            </wp:positionH>
            <wp:positionV relativeFrom="paragraph">
              <wp:posOffset>-4183380</wp:posOffset>
            </wp:positionV>
            <wp:extent cx="762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4391025</wp:posOffset>
            </wp:positionH>
            <wp:positionV relativeFrom="paragraph">
              <wp:posOffset>-2847975</wp:posOffset>
            </wp:positionV>
            <wp:extent cx="6731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5278755</wp:posOffset>
            </wp:positionH>
            <wp:positionV relativeFrom="paragraph">
              <wp:posOffset>-2847975</wp:posOffset>
            </wp:positionV>
            <wp:extent cx="6731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6166485</wp:posOffset>
            </wp:positionH>
            <wp:positionV relativeFrom="paragraph">
              <wp:posOffset>-2847975</wp:posOffset>
            </wp:positionV>
            <wp:extent cx="6731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7062470</wp:posOffset>
            </wp:positionH>
            <wp:positionV relativeFrom="paragraph">
              <wp:posOffset>-2847975</wp:posOffset>
            </wp:positionV>
            <wp:extent cx="762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4391025</wp:posOffset>
            </wp:positionH>
            <wp:positionV relativeFrom="paragraph">
              <wp:posOffset>-1512570</wp:posOffset>
            </wp:positionV>
            <wp:extent cx="6731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5278755</wp:posOffset>
            </wp:positionH>
            <wp:positionV relativeFrom="paragraph">
              <wp:posOffset>-1512570</wp:posOffset>
            </wp:positionV>
            <wp:extent cx="6731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6166485</wp:posOffset>
            </wp:positionH>
            <wp:positionV relativeFrom="paragraph">
              <wp:posOffset>-1512570</wp:posOffset>
            </wp:positionV>
            <wp:extent cx="6731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7062470</wp:posOffset>
            </wp:positionH>
            <wp:positionV relativeFrom="paragraph">
              <wp:posOffset>-1512570</wp:posOffset>
            </wp:positionV>
            <wp:extent cx="7620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-24765</wp:posOffset>
            </wp:positionV>
            <wp:extent cx="6731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-7620</wp:posOffset>
            </wp:positionV>
            <wp:extent cx="6731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-151765</wp:posOffset>
            </wp:positionV>
            <wp:extent cx="6731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-24765</wp:posOffset>
            </wp:positionV>
            <wp:extent cx="6731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-7620</wp:posOffset>
            </wp:positionV>
            <wp:extent cx="6731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-151765</wp:posOffset>
            </wp:positionV>
            <wp:extent cx="6731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Significant segment expenses, which represents the difference between segment revenue and pretax segment income, consist of the following: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i w:val="1"/>
                <w:iCs w:val="1"/>
                <w:color w:val="auto"/>
              </w:rPr>
              <w:t>(Stated in millions)</w:t>
            </w:r>
          </w:p>
        </w:tc>
      </w:tr>
      <w:tr>
        <w:trPr>
          <w:trHeight w:val="369"/>
        </w:trPr>
        <w:tc>
          <w:tcPr>
            <w:tcW w:w="5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2024</w:t>
            </w: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6"/>
        </w:trPr>
        <w:tc>
          <w:tcPr>
            <w:tcW w:w="5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60"/>
              <w:spacing w:after="0" w:line="165" w:lineRule="exact"/>
              <w:rPr>
                <w:sz w:val="20"/>
                <w:szCs w:val="20"/>
                <w:color w:val="auto"/>
              </w:rPr>
            </w:pPr>
            <w:r>
              <w:rPr>
                <w:rFonts w:ascii="Arial" w:cs="Arial" w:eastAsia="Arial" w:hAnsi="Arial"/>
                <w:sz w:val="16"/>
                <w:szCs w:val="16"/>
                <w:b w:val="1"/>
                <w:bCs w:val="1"/>
                <w:color w:val="auto"/>
              </w:rPr>
              <w:t>Digital &amp;</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40"/>
              <w:spacing w:after="0" w:line="165" w:lineRule="exact"/>
              <w:rPr>
                <w:sz w:val="20"/>
                <w:szCs w:val="20"/>
                <w:color w:val="auto"/>
              </w:rPr>
            </w:pPr>
            <w:r>
              <w:rPr>
                <w:rFonts w:ascii="Arial" w:cs="Arial" w:eastAsia="Arial" w:hAnsi="Arial"/>
                <w:sz w:val="16"/>
                <w:szCs w:val="16"/>
                <w:b w:val="1"/>
                <w:bCs w:val="1"/>
                <w:color w:val="auto"/>
              </w:rPr>
              <w:t>Reservoir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60"/>
              <w:spacing w:after="0" w:line="165" w:lineRule="exact"/>
              <w:rPr>
                <w:sz w:val="20"/>
                <w:szCs w:val="20"/>
                <w:color w:val="auto"/>
              </w:rPr>
            </w:pPr>
            <w:r>
              <w:rPr>
                <w:rFonts w:ascii="Arial" w:cs="Arial" w:eastAsia="Arial" w:hAnsi="Arial"/>
                <w:sz w:val="16"/>
                <w:szCs w:val="16"/>
                <w:b w:val="1"/>
                <w:bCs w:val="1"/>
                <w:color w:val="auto"/>
                <w:w w:val="97"/>
              </w:rPr>
              <w:t>Well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60"/>
              <w:spacing w:after="0" w:line="165" w:lineRule="exact"/>
              <w:rPr>
                <w:sz w:val="20"/>
                <w:szCs w:val="20"/>
                <w:color w:val="auto"/>
              </w:rPr>
            </w:pPr>
            <w:r>
              <w:rPr>
                <w:rFonts w:ascii="Arial" w:cs="Arial" w:eastAsia="Arial" w:hAnsi="Arial"/>
                <w:sz w:val="16"/>
                <w:szCs w:val="16"/>
                <w:b w:val="1"/>
                <w:bCs w:val="1"/>
                <w:color w:val="auto"/>
              </w:rPr>
              <w:t>Production</w:t>
            </w:r>
          </w:p>
        </w:tc>
        <w:tc>
          <w:tcPr>
            <w:tcW w:w="120" w:type="dxa"/>
            <w:vAlign w:val="bottom"/>
          </w:tcPr>
          <w:p>
            <w:pPr>
              <w:spacing w:after="0"/>
              <w:rPr>
                <w:sz w:val="14"/>
                <w:szCs w:val="14"/>
                <w:color w:val="auto"/>
              </w:rPr>
            </w:pPr>
          </w:p>
        </w:tc>
      </w:tr>
      <w:tr>
        <w:trPr>
          <w:trHeight w:val="200"/>
        </w:trPr>
        <w:tc>
          <w:tcPr>
            <w:tcW w:w="57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9"/>
              </w:rPr>
              <w:t>Integration</w:t>
            </w: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Performance</w:t>
            </w: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Construction</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rPr>
              <w:t>Systems</w:t>
            </w:r>
          </w:p>
        </w:tc>
        <w:tc>
          <w:tcPr>
            <w:tcW w:w="120" w:type="dxa"/>
            <w:vAlign w:val="bottom"/>
          </w:tcPr>
          <w:p>
            <w:pPr>
              <w:spacing w:after="0"/>
              <w:rPr>
                <w:sz w:val="17"/>
                <w:szCs w:val="17"/>
                <w:color w:val="auto"/>
              </w:rPr>
            </w:pPr>
          </w:p>
        </w:tc>
      </w:tr>
      <w:tr>
        <w:trPr>
          <w:trHeight w:val="180"/>
        </w:trPr>
        <w:tc>
          <w:tcPr>
            <w:tcW w:w="57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Compensation</w:t>
            </w:r>
          </w:p>
        </w:tc>
        <w:tc>
          <w:tcPr>
            <w:tcW w:w="1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811</w:t>
            </w:r>
          </w:p>
        </w:tc>
        <w:tc>
          <w:tcPr>
            <w:tcW w:w="34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1,638</w:t>
            </w:r>
          </w:p>
        </w:tc>
        <w:tc>
          <w:tcPr>
            <w:tcW w:w="34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2,587</w:t>
            </w:r>
          </w:p>
        </w:tc>
        <w:tc>
          <w:tcPr>
            <w:tcW w:w="36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1,043</w:t>
            </w:r>
          </w:p>
        </w:tc>
        <w:tc>
          <w:tcPr>
            <w:tcW w:w="120" w:type="dxa"/>
            <w:vAlign w:val="bottom"/>
            <w:shd w:val="clear" w:color="auto" w:fill="CFF0FC"/>
          </w:tcPr>
          <w:p>
            <w:pPr>
              <w:spacing w:after="0"/>
              <w:rPr>
                <w:sz w:val="15"/>
                <w:szCs w:val="15"/>
                <w:color w:val="auto"/>
              </w:rPr>
            </w:pPr>
          </w:p>
        </w:tc>
      </w:tr>
      <w:tr>
        <w:trPr>
          <w:trHeight w:val="186"/>
        </w:trPr>
        <w:tc>
          <w:tcPr>
            <w:tcW w:w="5760" w:type="dxa"/>
            <w:vAlign w:val="bottom"/>
          </w:tcPr>
          <w:p>
            <w:pPr>
              <w:ind w:left="20"/>
              <w:spacing w:after="0"/>
              <w:rPr>
                <w:sz w:val="20"/>
                <w:szCs w:val="20"/>
                <w:color w:val="auto"/>
              </w:rPr>
            </w:pPr>
            <w:r>
              <w:rPr>
                <w:rFonts w:ascii="Arial" w:cs="Arial" w:eastAsia="Arial" w:hAnsi="Arial"/>
                <w:sz w:val="16"/>
                <w:szCs w:val="16"/>
                <w:color w:val="auto"/>
              </w:rPr>
              <w:t>Cost of products, materials, and supplies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1,232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3,579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7,610</w:t>
            </w:r>
          </w:p>
        </w:tc>
        <w:tc>
          <w:tcPr>
            <w:tcW w:w="120" w:type="dxa"/>
            <w:vAlign w:val="bottom"/>
          </w:tcPr>
          <w:p>
            <w:pPr>
              <w:spacing w:after="0"/>
              <w:rPr>
                <w:sz w:val="16"/>
                <w:szCs w:val="16"/>
                <w:color w:val="auto"/>
              </w:rPr>
            </w:pPr>
          </w:p>
        </w:tc>
      </w:tr>
      <w:tr>
        <w:trPr>
          <w:trHeight w:val="18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654</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403</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649</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348</w:t>
            </w:r>
          </w:p>
        </w:tc>
        <w:tc>
          <w:tcPr>
            <w:tcW w:w="120" w:type="dxa"/>
            <w:vAlign w:val="bottom"/>
            <w:shd w:val="clear" w:color="auto" w:fill="CFF0FC"/>
          </w:tcPr>
          <w:p>
            <w:pPr>
              <w:spacing w:after="0"/>
              <w:rPr>
                <w:sz w:val="16"/>
                <w:szCs w:val="16"/>
                <w:color w:val="auto"/>
              </w:rPr>
            </w:pPr>
          </w:p>
        </w:tc>
      </w:tr>
      <w:tr>
        <w:trPr>
          <w:trHeight w:val="186"/>
        </w:trPr>
        <w:tc>
          <w:tcPr>
            <w:tcW w:w="5760" w:type="dxa"/>
            <w:vAlign w:val="bottom"/>
          </w:tcPr>
          <w:p>
            <w:pPr>
              <w:ind w:left="20"/>
              <w:spacing w:after="0"/>
              <w:rPr>
                <w:sz w:val="20"/>
                <w:szCs w:val="20"/>
                <w:color w:val="auto"/>
              </w:rPr>
            </w:pPr>
            <w:r>
              <w:rPr>
                <w:rFonts w:ascii="Arial" w:cs="Arial" w:eastAsia="Arial" w:hAnsi="Arial"/>
                <w:sz w:val="16"/>
                <w:szCs w:val="16"/>
                <w:color w:val="auto"/>
              </w:rPr>
              <w:t>Allocations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426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668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1,011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529</w:t>
            </w:r>
          </w:p>
        </w:tc>
        <w:tc>
          <w:tcPr>
            <w:tcW w:w="120" w:type="dxa"/>
            <w:vAlign w:val="bottom"/>
          </w:tcPr>
          <w:p>
            <w:pPr>
              <w:spacing w:after="0"/>
              <w:rPr>
                <w:sz w:val="16"/>
                <w:szCs w:val="16"/>
                <w:color w:val="auto"/>
              </w:rPr>
            </w:pPr>
          </w:p>
        </w:tc>
      </w:tr>
      <w:tr>
        <w:trPr>
          <w:trHeight w:val="186"/>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948</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1,784</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2,705</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715</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0"/>
        </w:trPr>
        <w:tc>
          <w:tcPr>
            <w:tcW w:w="576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2,839</w:t>
            </w:r>
          </w:p>
        </w:tc>
        <w:tc>
          <w:tcPr>
            <w:tcW w:w="24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5,725</w:t>
            </w:r>
          </w:p>
        </w:tc>
        <w:tc>
          <w:tcPr>
            <w:tcW w:w="24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10,531</w:t>
            </w:r>
          </w:p>
        </w:tc>
        <w:tc>
          <w:tcPr>
            <w:tcW w:w="2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10,245</w:t>
            </w:r>
          </w:p>
        </w:tc>
        <w:tc>
          <w:tcPr>
            <w:tcW w:w="120" w:type="dxa"/>
            <w:vAlign w:val="bottom"/>
          </w:tcPr>
          <w:p>
            <w:pPr>
              <w:spacing w:after="0"/>
              <w:rPr>
                <w:sz w:val="15"/>
                <w:szCs w:val="15"/>
                <w:color w:val="auto"/>
              </w:rPr>
            </w:pPr>
          </w:p>
        </w:tc>
      </w:tr>
      <w:tr>
        <w:trPr>
          <w:trHeight w:val="20"/>
        </w:trPr>
        <w:tc>
          <w:tcPr>
            <w:tcW w:w="5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0"/>
        </w:trPr>
        <w:tc>
          <w:tcPr>
            <w:tcW w:w="5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i w:val="1"/>
                <w:iCs w:val="1"/>
                <w:color w:val="auto"/>
              </w:rPr>
              <w:t>(Stated in millions)</w:t>
            </w:r>
          </w:p>
        </w:tc>
      </w:tr>
      <w:tr>
        <w:trPr>
          <w:trHeight w:val="369"/>
        </w:trPr>
        <w:tc>
          <w:tcPr>
            <w:tcW w:w="5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2023</w:t>
            </w: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6"/>
        </w:trPr>
        <w:tc>
          <w:tcPr>
            <w:tcW w:w="5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60"/>
              <w:spacing w:after="0" w:line="165" w:lineRule="exact"/>
              <w:rPr>
                <w:sz w:val="20"/>
                <w:szCs w:val="20"/>
                <w:color w:val="auto"/>
              </w:rPr>
            </w:pPr>
            <w:r>
              <w:rPr>
                <w:rFonts w:ascii="Arial" w:cs="Arial" w:eastAsia="Arial" w:hAnsi="Arial"/>
                <w:sz w:val="16"/>
                <w:szCs w:val="16"/>
                <w:color w:val="auto"/>
                <w:w w:val="97"/>
              </w:rPr>
              <w:t>Digital &amp;</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60"/>
              <w:spacing w:after="0" w:line="165" w:lineRule="exact"/>
              <w:rPr>
                <w:sz w:val="20"/>
                <w:szCs w:val="20"/>
                <w:color w:val="auto"/>
              </w:rPr>
            </w:pPr>
            <w:r>
              <w:rPr>
                <w:rFonts w:ascii="Arial" w:cs="Arial" w:eastAsia="Arial" w:hAnsi="Arial"/>
                <w:sz w:val="16"/>
                <w:szCs w:val="16"/>
                <w:color w:val="auto"/>
                <w:w w:val="99"/>
              </w:rPr>
              <w:t>Reservoir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40"/>
              <w:spacing w:after="0" w:line="165" w:lineRule="exact"/>
              <w:rPr>
                <w:sz w:val="20"/>
                <w:szCs w:val="20"/>
                <w:color w:val="auto"/>
              </w:rPr>
            </w:pPr>
            <w:r>
              <w:rPr>
                <w:rFonts w:ascii="Arial" w:cs="Arial" w:eastAsia="Arial" w:hAnsi="Arial"/>
                <w:sz w:val="16"/>
                <w:szCs w:val="16"/>
                <w:color w:val="auto"/>
                <w:w w:val="96"/>
              </w:rPr>
              <w:t>Well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60"/>
              <w:spacing w:after="0" w:line="165" w:lineRule="exact"/>
              <w:rPr>
                <w:sz w:val="20"/>
                <w:szCs w:val="20"/>
                <w:color w:val="auto"/>
              </w:rPr>
            </w:pPr>
            <w:r>
              <w:rPr>
                <w:rFonts w:ascii="Arial" w:cs="Arial" w:eastAsia="Arial" w:hAnsi="Arial"/>
                <w:sz w:val="16"/>
                <w:szCs w:val="16"/>
                <w:color w:val="auto"/>
              </w:rPr>
              <w:t>Production</w:t>
            </w:r>
          </w:p>
        </w:tc>
        <w:tc>
          <w:tcPr>
            <w:tcW w:w="120" w:type="dxa"/>
            <w:vAlign w:val="bottom"/>
          </w:tcPr>
          <w:p>
            <w:pPr>
              <w:spacing w:after="0"/>
              <w:rPr>
                <w:sz w:val="14"/>
                <w:szCs w:val="14"/>
                <w:color w:val="auto"/>
              </w:rPr>
            </w:pPr>
          </w:p>
        </w:tc>
      </w:tr>
      <w:tr>
        <w:trPr>
          <w:trHeight w:val="200"/>
        </w:trPr>
        <w:tc>
          <w:tcPr>
            <w:tcW w:w="57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color w:val="auto"/>
                <w:w w:val="97"/>
              </w:rPr>
              <w:t>Integration</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color w:val="auto"/>
                <w:w w:val="98"/>
              </w:rPr>
              <w:t>Performance</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color w:val="auto"/>
              </w:rPr>
              <w:t>Construction</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color w:val="auto"/>
              </w:rPr>
              <w:t>Systems</w:t>
            </w:r>
          </w:p>
        </w:tc>
        <w:tc>
          <w:tcPr>
            <w:tcW w:w="120" w:type="dxa"/>
            <w:vAlign w:val="bottom"/>
          </w:tcPr>
          <w:p>
            <w:pPr>
              <w:spacing w:after="0"/>
              <w:rPr>
                <w:sz w:val="17"/>
                <w:szCs w:val="17"/>
                <w:color w:val="auto"/>
              </w:rPr>
            </w:pPr>
          </w:p>
        </w:tc>
      </w:tr>
      <w:tr>
        <w:trPr>
          <w:trHeight w:val="180"/>
        </w:trPr>
        <w:tc>
          <w:tcPr>
            <w:tcW w:w="57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Compensation</w:t>
            </w:r>
          </w:p>
        </w:tc>
        <w:tc>
          <w:tcPr>
            <w:tcW w:w="1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806</w:t>
            </w:r>
          </w:p>
        </w:tc>
        <w:tc>
          <w:tcPr>
            <w:tcW w:w="34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1,501</w:t>
            </w:r>
          </w:p>
        </w:tc>
        <w:tc>
          <w:tcPr>
            <w:tcW w:w="34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2,526</w:t>
            </w:r>
          </w:p>
        </w:tc>
        <w:tc>
          <w:tcPr>
            <w:tcW w:w="36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1,104</w:t>
            </w:r>
          </w:p>
        </w:tc>
        <w:tc>
          <w:tcPr>
            <w:tcW w:w="120" w:type="dxa"/>
            <w:vAlign w:val="bottom"/>
            <w:shd w:val="clear" w:color="auto" w:fill="CFF0FC"/>
          </w:tcPr>
          <w:p>
            <w:pPr>
              <w:spacing w:after="0"/>
              <w:rPr>
                <w:sz w:val="15"/>
                <w:szCs w:val="15"/>
                <w:color w:val="auto"/>
              </w:rPr>
            </w:pPr>
          </w:p>
        </w:tc>
      </w:tr>
      <w:tr>
        <w:trPr>
          <w:trHeight w:val="186"/>
        </w:trPr>
        <w:tc>
          <w:tcPr>
            <w:tcW w:w="5760" w:type="dxa"/>
            <w:vAlign w:val="bottom"/>
          </w:tcPr>
          <w:p>
            <w:pPr>
              <w:ind w:left="20"/>
              <w:spacing w:after="0"/>
              <w:rPr>
                <w:sz w:val="20"/>
                <w:szCs w:val="20"/>
                <w:color w:val="auto"/>
              </w:rPr>
            </w:pPr>
            <w:r>
              <w:rPr>
                <w:rFonts w:ascii="Arial" w:cs="Arial" w:eastAsia="Arial" w:hAnsi="Arial"/>
                <w:sz w:val="16"/>
                <w:szCs w:val="16"/>
                <w:color w:val="auto"/>
              </w:rPr>
              <w:t>Cost of products, materials, and supplies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3,673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5,946</w:t>
            </w:r>
          </w:p>
        </w:tc>
        <w:tc>
          <w:tcPr>
            <w:tcW w:w="120" w:type="dxa"/>
            <w:vAlign w:val="bottom"/>
          </w:tcPr>
          <w:p>
            <w:pPr>
              <w:spacing w:after="0"/>
              <w:rPr>
                <w:sz w:val="16"/>
                <w:szCs w:val="16"/>
                <w:color w:val="auto"/>
              </w:rPr>
            </w:pPr>
          </w:p>
        </w:tc>
      </w:tr>
      <w:tr>
        <w:trPr>
          <w:trHeight w:val="18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587</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w:t>
            </w:r>
          </w:p>
        </w:tc>
        <w:tc>
          <w:tcPr>
            <w:tcW w:w="120" w:type="dxa"/>
            <w:vAlign w:val="bottom"/>
            <w:shd w:val="clear" w:color="auto" w:fill="CFF0FC"/>
          </w:tcPr>
          <w:p>
            <w:pPr>
              <w:spacing w:after="0"/>
              <w:rPr>
                <w:sz w:val="16"/>
                <w:szCs w:val="16"/>
                <w:color w:val="auto"/>
              </w:rPr>
            </w:pPr>
          </w:p>
        </w:tc>
      </w:tr>
      <w:tr>
        <w:trPr>
          <w:trHeight w:val="186"/>
        </w:trPr>
        <w:tc>
          <w:tcPr>
            <w:tcW w:w="5760" w:type="dxa"/>
            <w:vAlign w:val="bottom"/>
          </w:tcPr>
          <w:p>
            <w:pPr>
              <w:ind w:left="20"/>
              <w:spacing w:after="0"/>
              <w:rPr>
                <w:sz w:val="20"/>
                <w:szCs w:val="20"/>
                <w:color w:val="auto"/>
              </w:rPr>
            </w:pPr>
            <w:r>
              <w:rPr>
                <w:rFonts w:ascii="Arial" w:cs="Arial" w:eastAsia="Arial" w:hAnsi="Arial"/>
                <w:sz w:val="16"/>
                <w:szCs w:val="16"/>
                <w:color w:val="auto"/>
              </w:rPr>
              <w:t>Allocations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Pr>
          <w:p>
            <w:pPr>
              <w:spacing w:after="0"/>
              <w:rPr>
                <w:sz w:val="16"/>
                <w:szCs w:val="16"/>
                <w:color w:val="auto"/>
              </w:rPr>
            </w:pPr>
          </w:p>
        </w:tc>
      </w:tr>
      <w:tr>
        <w:trPr>
          <w:trHeight w:val="186"/>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806</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1,648</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2,817</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719</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0"/>
        </w:trPr>
        <w:tc>
          <w:tcPr>
            <w:tcW w:w="576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2,614</w:t>
            </w:r>
          </w:p>
        </w:tc>
        <w:tc>
          <w:tcPr>
            <w:tcW w:w="24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5,298</w:t>
            </w:r>
          </w:p>
        </w:tc>
        <w:tc>
          <w:tcPr>
            <w:tcW w:w="24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10,546</w:t>
            </w:r>
          </w:p>
        </w:tc>
        <w:tc>
          <w:tcPr>
            <w:tcW w:w="2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8,586</w:t>
            </w:r>
          </w:p>
        </w:tc>
        <w:tc>
          <w:tcPr>
            <w:tcW w:w="120" w:type="dxa"/>
            <w:vAlign w:val="bottom"/>
          </w:tcPr>
          <w:p>
            <w:pPr>
              <w:spacing w:after="0"/>
              <w:rPr>
                <w:sz w:val="15"/>
                <w:szCs w:val="15"/>
                <w:color w:val="auto"/>
              </w:rPr>
            </w:pPr>
          </w:p>
        </w:tc>
      </w:tr>
      <w:tr>
        <w:trPr>
          <w:trHeight w:val="20"/>
        </w:trPr>
        <w:tc>
          <w:tcPr>
            <w:tcW w:w="5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0"/>
        </w:trPr>
        <w:tc>
          <w:tcPr>
            <w:tcW w:w="5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i w:val="1"/>
                <w:iCs w:val="1"/>
                <w:color w:val="auto"/>
              </w:rPr>
              <w:t>(Stated in millions)</w:t>
            </w:r>
          </w:p>
        </w:tc>
      </w:tr>
      <w:tr>
        <w:trPr>
          <w:trHeight w:val="369"/>
        </w:trPr>
        <w:tc>
          <w:tcPr>
            <w:tcW w:w="5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2022</w:t>
            </w: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6"/>
        </w:trPr>
        <w:tc>
          <w:tcPr>
            <w:tcW w:w="5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60"/>
              <w:spacing w:after="0" w:line="165" w:lineRule="exact"/>
              <w:rPr>
                <w:sz w:val="20"/>
                <w:szCs w:val="20"/>
                <w:color w:val="auto"/>
              </w:rPr>
            </w:pPr>
            <w:r>
              <w:rPr>
                <w:rFonts w:ascii="Arial" w:cs="Arial" w:eastAsia="Arial" w:hAnsi="Arial"/>
                <w:sz w:val="16"/>
                <w:szCs w:val="16"/>
                <w:color w:val="auto"/>
                <w:w w:val="97"/>
              </w:rPr>
              <w:t>Digital &amp;</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60"/>
              <w:spacing w:after="0" w:line="165" w:lineRule="exact"/>
              <w:rPr>
                <w:sz w:val="20"/>
                <w:szCs w:val="20"/>
                <w:color w:val="auto"/>
              </w:rPr>
            </w:pPr>
            <w:r>
              <w:rPr>
                <w:rFonts w:ascii="Arial" w:cs="Arial" w:eastAsia="Arial" w:hAnsi="Arial"/>
                <w:sz w:val="16"/>
                <w:szCs w:val="16"/>
                <w:color w:val="auto"/>
                <w:w w:val="99"/>
              </w:rPr>
              <w:t>Reservoir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40"/>
              <w:spacing w:after="0" w:line="165" w:lineRule="exact"/>
              <w:rPr>
                <w:sz w:val="20"/>
                <w:szCs w:val="20"/>
                <w:color w:val="auto"/>
              </w:rPr>
            </w:pPr>
            <w:r>
              <w:rPr>
                <w:rFonts w:ascii="Arial" w:cs="Arial" w:eastAsia="Arial" w:hAnsi="Arial"/>
                <w:sz w:val="16"/>
                <w:szCs w:val="16"/>
                <w:color w:val="auto"/>
                <w:w w:val="96"/>
              </w:rPr>
              <w:t>Well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60"/>
              <w:spacing w:after="0" w:line="165" w:lineRule="exact"/>
              <w:rPr>
                <w:sz w:val="20"/>
                <w:szCs w:val="20"/>
                <w:color w:val="auto"/>
              </w:rPr>
            </w:pPr>
            <w:r>
              <w:rPr>
                <w:rFonts w:ascii="Arial" w:cs="Arial" w:eastAsia="Arial" w:hAnsi="Arial"/>
                <w:sz w:val="16"/>
                <w:szCs w:val="16"/>
                <w:color w:val="auto"/>
              </w:rPr>
              <w:t>Production</w:t>
            </w:r>
          </w:p>
        </w:tc>
        <w:tc>
          <w:tcPr>
            <w:tcW w:w="120" w:type="dxa"/>
            <w:vAlign w:val="bottom"/>
          </w:tcPr>
          <w:p>
            <w:pPr>
              <w:spacing w:after="0"/>
              <w:rPr>
                <w:sz w:val="14"/>
                <w:szCs w:val="14"/>
                <w:color w:val="auto"/>
              </w:rPr>
            </w:pPr>
          </w:p>
        </w:tc>
      </w:tr>
      <w:tr>
        <w:trPr>
          <w:trHeight w:val="200"/>
        </w:trPr>
        <w:tc>
          <w:tcPr>
            <w:tcW w:w="57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color w:val="auto"/>
                <w:w w:val="97"/>
              </w:rPr>
              <w:t>Integration</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color w:val="auto"/>
                <w:w w:val="98"/>
              </w:rPr>
              <w:t>Performance</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color w:val="auto"/>
              </w:rPr>
              <w:t>Construction</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color w:val="auto"/>
              </w:rPr>
              <w:t>Systems</w:t>
            </w:r>
          </w:p>
        </w:tc>
        <w:tc>
          <w:tcPr>
            <w:tcW w:w="120" w:type="dxa"/>
            <w:vAlign w:val="bottom"/>
          </w:tcPr>
          <w:p>
            <w:pPr>
              <w:spacing w:after="0"/>
              <w:rPr>
                <w:sz w:val="17"/>
                <w:szCs w:val="17"/>
                <w:color w:val="auto"/>
              </w:rPr>
            </w:pPr>
          </w:p>
        </w:tc>
      </w:tr>
      <w:tr>
        <w:trPr>
          <w:trHeight w:val="180"/>
        </w:trPr>
        <w:tc>
          <w:tcPr>
            <w:tcW w:w="57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Compensation</w:t>
            </w:r>
          </w:p>
        </w:tc>
        <w:tc>
          <w:tcPr>
            <w:tcW w:w="1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751</w:t>
            </w:r>
          </w:p>
        </w:tc>
        <w:tc>
          <w:tcPr>
            <w:tcW w:w="34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1,366</w:t>
            </w:r>
          </w:p>
        </w:tc>
        <w:tc>
          <w:tcPr>
            <w:tcW w:w="34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2,247</w:t>
            </w:r>
          </w:p>
        </w:tc>
        <w:tc>
          <w:tcPr>
            <w:tcW w:w="36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976</w:t>
            </w:r>
          </w:p>
        </w:tc>
        <w:tc>
          <w:tcPr>
            <w:tcW w:w="120" w:type="dxa"/>
            <w:vAlign w:val="bottom"/>
            <w:shd w:val="clear" w:color="auto" w:fill="CFF0FC"/>
          </w:tcPr>
          <w:p>
            <w:pPr>
              <w:spacing w:after="0"/>
              <w:rPr>
                <w:sz w:val="15"/>
                <w:szCs w:val="15"/>
                <w:color w:val="auto"/>
              </w:rPr>
            </w:pPr>
          </w:p>
        </w:tc>
      </w:tr>
      <w:tr>
        <w:trPr>
          <w:trHeight w:val="186"/>
        </w:trPr>
        <w:tc>
          <w:tcPr>
            <w:tcW w:w="5760" w:type="dxa"/>
            <w:vAlign w:val="bottom"/>
          </w:tcPr>
          <w:p>
            <w:pPr>
              <w:ind w:left="20"/>
              <w:spacing w:after="0"/>
              <w:rPr>
                <w:sz w:val="20"/>
                <w:szCs w:val="20"/>
                <w:color w:val="auto"/>
              </w:rPr>
            </w:pPr>
            <w:r>
              <w:rPr>
                <w:rFonts w:ascii="Arial" w:cs="Arial" w:eastAsia="Arial" w:hAnsi="Arial"/>
                <w:sz w:val="16"/>
                <w:szCs w:val="16"/>
                <w:color w:val="auto"/>
              </w:rPr>
              <w:t>Cost of products, materials, and supplies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3,273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4,732</w:t>
            </w:r>
          </w:p>
        </w:tc>
        <w:tc>
          <w:tcPr>
            <w:tcW w:w="120" w:type="dxa"/>
            <w:vAlign w:val="bottom"/>
          </w:tcPr>
          <w:p>
            <w:pPr>
              <w:spacing w:after="0"/>
              <w:rPr>
                <w:sz w:val="16"/>
                <w:szCs w:val="16"/>
                <w:color w:val="auto"/>
              </w:rPr>
            </w:pPr>
          </w:p>
        </w:tc>
      </w:tr>
      <w:tr>
        <w:trPr>
          <w:trHeight w:val="18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FF0FC"/>
          </w:tcPr>
          <w:p>
            <w:pPr>
              <w:spacing w:after="0"/>
              <w:rPr>
                <w:sz w:val="16"/>
                <w:szCs w:val="16"/>
                <w:color w:val="auto"/>
              </w:rPr>
            </w:pPr>
          </w:p>
        </w:tc>
      </w:tr>
      <w:tr>
        <w:trPr>
          <w:trHeight w:val="186"/>
        </w:trPr>
        <w:tc>
          <w:tcPr>
            <w:tcW w:w="5760" w:type="dxa"/>
            <w:vAlign w:val="bottom"/>
          </w:tcPr>
          <w:p>
            <w:pPr>
              <w:ind w:left="20"/>
              <w:spacing w:after="0"/>
              <w:rPr>
                <w:sz w:val="20"/>
                <w:szCs w:val="20"/>
                <w:color w:val="auto"/>
              </w:rPr>
            </w:pPr>
            <w:r>
              <w:rPr>
                <w:rFonts w:ascii="Arial" w:cs="Arial" w:eastAsia="Arial" w:hAnsi="Arial"/>
                <w:sz w:val="16"/>
                <w:szCs w:val="16"/>
                <w:color w:val="auto"/>
              </w:rPr>
              <w:t>Allocations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16"/>
                <w:szCs w:val="16"/>
                <w:color w:val="auto"/>
              </w:rPr>
            </w:pPr>
          </w:p>
        </w:tc>
      </w:tr>
      <w:tr>
        <w:trPr>
          <w:trHeight w:val="186"/>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707</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1,372</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2,323</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625</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0"/>
        </w:trPr>
        <w:tc>
          <w:tcPr>
            <w:tcW w:w="576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line="180" w:lineRule="exact"/>
              <w:rPr>
                <w:sz w:val="20"/>
                <w:szCs w:val="20"/>
                <w:color w:val="auto"/>
              </w:rPr>
            </w:pPr>
            <w:r>
              <w:rPr>
                <w:rFonts w:ascii="Arial" w:cs="Arial" w:eastAsia="Arial" w:hAnsi="Arial"/>
                <w:sz w:val="16"/>
                <w:szCs w:val="16"/>
                <w:color w:val="auto"/>
              </w:rPr>
              <w:t>2,368</w:t>
            </w:r>
          </w:p>
        </w:tc>
        <w:tc>
          <w:tcPr>
            <w:tcW w:w="34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4,672</w:t>
            </w:r>
          </w:p>
        </w:tc>
        <w:tc>
          <w:tcPr>
            <w:tcW w:w="34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9,195</w:t>
            </w:r>
          </w:p>
        </w:tc>
        <w:tc>
          <w:tcPr>
            <w:tcW w:w="36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80" w:lineRule="exact"/>
              <w:rPr>
                <w:sz w:val="20"/>
                <w:szCs w:val="20"/>
                <w:color w:val="auto"/>
              </w:rPr>
            </w:pPr>
            <w:r>
              <w:rPr>
                <w:rFonts w:ascii="Arial" w:cs="Arial" w:eastAsia="Arial" w:hAnsi="Arial"/>
                <w:sz w:val="16"/>
                <w:szCs w:val="16"/>
                <w:color w:val="auto"/>
              </w:rPr>
              <w:t>7,114</w:t>
            </w:r>
          </w:p>
        </w:tc>
        <w:tc>
          <w:tcPr>
            <w:tcW w:w="120" w:type="dxa"/>
            <w:vAlign w:val="bottom"/>
          </w:tcPr>
          <w:p>
            <w:pPr>
              <w:spacing w:after="0"/>
              <w:rPr>
                <w:sz w:val="15"/>
                <w:szCs w:val="15"/>
                <w:color w:val="auto"/>
              </w:rPr>
            </w:pPr>
          </w:p>
        </w:tc>
      </w:tr>
      <w:tr>
        <w:trPr>
          <w:trHeight w:val="20"/>
        </w:trPr>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4391025</wp:posOffset>
            </wp:positionH>
            <wp:positionV relativeFrom="paragraph">
              <wp:posOffset>-3110230</wp:posOffset>
            </wp:positionV>
            <wp:extent cx="6731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5278755</wp:posOffset>
            </wp:positionH>
            <wp:positionV relativeFrom="paragraph">
              <wp:posOffset>-3110230</wp:posOffset>
            </wp:positionV>
            <wp:extent cx="6731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6166485</wp:posOffset>
            </wp:positionH>
            <wp:positionV relativeFrom="paragraph">
              <wp:posOffset>-3110230</wp:posOffset>
            </wp:positionV>
            <wp:extent cx="6731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7062470</wp:posOffset>
            </wp:positionH>
            <wp:positionV relativeFrom="paragraph">
              <wp:posOffset>-3110230</wp:posOffset>
            </wp:positionV>
            <wp:extent cx="762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4391025</wp:posOffset>
            </wp:positionH>
            <wp:positionV relativeFrom="paragraph">
              <wp:posOffset>-1630680</wp:posOffset>
            </wp:positionV>
            <wp:extent cx="6731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5278755</wp:posOffset>
            </wp:positionH>
            <wp:positionV relativeFrom="paragraph">
              <wp:posOffset>-1630680</wp:posOffset>
            </wp:positionV>
            <wp:extent cx="6731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6166485</wp:posOffset>
            </wp:positionH>
            <wp:positionV relativeFrom="paragraph">
              <wp:posOffset>-1630680</wp:posOffset>
            </wp:positionV>
            <wp:extent cx="6731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7062470</wp:posOffset>
            </wp:positionH>
            <wp:positionV relativeFrom="paragraph">
              <wp:posOffset>-1630680</wp:posOffset>
            </wp:positionV>
            <wp:extent cx="7620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4391025</wp:posOffset>
            </wp:positionH>
            <wp:positionV relativeFrom="paragraph">
              <wp:posOffset>-151765</wp:posOffset>
            </wp:positionV>
            <wp:extent cx="6731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5278755</wp:posOffset>
            </wp:positionH>
            <wp:positionV relativeFrom="paragraph">
              <wp:posOffset>-151765</wp:posOffset>
            </wp:positionV>
            <wp:extent cx="6731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6166485</wp:posOffset>
            </wp:positionH>
            <wp:positionV relativeFrom="paragraph">
              <wp:posOffset>-151765</wp:posOffset>
            </wp:positionV>
            <wp:extent cx="6731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7062470</wp:posOffset>
            </wp:positionH>
            <wp:positionV relativeFrom="paragraph">
              <wp:posOffset>-151765</wp:posOffset>
            </wp:positionV>
            <wp:extent cx="7620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Other segment expenses include transportation, mobilization, lease, occupancy, professional, and other costs.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SLB's chief operating decision maker is its Chief Executive Officer who uses pretax segment income to assess the performance of each segment.</w:t>
      </w:r>
    </w:p>
    <w:p>
      <w:pPr>
        <w:spacing w:after="0" w:line="215" w:lineRule="exact"/>
        <w:rPr>
          <w:sz w:val="20"/>
          <w:szCs w:val="20"/>
          <w:color w:val="auto"/>
        </w:rPr>
      </w:pPr>
    </w:p>
    <w:p>
      <w:pPr>
        <w:ind w:left="320" w:hanging="314"/>
        <w:spacing w:after="0"/>
        <w:tabs>
          <w:tab w:leader="none" w:pos="32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Pension and Other Postretirement Benefit Plans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Plans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SLB sponsors several defined benefit pension plans that cover substantially all US employees hired prior to October 1, 2004. The benefits are based on years of service and compensation, on a career-average pay basis.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addition to the US defined benefit pension plans, SLB sponsors several other international defined benefit pension plans. The most significant of these international plans are the International Staff Pension Plan and the UK pension plan (collectively, the “International plans”). The International Staff Pension Plan covers certain international employees hired prior to July 1, 2014 and is based on years of service and compensation on a career-average pay basis. The UK plan covers employees hired prior to April 1, 1999, and is based on years of service and compensation, on a final salary basis.</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weighted-average assumed discount rate, compensation increases and expected long-term rate of return on plan assets used to determine the net pension cost for the US and International plans were as follows: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3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color w:val="auto"/>
                <w:w w:val="98"/>
              </w:rPr>
              <w:t>US</w:t>
            </w:r>
          </w:p>
        </w:tc>
        <w:tc>
          <w:tcPr>
            <w:tcW w:w="8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color w:val="auto"/>
                <w:w w:val="99"/>
              </w:rPr>
              <w:t>International</w:t>
            </w:r>
          </w:p>
        </w:tc>
        <w:tc>
          <w:tcPr>
            <w:tcW w:w="9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80"/>
        </w:trPr>
        <w:tc>
          <w:tcPr>
            <w:tcW w:w="4340" w:type="dxa"/>
            <w:vAlign w:val="bottom"/>
          </w:tcPr>
          <w:p>
            <w:pPr>
              <w:spacing w:after="0"/>
              <w:rPr>
                <w:sz w:val="15"/>
                <w:szCs w:val="15"/>
                <w:color w:val="auto"/>
              </w:rPr>
            </w:pPr>
          </w:p>
        </w:tc>
        <w:tc>
          <w:tcPr>
            <w:tcW w:w="880" w:type="dxa"/>
            <w:vAlign w:val="bottom"/>
            <w:tcBorders>
              <w:bottom w:val="single" w:sz="8" w:color="auto"/>
            </w:tcBorders>
          </w:tcPr>
          <w:p>
            <w:pPr>
              <w:jc w:val="right"/>
              <w:ind w:right="180"/>
              <w:spacing w:after="0" w:line="180" w:lineRule="exact"/>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15"/>
                <w:szCs w:val="15"/>
                <w:color w:val="auto"/>
              </w:rPr>
            </w:pPr>
          </w:p>
        </w:tc>
        <w:tc>
          <w:tcPr>
            <w:tcW w:w="880" w:type="dxa"/>
            <w:vAlign w:val="bottom"/>
            <w:tcBorders>
              <w:bottom w:val="single" w:sz="8" w:color="auto"/>
            </w:tcBorders>
          </w:tcPr>
          <w:p>
            <w:pPr>
              <w:jc w:val="right"/>
              <w:ind w:right="180"/>
              <w:spacing w:after="0" w:line="180" w:lineRule="exact"/>
              <w:rPr>
                <w:sz w:val="20"/>
                <w:szCs w:val="20"/>
                <w:color w:val="auto"/>
              </w:rPr>
            </w:pPr>
            <w:r>
              <w:rPr>
                <w:rFonts w:ascii="Arial" w:cs="Arial" w:eastAsia="Arial" w:hAnsi="Arial"/>
                <w:sz w:val="16"/>
                <w:szCs w:val="16"/>
                <w:color w:val="auto"/>
              </w:rPr>
              <w:t>2023</w:t>
            </w:r>
          </w:p>
        </w:tc>
        <w:tc>
          <w:tcPr>
            <w:tcW w:w="280" w:type="dxa"/>
            <w:vAlign w:val="bottom"/>
          </w:tcPr>
          <w:p>
            <w:pPr>
              <w:spacing w:after="0"/>
              <w:rPr>
                <w:sz w:val="15"/>
                <w:szCs w:val="15"/>
                <w:color w:val="auto"/>
              </w:rPr>
            </w:pPr>
          </w:p>
        </w:tc>
        <w:tc>
          <w:tcPr>
            <w:tcW w:w="880" w:type="dxa"/>
            <w:vAlign w:val="bottom"/>
            <w:tcBorders>
              <w:bottom w:val="single" w:sz="8" w:color="auto"/>
            </w:tcBorders>
          </w:tcPr>
          <w:p>
            <w:pPr>
              <w:jc w:val="right"/>
              <w:ind w:right="180"/>
              <w:spacing w:after="0" w:line="180" w:lineRule="exact"/>
              <w:rPr>
                <w:sz w:val="20"/>
                <w:szCs w:val="20"/>
                <w:color w:val="auto"/>
              </w:rPr>
            </w:pPr>
            <w:r>
              <w:rPr>
                <w:rFonts w:ascii="Arial" w:cs="Arial" w:eastAsia="Arial" w:hAnsi="Arial"/>
                <w:sz w:val="16"/>
                <w:szCs w:val="16"/>
                <w:color w:val="auto"/>
              </w:rPr>
              <w:t>2022</w:t>
            </w:r>
          </w:p>
        </w:tc>
        <w:tc>
          <w:tcPr>
            <w:tcW w:w="280" w:type="dxa"/>
            <w:vAlign w:val="bottom"/>
          </w:tcPr>
          <w:p>
            <w:pPr>
              <w:spacing w:after="0"/>
              <w:rPr>
                <w:sz w:val="15"/>
                <w:szCs w:val="15"/>
                <w:color w:val="auto"/>
              </w:rPr>
            </w:pPr>
          </w:p>
        </w:tc>
        <w:tc>
          <w:tcPr>
            <w:tcW w:w="880" w:type="dxa"/>
            <w:vAlign w:val="bottom"/>
            <w:tcBorders>
              <w:bottom w:val="single" w:sz="8" w:color="auto"/>
            </w:tcBorders>
          </w:tcPr>
          <w:p>
            <w:pPr>
              <w:jc w:val="right"/>
              <w:ind w:right="180"/>
              <w:spacing w:after="0" w:line="180" w:lineRule="exact"/>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15"/>
                <w:szCs w:val="15"/>
                <w:color w:val="auto"/>
              </w:rPr>
            </w:pPr>
          </w:p>
        </w:tc>
        <w:tc>
          <w:tcPr>
            <w:tcW w:w="880" w:type="dxa"/>
            <w:vAlign w:val="bottom"/>
            <w:tcBorders>
              <w:bottom w:val="single" w:sz="8" w:color="auto"/>
            </w:tcBorders>
          </w:tcPr>
          <w:p>
            <w:pPr>
              <w:jc w:val="right"/>
              <w:ind w:right="200"/>
              <w:spacing w:after="0" w:line="180" w:lineRule="exact"/>
              <w:rPr>
                <w:sz w:val="20"/>
                <w:szCs w:val="20"/>
                <w:color w:val="auto"/>
              </w:rPr>
            </w:pPr>
            <w:r>
              <w:rPr>
                <w:rFonts w:ascii="Arial" w:cs="Arial" w:eastAsia="Arial" w:hAnsi="Arial"/>
                <w:sz w:val="16"/>
                <w:szCs w:val="16"/>
                <w:color w:val="auto"/>
              </w:rPr>
              <w:t>2023</w:t>
            </w:r>
          </w:p>
        </w:tc>
        <w:tc>
          <w:tcPr>
            <w:tcW w:w="280" w:type="dxa"/>
            <w:vAlign w:val="bottom"/>
          </w:tcPr>
          <w:p>
            <w:pPr>
              <w:spacing w:after="0"/>
              <w:rPr>
                <w:sz w:val="15"/>
                <w:szCs w:val="15"/>
                <w:color w:val="auto"/>
              </w:rPr>
            </w:pPr>
          </w:p>
        </w:tc>
        <w:tc>
          <w:tcPr>
            <w:tcW w:w="920" w:type="dxa"/>
            <w:vAlign w:val="bottom"/>
            <w:tcBorders>
              <w:bottom w:val="single" w:sz="8" w:color="auto"/>
            </w:tcBorders>
          </w:tcPr>
          <w:p>
            <w:pPr>
              <w:jc w:val="right"/>
              <w:ind w:right="200"/>
              <w:spacing w:after="0" w:line="180" w:lineRule="exact"/>
              <w:rPr>
                <w:sz w:val="20"/>
                <w:szCs w:val="20"/>
                <w:color w:val="auto"/>
              </w:rPr>
            </w:pPr>
            <w:r>
              <w:rPr>
                <w:rFonts w:ascii="Arial" w:cs="Arial" w:eastAsia="Arial" w:hAnsi="Arial"/>
                <w:sz w:val="16"/>
                <w:szCs w:val="16"/>
                <w:color w:val="auto"/>
              </w:rPr>
              <w:t>2022</w:t>
            </w:r>
          </w:p>
        </w:tc>
        <w:tc>
          <w:tcPr>
            <w:tcW w:w="180" w:type="dxa"/>
            <w:vAlign w:val="bottom"/>
          </w:tcPr>
          <w:p>
            <w:pPr>
              <w:spacing w:after="0"/>
              <w:rPr>
                <w:sz w:val="15"/>
                <w:szCs w:val="15"/>
                <w:color w:val="auto"/>
              </w:rPr>
            </w:pPr>
          </w:p>
        </w:tc>
      </w:tr>
      <w:tr>
        <w:trPr>
          <w:trHeight w:val="180"/>
        </w:trPr>
        <w:tc>
          <w:tcPr>
            <w:tcW w:w="434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Discount rate</w:t>
            </w:r>
          </w:p>
        </w:tc>
        <w:tc>
          <w:tcPr>
            <w:tcW w:w="1160" w:type="dxa"/>
            <w:vAlign w:val="bottom"/>
            <w:gridSpan w:val="2"/>
            <w:shd w:val="clear" w:color="auto" w:fill="CFF0FC"/>
          </w:tcPr>
          <w:p>
            <w:pPr>
              <w:jc w:val="right"/>
              <w:ind w:right="120"/>
              <w:spacing w:after="0" w:line="180" w:lineRule="exact"/>
              <w:rPr>
                <w:sz w:val="20"/>
                <w:szCs w:val="20"/>
                <w:color w:val="auto"/>
              </w:rPr>
            </w:pPr>
            <w:r>
              <w:rPr>
                <w:rFonts w:ascii="Arial" w:cs="Arial" w:eastAsia="Arial" w:hAnsi="Arial"/>
                <w:sz w:val="16"/>
                <w:szCs w:val="16"/>
                <w:b w:val="1"/>
                <w:bCs w:val="1"/>
                <w:color w:val="auto"/>
              </w:rPr>
              <w:t>5.25 %</w:t>
            </w:r>
          </w:p>
        </w:tc>
        <w:tc>
          <w:tcPr>
            <w:tcW w:w="1160" w:type="dxa"/>
            <w:vAlign w:val="bottom"/>
            <w:gridSpan w:val="2"/>
            <w:shd w:val="clear" w:color="auto" w:fill="CFF0FC"/>
          </w:tcPr>
          <w:p>
            <w:pPr>
              <w:jc w:val="right"/>
              <w:ind w:right="120"/>
              <w:spacing w:after="0" w:line="180" w:lineRule="exact"/>
              <w:rPr>
                <w:sz w:val="20"/>
                <w:szCs w:val="20"/>
                <w:color w:val="auto"/>
              </w:rPr>
            </w:pPr>
            <w:r>
              <w:rPr>
                <w:rFonts w:ascii="Arial" w:cs="Arial" w:eastAsia="Arial" w:hAnsi="Arial"/>
                <w:sz w:val="16"/>
                <w:szCs w:val="16"/>
                <w:color w:val="auto"/>
              </w:rPr>
              <w:t>5.50 %</w:t>
            </w:r>
          </w:p>
        </w:tc>
        <w:tc>
          <w:tcPr>
            <w:tcW w:w="1160" w:type="dxa"/>
            <w:vAlign w:val="bottom"/>
            <w:gridSpan w:val="2"/>
            <w:shd w:val="clear" w:color="auto" w:fill="CFF0FC"/>
          </w:tcPr>
          <w:p>
            <w:pPr>
              <w:jc w:val="right"/>
              <w:ind w:right="120"/>
              <w:spacing w:after="0" w:line="180" w:lineRule="exact"/>
              <w:rPr>
                <w:sz w:val="20"/>
                <w:szCs w:val="20"/>
                <w:color w:val="auto"/>
              </w:rPr>
            </w:pPr>
            <w:r>
              <w:rPr>
                <w:rFonts w:ascii="Arial" w:cs="Arial" w:eastAsia="Arial" w:hAnsi="Arial"/>
                <w:sz w:val="16"/>
                <w:szCs w:val="16"/>
                <w:color w:val="auto"/>
              </w:rPr>
              <w:t>3.00 %</w:t>
            </w:r>
          </w:p>
        </w:tc>
        <w:tc>
          <w:tcPr>
            <w:tcW w:w="1160" w:type="dxa"/>
            <w:vAlign w:val="bottom"/>
            <w:gridSpan w:val="2"/>
            <w:shd w:val="clear" w:color="auto" w:fill="CFF0FC"/>
          </w:tcPr>
          <w:p>
            <w:pPr>
              <w:jc w:val="right"/>
              <w:ind w:right="120"/>
              <w:spacing w:after="0" w:line="180" w:lineRule="exact"/>
              <w:rPr>
                <w:sz w:val="20"/>
                <w:szCs w:val="20"/>
                <w:color w:val="auto"/>
              </w:rPr>
            </w:pPr>
            <w:r>
              <w:rPr>
                <w:rFonts w:ascii="Arial" w:cs="Arial" w:eastAsia="Arial" w:hAnsi="Arial"/>
                <w:sz w:val="16"/>
                <w:szCs w:val="16"/>
                <w:b w:val="1"/>
                <w:bCs w:val="1"/>
                <w:color w:val="auto"/>
              </w:rPr>
              <w:t>5.14 %</w:t>
            </w:r>
          </w:p>
        </w:tc>
        <w:tc>
          <w:tcPr>
            <w:tcW w:w="1160" w:type="dxa"/>
            <w:vAlign w:val="bottom"/>
            <w:gridSpan w:val="2"/>
            <w:shd w:val="clear" w:color="auto" w:fill="CFF0FC"/>
          </w:tcPr>
          <w:p>
            <w:pPr>
              <w:jc w:val="right"/>
              <w:ind w:right="120"/>
              <w:spacing w:after="0" w:line="180" w:lineRule="exact"/>
              <w:rPr>
                <w:sz w:val="20"/>
                <w:szCs w:val="20"/>
                <w:color w:val="auto"/>
              </w:rPr>
            </w:pPr>
            <w:r>
              <w:rPr>
                <w:rFonts w:ascii="Arial" w:cs="Arial" w:eastAsia="Arial" w:hAnsi="Arial"/>
                <w:sz w:val="16"/>
                <w:szCs w:val="16"/>
                <w:color w:val="auto"/>
              </w:rPr>
              <w:t>5.41 %</w:t>
            </w:r>
          </w:p>
        </w:tc>
        <w:tc>
          <w:tcPr>
            <w:tcW w:w="110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2.83 %</w:t>
            </w:r>
          </w:p>
        </w:tc>
      </w:tr>
      <w:tr>
        <w:trPr>
          <w:trHeight w:val="186"/>
        </w:trPr>
        <w:tc>
          <w:tcPr>
            <w:tcW w:w="4340" w:type="dxa"/>
            <w:vAlign w:val="bottom"/>
          </w:tcPr>
          <w:p>
            <w:pPr>
              <w:ind w:left="20"/>
              <w:spacing w:after="0"/>
              <w:rPr>
                <w:sz w:val="20"/>
                <w:szCs w:val="20"/>
                <w:color w:val="auto"/>
              </w:rPr>
            </w:pPr>
            <w:r>
              <w:rPr>
                <w:rFonts w:ascii="Arial" w:cs="Arial" w:eastAsia="Arial" w:hAnsi="Arial"/>
                <w:sz w:val="16"/>
                <w:szCs w:val="16"/>
                <w:color w:val="auto"/>
              </w:rPr>
              <w:t>Compensation increases</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4.00 %</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4.00 %</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4.00 %</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4.84 %</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4.84 %</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4.83 %</w:t>
            </w:r>
          </w:p>
        </w:tc>
      </w:tr>
      <w:tr>
        <w:trPr>
          <w:trHeight w:val="186"/>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Return on plan assets</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6.00 %</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6.00 %</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4.40 %</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5.91 %</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6.00 %</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5.05 %</w:t>
            </w:r>
          </w:p>
        </w:tc>
      </w:tr>
      <w:tr>
        <w:trPr>
          <w:trHeight w:val="622"/>
        </w:trPr>
        <w:tc>
          <w:tcPr>
            <w:tcW w:w="4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580"/>
              <w:spacing w:after="0"/>
              <w:rPr>
                <w:sz w:val="20"/>
                <w:szCs w:val="20"/>
                <w:color w:val="auto"/>
              </w:rPr>
            </w:pPr>
            <w:r>
              <w:rPr>
                <w:rFonts w:ascii="Arial" w:cs="Arial" w:eastAsia="Arial" w:hAnsi="Arial"/>
                <w:sz w:val="16"/>
                <w:szCs w:val="16"/>
                <w:color w:val="auto"/>
              </w:rPr>
              <w:t>52</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42"/>
        </w:trPr>
        <w:tc>
          <w:tcPr>
            <w:tcW w:w="43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Net pension cost (credit) included the following components: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jc w:val="right"/>
              <w:ind w:right="60"/>
              <w:spacing w:after="0"/>
              <w:rPr>
                <w:sz w:val="20"/>
                <w:szCs w:val="20"/>
                <w:color w:val="auto"/>
              </w:rPr>
            </w:pPr>
            <w:r>
              <w:rPr>
                <w:rFonts w:ascii="Arial" w:cs="Arial" w:eastAsia="Arial" w:hAnsi="Arial"/>
                <w:sz w:val="14"/>
                <w:szCs w:val="14"/>
                <w:i w:val="1"/>
                <w:iCs w:val="1"/>
                <w:color w:val="auto"/>
              </w:rPr>
              <w:t>(Stated in millions)</w:t>
            </w:r>
          </w:p>
        </w:tc>
      </w:tr>
      <w:tr>
        <w:trPr>
          <w:trHeight w:val="355"/>
        </w:trPr>
        <w:tc>
          <w:tcPr>
            <w:tcW w:w="4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6"/>
                <w:szCs w:val="16"/>
                <w:color w:val="auto"/>
              </w:rPr>
              <w:t>US</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International</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0"/>
        </w:trPr>
        <w:tc>
          <w:tcPr>
            <w:tcW w:w="4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0"/>
              <w:spacing w:after="0" w:line="180" w:lineRule="exact"/>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0"/>
              <w:spacing w:after="0" w:line="180" w:lineRule="exact"/>
              <w:rPr>
                <w:sz w:val="20"/>
                <w:szCs w:val="20"/>
                <w:color w:val="auto"/>
              </w:rPr>
            </w:pPr>
            <w:r>
              <w:rPr>
                <w:rFonts w:ascii="Arial" w:cs="Arial" w:eastAsia="Arial" w:hAnsi="Arial"/>
                <w:sz w:val="16"/>
                <w:szCs w:val="16"/>
                <w:color w:val="auto"/>
              </w:rPr>
              <w:t>2023</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0"/>
              <w:spacing w:after="0" w:line="180" w:lineRule="exact"/>
              <w:rPr>
                <w:sz w:val="20"/>
                <w:szCs w:val="20"/>
                <w:color w:val="auto"/>
              </w:rPr>
            </w:pPr>
            <w:r>
              <w:rPr>
                <w:rFonts w:ascii="Arial" w:cs="Arial" w:eastAsia="Arial" w:hAnsi="Arial"/>
                <w:sz w:val="16"/>
                <w:szCs w:val="16"/>
                <w:color w:val="auto"/>
              </w:rPr>
              <w:t>2022</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0"/>
              <w:spacing w:after="0" w:line="180" w:lineRule="exact"/>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1"/>
              <w:spacing w:after="0" w:line="180" w:lineRule="exact"/>
              <w:rPr>
                <w:sz w:val="20"/>
                <w:szCs w:val="20"/>
                <w:color w:val="auto"/>
              </w:rPr>
            </w:pPr>
            <w:r>
              <w:rPr>
                <w:rFonts w:ascii="Arial" w:cs="Arial" w:eastAsia="Arial" w:hAnsi="Arial"/>
                <w:sz w:val="16"/>
                <w:szCs w:val="16"/>
                <w:color w:val="auto"/>
              </w:rPr>
              <w:t>2023</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0"/>
              <w:spacing w:after="0" w:line="180" w:lineRule="exact"/>
              <w:rPr>
                <w:sz w:val="20"/>
                <w:szCs w:val="20"/>
                <w:color w:val="auto"/>
              </w:rPr>
            </w:pPr>
            <w:r>
              <w:rPr>
                <w:rFonts w:ascii="Arial" w:cs="Arial" w:eastAsia="Arial" w:hAnsi="Arial"/>
                <w:sz w:val="16"/>
                <w:szCs w:val="16"/>
                <w:color w:val="auto"/>
              </w:rPr>
              <w:t>2022</w:t>
            </w:r>
          </w:p>
        </w:tc>
        <w:tc>
          <w:tcPr>
            <w:tcW w:w="100" w:type="dxa"/>
            <w:vAlign w:val="bottom"/>
          </w:tcPr>
          <w:p>
            <w:pPr>
              <w:spacing w:after="0"/>
              <w:rPr>
                <w:sz w:val="15"/>
                <w:szCs w:val="15"/>
                <w:color w:val="auto"/>
              </w:rPr>
            </w:pPr>
          </w:p>
        </w:tc>
      </w:tr>
      <w:tr>
        <w:trPr>
          <w:trHeight w:val="180"/>
        </w:trPr>
        <w:tc>
          <w:tcPr>
            <w:tcW w:w="458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Service cost</w:t>
            </w:r>
          </w:p>
        </w:tc>
        <w:tc>
          <w:tcPr>
            <w:tcW w:w="200" w:type="dxa"/>
            <w:vAlign w:val="bottom"/>
            <w:shd w:val="clear" w:color="auto" w:fill="CFF0FC"/>
          </w:tcPr>
          <w:p>
            <w:pPr>
              <w:jc w:val="right"/>
              <w:ind w:right="20"/>
              <w:spacing w:after="0" w:line="180" w:lineRule="exact"/>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23</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23</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37</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7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56</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54</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101</w:t>
            </w:r>
          </w:p>
        </w:tc>
        <w:tc>
          <w:tcPr>
            <w:tcW w:w="100" w:type="dxa"/>
            <w:vAlign w:val="bottom"/>
            <w:shd w:val="clear" w:color="auto" w:fill="CFF0FC"/>
          </w:tcPr>
          <w:p>
            <w:pPr>
              <w:spacing w:after="0"/>
              <w:rPr>
                <w:sz w:val="15"/>
                <w:szCs w:val="15"/>
                <w:color w:val="auto"/>
              </w:rPr>
            </w:pPr>
          </w:p>
        </w:tc>
      </w:tr>
      <w:tr>
        <w:trPr>
          <w:trHeight w:val="186"/>
        </w:trPr>
        <w:tc>
          <w:tcPr>
            <w:tcW w:w="45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173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413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6"/>
                <w:szCs w:val="16"/>
                <w:color w:val="auto"/>
              </w:rPr>
            </w:pPr>
          </w:p>
        </w:tc>
      </w:tr>
      <w:tr>
        <w:trPr>
          <w:trHeight w:val="186"/>
        </w:trPr>
        <w:tc>
          <w:tcPr>
            <w:tcW w:w="4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return on plan assets</w:t>
            </w: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(200 )</w:t>
            </w:r>
          </w:p>
        </w:tc>
        <w:tc>
          <w:tcPr>
            <w:tcW w:w="18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(198 )</w:t>
            </w:r>
          </w:p>
        </w:tc>
        <w:tc>
          <w:tcPr>
            <w:tcW w:w="18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(202 )</w:t>
            </w:r>
          </w:p>
        </w:tc>
        <w:tc>
          <w:tcPr>
            <w:tcW w:w="18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(553 )</w:t>
            </w: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(607 )</w:t>
            </w:r>
          </w:p>
        </w:tc>
        <w:tc>
          <w:tcPr>
            <w:tcW w:w="2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(530 )</w:t>
            </w:r>
          </w:p>
        </w:tc>
      </w:tr>
      <w:tr>
        <w:trPr>
          <w:trHeight w:val="186"/>
        </w:trPr>
        <w:tc>
          <w:tcPr>
            <w:tcW w:w="458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Amortization of net loss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2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FF0FC"/>
            </w:tcBorders>
          </w:tcPr>
          <w:p>
            <w:pPr>
              <w:spacing w:after="0"/>
              <w:rPr>
                <w:sz w:val="16"/>
                <w:szCs w:val="16"/>
                <w:color w:val="auto"/>
              </w:rPr>
            </w:pPr>
          </w:p>
        </w:tc>
      </w:tr>
      <w:tr>
        <w:trPr>
          <w:trHeight w:val="220"/>
        </w:trPr>
        <w:tc>
          <w:tcPr>
            <w:tcW w:w="45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20"/>
              <w:spacing w:after="0" w:line="180" w:lineRule="exact"/>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(4</w:t>
            </w:r>
          </w:p>
        </w:tc>
        <w:tc>
          <w:tcPr>
            <w:tcW w:w="240" w:type="dxa"/>
            <w:vAlign w:val="bottom"/>
            <w:tcBorders>
              <w:bottom w:val="single" w:sz="8" w:color="CFF0FC"/>
            </w:tcBorders>
            <w:shd w:val="clear" w:color="auto" w:fill="CFF0FC"/>
          </w:tcPr>
          <w:p>
            <w:pPr>
              <w:jc w:val="right"/>
              <w:ind w:right="100"/>
              <w:spacing w:after="0" w:line="180" w:lineRule="exact"/>
              <w:rPr>
                <w:sz w:val="20"/>
                <w:szCs w:val="20"/>
                <w:color w:val="auto"/>
              </w:rPr>
            </w:pPr>
            <w:r>
              <w:rPr>
                <w:rFonts w:ascii="Arial" w:cs="Arial" w:eastAsia="Arial" w:hAnsi="Arial"/>
                <w:sz w:val="16"/>
                <w:szCs w:val="16"/>
                <w:b w:val="1"/>
                <w:bCs w:val="1"/>
                <w:color w:val="auto"/>
                <w:w w:val="74"/>
              </w:rPr>
              <w:t>)</w:t>
            </w:r>
          </w:p>
        </w:tc>
        <w:tc>
          <w:tcPr>
            <w:tcW w:w="18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3</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(23</w:t>
            </w:r>
          </w:p>
        </w:tc>
        <w:tc>
          <w:tcPr>
            <w:tcW w:w="220" w:type="dxa"/>
            <w:vAlign w:val="bottom"/>
            <w:tcBorders>
              <w:bottom w:val="single" w:sz="8" w:color="CFF0FC"/>
            </w:tcBorders>
            <w:shd w:val="clear" w:color="auto" w:fill="CFF0FC"/>
          </w:tcPr>
          <w:p>
            <w:pPr>
              <w:jc w:val="right"/>
              <w:ind w:right="80"/>
              <w:spacing w:after="0" w:line="180" w:lineRule="exact"/>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(74</w:t>
            </w:r>
          </w:p>
        </w:tc>
        <w:tc>
          <w:tcPr>
            <w:tcW w:w="220" w:type="dxa"/>
            <w:vAlign w:val="bottom"/>
            <w:tcBorders>
              <w:bottom w:val="single" w:sz="8" w:color="CFF0FC"/>
            </w:tcBorders>
            <w:shd w:val="clear" w:color="auto" w:fill="CFF0FC"/>
          </w:tcPr>
          <w:p>
            <w:pPr>
              <w:jc w:val="right"/>
              <w:ind w:right="80"/>
              <w:spacing w:after="0" w:line="180" w:lineRule="exact"/>
              <w:rPr>
                <w:sz w:val="20"/>
                <w:szCs w:val="20"/>
                <w:color w:val="auto"/>
              </w:rPr>
            </w:pPr>
            <w:r>
              <w:rPr>
                <w:rFonts w:ascii="Arial" w:cs="Arial" w:eastAsia="Arial" w:hAnsi="Arial"/>
                <w:sz w:val="16"/>
                <w:szCs w:val="16"/>
                <w:b w:val="1"/>
                <w:bCs w:val="1"/>
                <w:color w:val="auto"/>
                <w:w w:val="74"/>
              </w:rPr>
              <w:t>)</w:t>
            </w:r>
          </w:p>
        </w:tc>
        <w:tc>
          <w:tcPr>
            <w:tcW w:w="180" w:type="dxa"/>
            <w:vAlign w:val="bottom"/>
            <w:tcBorders>
              <w:bottom w:val="single" w:sz="8" w:color="auto"/>
            </w:tcBorders>
            <w:shd w:val="clear" w:color="auto" w:fill="CFF0FC"/>
          </w:tcPr>
          <w:p>
            <w:pPr>
              <w:spacing w:after="0" w:line="180"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(146</w:t>
            </w:r>
          </w:p>
        </w:tc>
        <w:tc>
          <w:tcPr>
            <w:tcW w:w="200" w:type="dxa"/>
            <w:vAlign w:val="bottom"/>
            <w:tcBorders>
              <w:bottom w:val="single" w:sz="8" w:color="CFF0FC"/>
            </w:tcBorders>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(51</w:t>
            </w:r>
          </w:p>
        </w:tc>
        <w:tc>
          <w:tcPr>
            <w:tcW w:w="100" w:type="dxa"/>
            <w:vAlign w:val="bottom"/>
            <w:tcBorders>
              <w:bottom w:val="single" w:sz="8" w:color="CFF0FC"/>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-24765</wp:posOffset>
            </wp:positionV>
            <wp:extent cx="7620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-7620</wp:posOffset>
            </wp:positionV>
            <wp:extent cx="7620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-151765</wp:posOffset>
            </wp:positionV>
            <wp:extent cx="7620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4230370</wp:posOffset>
            </wp:positionH>
            <wp:positionV relativeFrom="paragraph">
              <wp:posOffset>-24765</wp:posOffset>
            </wp:positionV>
            <wp:extent cx="6731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4230370</wp:posOffset>
            </wp:positionH>
            <wp:positionV relativeFrom="paragraph">
              <wp:posOffset>-7620</wp:posOffset>
            </wp:positionV>
            <wp:extent cx="6731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4230370</wp:posOffset>
            </wp:positionH>
            <wp:positionV relativeFrom="paragraph">
              <wp:posOffset>-151765</wp:posOffset>
            </wp:positionV>
            <wp:extent cx="6731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-24765</wp:posOffset>
            </wp:positionV>
            <wp:extent cx="6731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-7620</wp:posOffset>
            </wp:positionV>
            <wp:extent cx="6731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-151765</wp:posOffset>
            </wp:positionV>
            <wp:extent cx="6731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5650865</wp:posOffset>
            </wp:positionH>
            <wp:positionV relativeFrom="paragraph">
              <wp:posOffset>-24765</wp:posOffset>
            </wp:positionV>
            <wp:extent cx="6731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5650865</wp:posOffset>
            </wp:positionH>
            <wp:positionV relativeFrom="paragraph">
              <wp:posOffset>-7620</wp:posOffset>
            </wp:positionV>
            <wp:extent cx="6731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5650865</wp:posOffset>
            </wp:positionH>
            <wp:positionV relativeFrom="paragraph">
              <wp:posOffset>-151765</wp:posOffset>
            </wp:positionV>
            <wp:extent cx="6731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-24765</wp:posOffset>
            </wp:positionV>
            <wp:extent cx="6731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-7620</wp:posOffset>
            </wp:positionV>
            <wp:extent cx="6731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-151765</wp:posOffset>
            </wp:positionV>
            <wp:extent cx="6731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-24765</wp:posOffset>
            </wp:positionV>
            <wp:extent cx="6731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-7620</wp:posOffset>
            </wp:positionV>
            <wp:extent cx="6731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-151765</wp:posOffset>
            </wp:positionV>
            <wp:extent cx="6731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179"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color w:val="auto"/>
        </w:rPr>
        <w:t>The weighted-average assumed discount rate and compensation increases used to determine the projected benefit obligations for the US and International plans were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US</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International</w:t>
            </w:r>
          </w:p>
        </w:tc>
        <w:tc>
          <w:tcPr>
            <w:tcW w:w="7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0"/>
        </w:trPr>
        <w:tc>
          <w:tcPr>
            <w:tcW w:w="55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20"/>
              <w:spacing w:after="0" w:line="180" w:lineRule="exact"/>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0"/>
              <w:spacing w:after="0" w:line="180" w:lineRule="exact"/>
              <w:rPr>
                <w:sz w:val="20"/>
                <w:szCs w:val="20"/>
                <w:color w:val="auto"/>
              </w:rPr>
            </w:pPr>
            <w:r>
              <w:rPr>
                <w:rFonts w:ascii="Arial" w:cs="Arial" w:eastAsia="Arial" w:hAnsi="Arial"/>
                <w:sz w:val="16"/>
                <w:szCs w:val="16"/>
                <w:color w:val="auto"/>
              </w:rPr>
              <w:t>2023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0"/>
              <w:spacing w:after="0" w:line="180"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40"/>
              <w:spacing w:after="0" w:line="180" w:lineRule="exact"/>
              <w:rPr>
                <w:sz w:val="20"/>
                <w:szCs w:val="20"/>
                <w:color w:val="auto"/>
              </w:rPr>
            </w:pPr>
            <w:r>
              <w:rPr>
                <w:rFonts w:ascii="Arial" w:cs="Arial" w:eastAsia="Arial" w:hAnsi="Arial"/>
                <w:sz w:val="16"/>
                <w:szCs w:val="16"/>
                <w:color w:val="auto"/>
                <w:w w:val="95"/>
              </w:rPr>
              <w:t>2023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558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Discount rate</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5.70 %</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gridSpan w:val="3"/>
            <w:shd w:val="clear" w:color="auto" w:fill="CFF0FC"/>
          </w:tcPr>
          <w:p>
            <w:pPr>
              <w:jc w:val="right"/>
              <w:ind w:right="120"/>
              <w:spacing w:after="0" w:line="180" w:lineRule="exact"/>
              <w:rPr>
                <w:sz w:val="20"/>
                <w:szCs w:val="20"/>
                <w:color w:val="auto"/>
              </w:rPr>
            </w:pPr>
            <w:r>
              <w:rPr>
                <w:rFonts w:ascii="Arial" w:cs="Arial" w:eastAsia="Arial" w:hAnsi="Arial"/>
                <w:sz w:val="16"/>
                <w:szCs w:val="16"/>
                <w:color w:val="auto"/>
              </w:rPr>
              <w:t>5.25 %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120"/>
              <w:spacing w:after="0" w:line="180" w:lineRule="exact"/>
              <w:rPr>
                <w:sz w:val="20"/>
                <w:szCs w:val="20"/>
                <w:color w:val="auto"/>
              </w:rPr>
            </w:pPr>
            <w:r>
              <w:rPr>
                <w:rFonts w:ascii="Arial" w:cs="Arial" w:eastAsia="Arial" w:hAnsi="Arial"/>
                <w:sz w:val="16"/>
                <w:szCs w:val="16"/>
                <w:b w:val="1"/>
                <w:bCs w:val="1"/>
                <w:color w:val="auto"/>
              </w:rPr>
              <w:t>5.67 %</w:t>
            </w: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60" w:type="dxa"/>
            <w:vAlign w:val="bottom"/>
            <w:gridSpan w:val="3"/>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5.14 %</w:t>
            </w:r>
          </w:p>
        </w:tc>
      </w:tr>
      <w:tr>
        <w:trPr>
          <w:trHeight w:val="219"/>
        </w:trPr>
        <w:tc>
          <w:tcPr>
            <w:tcW w:w="5580" w:type="dxa"/>
            <w:vAlign w:val="bottom"/>
          </w:tcPr>
          <w:p>
            <w:pPr>
              <w:ind w:left="20"/>
              <w:spacing w:after="0"/>
              <w:rPr>
                <w:sz w:val="20"/>
                <w:szCs w:val="20"/>
                <w:color w:val="auto"/>
              </w:rPr>
            </w:pPr>
            <w:r>
              <w:rPr>
                <w:rFonts w:ascii="Arial" w:cs="Arial" w:eastAsia="Arial" w:hAnsi="Arial"/>
                <w:sz w:val="16"/>
                <w:szCs w:val="16"/>
                <w:color w:val="auto"/>
              </w:rPr>
              <w:t>Compensation increases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4.00 %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6"/>
                <w:szCs w:val="16"/>
                <w:color w:val="auto"/>
              </w:rPr>
              <w:t>4.00 %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4.85 %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4.84 %</w:t>
            </w:r>
          </w:p>
        </w:tc>
      </w:tr>
      <w:tr>
        <w:trPr>
          <w:trHeight w:val="391"/>
        </w:trPr>
        <w:tc>
          <w:tcPr>
            <w:tcW w:w="8440" w:type="dxa"/>
            <w:vAlign w:val="bottom"/>
            <w:gridSpan w:val="11"/>
          </w:tcPr>
          <w:p>
            <w:pPr>
              <w:spacing w:after="0"/>
              <w:rPr>
                <w:sz w:val="20"/>
                <w:szCs w:val="20"/>
                <w:color w:val="auto"/>
              </w:rPr>
            </w:pPr>
            <w:r>
              <w:rPr>
                <w:rFonts w:ascii="Arial" w:cs="Arial" w:eastAsia="Arial" w:hAnsi="Arial"/>
                <w:sz w:val="16"/>
                <w:szCs w:val="16"/>
                <w:color w:val="auto"/>
              </w:rPr>
              <w:t>The changes in the projected benefit obligation, plan assets and funded status of the plans were as follows: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3"/>
        </w:trPr>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5"/>
          </w:tcPr>
          <w:p>
            <w:pPr>
              <w:jc w:val="center"/>
              <w:ind w:right="80"/>
              <w:spacing w:after="0"/>
              <w:rPr>
                <w:sz w:val="20"/>
                <w:szCs w:val="20"/>
                <w:color w:val="auto"/>
              </w:rPr>
            </w:pPr>
            <w:r>
              <w:rPr>
                <w:rFonts w:ascii="Arial" w:cs="Arial" w:eastAsia="Arial" w:hAnsi="Arial"/>
                <w:sz w:val="14"/>
                <w:szCs w:val="14"/>
                <w:i w:val="1"/>
                <w:iCs w:val="1"/>
                <w:color w:val="auto"/>
              </w:rPr>
              <w:t>(Stated in millions)</w:t>
            </w:r>
          </w:p>
        </w:tc>
      </w:tr>
      <w:tr>
        <w:trPr>
          <w:trHeight w:val="355"/>
        </w:trPr>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8"/>
              </w:rPr>
              <w:t>US</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International</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0"/>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40"/>
              <w:spacing w:after="0" w:line="180" w:lineRule="exact"/>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80"/>
              <w:spacing w:after="0" w:line="180" w:lineRule="exact"/>
              <w:rPr>
                <w:sz w:val="20"/>
                <w:szCs w:val="20"/>
                <w:color w:val="auto"/>
              </w:rPr>
            </w:pPr>
            <w:r>
              <w:rPr>
                <w:rFonts w:ascii="Arial" w:cs="Arial" w:eastAsia="Arial" w:hAnsi="Arial"/>
                <w:sz w:val="16"/>
                <w:szCs w:val="16"/>
                <w:color w:val="auto"/>
              </w:rPr>
              <w:t>2023</w:t>
            </w:r>
          </w:p>
        </w:tc>
        <w:tc>
          <w:tcPr>
            <w:tcW w:w="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20"/>
              <w:spacing w:after="0" w:line="180" w:lineRule="exact"/>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0"/>
              <w:spacing w:after="0" w:line="180" w:lineRule="exact"/>
              <w:rPr>
                <w:sz w:val="20"/>
                <w:szCs w:val="20"/>
                <w:color w:val="auto"/>
              </w:rPr>
            </w:pPr>
            <w:r>
              <w:rPr>
                <w:rFonts w:ascii="Arial" w:cs="Arial" w:eastAsia="Arial" w:hAnsi="Arial"/>
                <w:sz w:val="16"/>
                <w:szCs w:val="16"/>
                <w:color w:val="auto"/>
              </w:rPr>
              <w:t>2023</w:t>
            </w: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558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b w:val="1"/>
                <w:bCs w:val="1"/>
                <w:i w:val="1"/>
                <w:iCs w:val="1"/>
                <w:color w:val="auto"/>
              </w:rPr>
              <w:t>Change in Projected Benefit Obligations:</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6"/>
        </w:trPr>
        <w:tc>
          <w:tcPr>
            <w:tcW w:w="5580" w:type="dxa"/>
            <w:vAlign w:val="bottom"/>
          </w:tcPr>
          <w:p>
            <w:pPr>
              <w:ind w:left="20"/>
              <w:spacing w:after="0"/>
              <w:rPr>
                <w:sz w:val="20"/>
                <w:szCs w:val="20"/>
                <w:color w:val="auto"/>
              </w:rPr>
            </w:pPr>
            <w:r>
              <w:rPr>
                <w:rFonts w:ascii="Arial" w:cs="Arial" w:eastAsia="Arial" w:hAnsi="Arial"/>
                <w:sz w:val="16"/>
                <w:szCs w:val="16"/>
                <w:color w:val="auto"/>
              </w:rPr>
              <w:t>Projected benefit obligation at beginning of year</w:t>
            </w: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3,413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3,315</w:t>
            </w:r>
          </w:p>
        </w:tc>
        <w:tc>
          <w:tcPr>
            <w:tcW w:w="12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8,109</w:t>
            </w:r>
          </w:p>
        </w:tc>
        <w:tc>
          <w:tcPr>
            <w:tcW w:w="16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7,598</w:t>
            </w:r>
          </w:p>
        </w:tc>
        <w:tc>
          <w:tcPr>
            <w:tcW w:w="120" w:type="dxa"/>
            <w:vAlign w:val="bottom"/>
          </w:tcPr>
          <w:p>
            <w:pPr>
              <w:spacing w:after="0"/>
              <w:rPr>
                <w:sz w:val="16"/>
                <w:szCs w:val="16"/>
                <w:color w:val="auto"/>
              </w:rPr>
            </w:pPr>
          </w:p>
        </w:tc>
      </w:tr>
      <w:tr>
        <w:trPr>
          <w:trHeight w:val="186"/>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 cost</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23</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56</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FF0FC"/>
          </w:tcPr>
          <w:p>
            <w:pPr>
              <w:spacing w:after="0"/>
              <w:rPr>
                <w:sz w:val="16"/>
                <w:szCs w:val="16"/>
                <w:color w:val="auto"/>
              </w:rPr>
            </w:pPr>
          </w:p>
        </w:tc>
      </w:tr>
      <w:tr>
        <w:trPr>
          <w:trHeight w:val="186"/>
        </w:trPr>
        <w:tc>
          <w:tcPr>
            <w:tcW w:w="55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173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413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6"/>
                <w:szCs w:val="16"/>
                <w:color w:val="auto"/>
              </w:rPr>
            </w:pPr>
          </w:p>
        </w:tc>
      </w:tr>
      <w:tr>
        <w:trPr>
          <w:trHeight w:val="186"/>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Contribution by plan participants</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61</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FF0FC"/>
          </w:tcPr>
          <w:p>
            <w:pPr>
              <w:spacing w:after="0"/>
              <w:rPr>
                <w:sz w:val="16"/>
                <w:szCs w:val="16"/>
                <w:color w:val="auto"/>
              </w:rPr>
            </w:pPr>
          </w:p>
        </w:tc>
      </w:tr>
      <w:tr>
        <w:trPr>
          <w:trHeight w:val="186"/>
        </w:trPr>
        <w:tc>
          <w:tcPr>
            <w:tcW w:w="5580" w:type="dxa"/>
            <w:vAlign w:val="bottom"/>
          </w:tcPr>
          <w:p>
            <w:pPr>
              <w:ind w:left="20"/>
              <w:spacing w:after="0"/>
              <w:rPr>
                <w:sz w:val="20"/>
                <w:szCs w:val="20"/>
                <w:color w:val="auto"/>
              </w:rPr>
            </w:pPr>
            <w:r>
              <w:rPr>
                <w:rFonts w:ascii="Arial" w:cs="Arial" w:eastAsia="Arial" w:hAnsi="Arial"/>
                <w:sz w:val="16"/>
                <w:szCs w:val="16"/>
                <w:color w:val="auto"/>
              </w:rPr>
              <w:t>Actuarial losses (gains)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b w:val="1"/>
                <w:bCs w:val="1"/>
                <w:color w:val="auto"/>
              </w:rPr>
              <w:t>(160 )</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(457 )</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16"/>
                <w:szCs w:val="16"/>
                <w:color w:val="auto"/>
              </w:rPr>
            </w:pPr>
          </w:p>
        </w:tc>
      </w:tr>
      <w:tr>
        <w:trPr>
          <w:trHeight w:val="186"/>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Currency effect</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(2 )</w:t>
            </w: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FF0FC"/>
          </w:tcPr>
          <w:p>
            <w:pPr>
              <w:spacing w:after="0"/>
              <w:rPr>
                <w:sz w:val="16"/>
                <w:szCs w:val="16"/>
                <w:color w:val="auto"/>
              </w:rPr>
            </w:pPr>
          </w:p>
        </w:tc>
      </w:tr>
      <w:tr>
        <w:trPr>
          <w:trHeight w:val="186"/>
        </w:trPr>
        <w:tc>
          <w:tcPr>
            <w:tcW w:w="558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b w:val="1"/>
                <w:bCs w:val="1"/>
                <w:color w:val="auto"/>
              </w:rPr>
              <w:t>(224 )</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(220 )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(384 )</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(360 )</w:t>
            </w:r>
          </w:p>
        </w:tc>
      </w:tr>
      <w:tr>
        <w:trPr>
          <w:trHeight w:val="180"/>
        </w:trPr>
        <w:tc>
          <w:tcPr>
            <w:tcW w:w="5580" w:type="dxa"/>
            <w:vAlign w:val="bottom"/>
            <w:tcBorders>
              <w:top w:val="single" w:sz="8" w:color="CFF0FC"/>
              <w:bottom w:val="single" w:sz="8" w:color="CFF0FC"/>
            </w:tcBorders>
            <w:shd w:val="clear" w:color="auto" w:fill="CFF0FC"/>
          </w:tcPr>
          <w:p>
            <w:pPr>
              <w:ind w:left="20"/>
              <w:spacing w:after="0" w:line="180" w:lineRule="exact"/>
              <w:rPr>
                <w:sz w:val="20"/>
                <w:szCs w:val="20"/>
                <w:color w:val="auto"/>
              </w:rPr>
            </w:pPr>
            <w:r>
              <w:rPr>
                <w:rFonts w:ascii="Arial" w:cs="Arial" w:eastAsia="Arial" w:hAnsi="Arial"/>
                <w:sz w:val="16"/>
                <w:szCs w:val="16"/>
                <w:color w:val="auto"/>
              </w:rPr>
              <w:t>Projected benefit obligation at end of year</w:t>
            </w:r>
          </w:p>
        </w:tc>
        <w:tc>
          <w:tcPr>
            <w:tcW w:w="18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gridSpan w:val="2"/>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3,225</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3,413</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b w:val="1"/>
                <w:bCs w:val="1"/>
                <w:color w:val="auto"/>
              </w:rPr>
              <w:t>7,796</w:t>
            </w: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8,109</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180"/>
        </w:trPr>
        <w:tc>
          <w:tcPr>
            <w:tcW w:w="5580" w:type="dxa"/>
            <w:vAlign w:val="bottom"/>
          </w:tcPr>
          <w:p>
            <w:pPr>
              <w:ind w:left="20"/>
              <w:spacing w:after="0" w:line="180" w:lineRule="exact"/>
              <w:rPr>
                <w:sz w:val="20"/>
                <w:szCs w:val="20"/>
                <w:color w:val="auto"/>
              </w:rPr>
            </w:pPr>
            <w:r>
              <w:rPr>
                <w:rFonts w:ascii="Arial" w:cs="Arial" w:eastAsia="Arial" w:hAnsi="Arial"/>
                <w:sz w:val="16"/>
                <w:szCs w:val="16"/>
                <w:b w:val="1"/>
                <w:bCs w:val="1"/>
                <w:i w:val="1"/>
                <w:iCs w:val="1"/>
                <w:color w:val="auto"/>
              </w:rPr>
              <w:t>Change in Plan Assets: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6"/>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Plan assets at fair value at beginning of year</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3,427</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3,396</w:t>
            </w:r>
          </w:p>
        </w:tc>
        <w:tc>
          <w:tcPr>
            <w:tcW w:w="12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8,390</w:t>
            </w:r>
          </w:p>
        </w:tc>
        <w:tc>
          <w:tcPr>
            <w:tcW w:w="16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8,126</w:t>
            </w:r>
          </w:p>
        </w:tc>
        <w:tc>
          <w:tcPr>
            <w:tcW w:w="120" w:type="dxa"/>
            <w:vAlign w:val="bottom"/>
            <w:shd w:val="clear" w:color="auto" w:fill="CFF0FC"/>
          </w:tcPr>
          <w:p>
            <w:pPr>
              <w:spacing w:after="0"/>
              <w:rPr>
                <w:sz w:val="16"/>
                <w:szCs w:val="16"/>
                <w:color w:val="auto"/>
              </w:rPr>
            </w:pPr>
          </w:p>
        </w:tc>
      </w:tr>
      <w:tr>
        <w:trPr>
          <w:trHeight w:val="186"/>
        </w:trPr>
        <w:tc>
          <w:tcPr>
            <w:tcW w:w="5580" w:type="dxa"/>
            <w:vAlign w:val="bottom"/>
          </w:tcPr>
          <w:p>
            <w:pPr>
              <w:ind w:left="20"/>
              <w:spacing w:after="0"/>
              <w:rPr>
                <w:sz w:val="20"/>
                <w:szCs w:val="20"/>
                <w:color w:val="auto"/>
              </w:rPr>
            </w:pPr>
            <w:r>
              <w:rPr>
                <w:rFonts w:ascii="Arial" w:cs="Arial" w:eastAsia="Arial" w:hAnsi="Arial"/>
                <w:sz w:val="16"/>
                <w:szCs w:val="16"/>
                <w:color w:val="auto"/>
              </w:rPr>
              <w:t>Actual return on plan assets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b w:val="1"/>
                <w:bCs w:val="1"/>
                <w:color w:val="auto"/>
              </w:rPr>
              <w:t>(38 )</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(408 )</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16"/>
                <w:szCs w:val="16"/>
                <w:color w:val="auto"/>
              </w:rPr>
            </w:pPr>
          </w:p>
        </w:tc>
      </w:tr>
      <w:tr>
        <w:trPr>
          <w:trHeight w:val="186"/>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Currency effect</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(2 )</w:t>
            </w: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FF0FC"/>
          </w:tcPr>
          <w:p>
            <w:pPr>
              <w:spacing w:after="0"/>
              <w:rPr>
                <w:sz w:val="16"/>
                <w:szCs w:val="16"/>
                <w:color w:val="auto"/>
              </w:rPr>
            </w:pPr>
          </w:p>
        </w:tc>
      </w:tr>
      <w:tr>
        <w:trPr>
          <w:trHeight w:val="186"/>
        </w:trPr>
        <w:tc>
          <w:tcPr>
            <w:tcW w:w="5580" w:type="dxa"/>
            <w:vAlign w:val="bottom"/>
          </w:tcPr>
          <w:p>
            <w:pPr>
              <w:ind w:left="20"/>
              <w:spacing w:after="0"/>
              <w:rPr>
                <w:sz w:val="20"/>
                <w:szCs w:val="20"/>
                <w:color w:val="auto"/>
              </w:rPr>
            </w:pPr>
            <w:r>
              <w:rPr>
                <w:rFonts w:ascii="Arial" w:cs="Arial" w:eastAsia="Arial" w:hAnsi="Arial"/>
                <w:sz w:val="16"/>
                <w:szCs w:val="16"/>
                <w:color w:val="auto"/>
              </w:rPr>
              <w:t>Company contributions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6"/>
                <w:szCs w:val="16"/>
                <w:color w:val="auto"/>
              </w:rPr>
            </w:pPr>
          </w:p>
        </w:tc>
      </w:tr>
      <w:tr>
        <w:trPr>
          <w:trHeight w:val="186"/>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Contributions by plan participants</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61</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FF0FC"/>
          </w:tcPr>
          <w:p>
            <w:pPr>
              <w:spacing w:after="0"/>
              <w:rPr>
                <w:sz w:val="16"/>
                <w:szCs w:val="16"/>
                <w:color w:val="auto"/>
              </w:rPr>
            </w:pPr>
          </w:p>
        </w:tc>
      </w:tr>
      <w:tr>
        <w:trPr>
          <w:trHeight w:val="186"/>
        </w:trPr>
        <w:tc>
          <w:tcPr>
            <w:tcW w:w="558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b w:val="1"/>
                <w:bCs w:val="1"/>
                <w:color w:val="auto"/>
              </w:rPr>
              <w:t>(224 )</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(220 )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(384 )</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(360 )</w:t>
            </w:r>
          </w:p>
        </w:tc>
      </w:tr>
      <w:tr>
        <w:trPr>
          <w:trHeight w:val="180"/>
        </w:trPr>
        <w:tc>
          <w:tcPr>
            <w:tcW w:w="5580" w:type="dxa"/>
            <w:vAlign w:val="bottom"/>
            <w:tcBorders>
              <w:top w:val="single" w:sz="8" w:color="CFF0FC"/>
              <w:bottom w:val="single" w:sz="8" w:color="CFF0FC"/>
            </w:tcBorders>
            <w:shd w:val="clear" w:color="auto" w:fill="CFF0FC"/>
          </w:tcPr>
          <w:p>
            <w:pPr>
              <w:ind w:left="20"/>
              <w:spacing w:after="0" w:line="180" w:lineRule="exact"/>
              <w:rPr>
                <w:sz w:val="20"/>
                <w:szCs w:val="20"/>
                <w:color w:val="auto"/>
              </w:rPr>
            </w:pPr>
            <w:r>
              <w:rPr>
                <w:rFonts w:ascii="Arial" w:cs="Arial" w:eastAsia="Arial" w:hAnsi="Arial"/>
                <w:sz w:val="16"/>
                <w:szCs w:val="16"/>
                <w:color w:val="auto"/>
              </w:rPr>
              <w:t>Plan assets at fair value at end of year</w:t>
            </w:r>
          </w:p>
        </w:tc>
        <w:tc>
          <w:tcPr>
            <w:tcW w:w="18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gridSpan w:val="2"/>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3,175</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3,427</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b w:val="1"/>
                <w:bCs w:val="1"/>
                <w:color w:val="auto"/>
              </w:rPr>
              <w:t>7,674</w:t>
            </w: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8,390</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180"/>
        </w:trPr>
        <w:tc>
          <w:tcPr>
            <w:tcW w:w="5580" w:type="dxa"/>
            <w:vAlign w:val="bottom"/>
          </w:tcPr>
          <w:p>
            <w:pPr>
              <w:ind w:left="20"/>
              <w:spacing w:after="0" w:line="167" w:lineRule="exact"/>
              <w:rPr>
                <w:sz w:val="20"/>
                <w:szCs w:val="20"/>
                <w:color w:val="auto"/>
              </w:rPr>
            </w:pPr>
            <w:r>
              <w:rPr>
                <w:rFonts w:ascii="Arial" w:cs="Arial" w:eastAsia="Arial" w:hAnsi="Arial"/>
                <w:sz w:val="16"/>
                <w:szCs w:val="16"/>
                <w:b w:val="1"/>
                <w:bCs w:val="1"/>
                <w:i w:val="1"/>
                <w:iCs w:val="1"/>
                <w:color w:val="auto"/>
              </w:rPr>
              <w:t>Asset / (Unfunded Liability)</w:t>
            </w:r>
          </w:p>
        </w:tc>
        <w:tc>
          <w:tcPr>
            <w:tcW w:w="340" w:type="dxa"/>
            <w:vAlign w:val="bottom"/>
            <w:gridSpan w:val="2"/>
          </w:tcPr>
          <w:p>
            <w:pPr>
              <w:jc w:val="right"/>
              <w:spacing w:after="0" w:line="167" w:lineRule="exact"/>
              <w:rPr>
                <w:sz w:val="20"/>
                <w:szCs w:val="20"/>
                <w:color w:val="auto"/>
              </w:rPr>
            </w:pPr>
            <w:r>
              <w:rPr>
                <w:rFonts w:ascii="Arial" w:cs="Arial" w:eastAsia="Arial" w:hAnsi="Arial"/>
                <w:sz w:val="16"/>
                <w:szCs w:val="16"/>
                <w:b w:val="1"/>
                <w:bCs w:val="1"/>
                <w:color w:val="auto"/>
              </w:rPr>
              <w:t>$</w:t>
            </w:r>
          </w:p>
        </w:tc>
        <w:tc>
          <w:tcPr>
            <w:tcW w:w="1080" w:type="dxa"/>
            <w:vAlign w:val="bottom"/>
            <w:gridSpan w:val="3"/>
          </w:tcPr>
          <w:p>
            <w:pPr>
              <w:jc w:val="right"/>
              <w:spacing w:after="0" w:line="167" w:lineRule="exact"/>
              <w:rPr>
                <w:sz w:val="20"/>
                <w:szCs w:val="20"/>
                <w:color w:val="auto"/>
              </w:rPr>
            </w:pPr>
            <w:r>
              <w:rPr>
                <w:rFonts w:ascii="Arial" w:cs="Arial" w:eastAsia="Arial" w:hAnsi="Arial"/>
                <w:sz w:val="16"/>
                <w:szCs w:val="16"/>
                <w:b w:val="1"/>
                <w:bCs w:val="1"/>
                <w:color w:val="auto"/>
              </w:rPr>
              <w:t>(50 )</w:t>
            </w:r>
          </w:p>
        </w:tc>
        <w:tc>
          <w:tcPr>
            <w:tcW w:w="160" w:type="dxa"/>
            <w:vAlign w:val="bottom"/>
          </w:tcPr>
          <w:p>
            <w:pPr>
              <w:spacing w:after="0"/>
              <w:rPr>
                <w:sz w:val="15"/>
                <w:szCs w:val="15"/>
                <w:color w:val="auto"/>
              </w:rPr>
            </w:pPr>
          </w:p>
        </w:tc>
        <w:tc>
          <w:tcPr>
            <w:tcW w:w="180" w:type="dxa"/>
            <w:vAlign w:val="bottom"/>
          </w:tcPr>
          <w:p>
            <w:pPr>
              <w:jc w:val="right"/>
              <w:spacing w:after="0" w:line="167" w:lineRule="exact"/>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40"/>
              <w:spacing w:after="0" w:line="167" w:lineRule="exact"/>
              <w:rPr>
                <w:sz w:val="20"/>
                <w:szCs w:val="20"/>
                <w:color w:val="auto"/>
              </w:rPr>
            </w:pPr>
            <w:r>
              <w:rPr>
                <w:rFonts w:ascii="Arial" w:cs="Arial" w:eastAsia="Arial" w:hAnsi="Arial"/>
                <w:sz w:val="16"/>
                <w:szCs w:val="16"/>
                <w:color w:val="auto"/>
              </w:rPr>
              <w:t>14</w:t>
            </w:r>
          </w:p>
        </w:tc>
        <w:tc>
          <w:tcPr>
            <w:tcW w:w="120" w:type="dxa"/>
            <w:vAlign w:val="bottom"/>
          </w:tcPr>
          <w:p>
            <w:pPr>
              <w:spacing w:after="0"/>
              <w:rPr>
                <w:sz w:val="15"/>
                <w:szCs w:val="15"/>
                <w:color w:val="auto"/>
              </w:rPr>
            </w:pPr>
          </w:p>
        </w:tc>
        <w:tc>
          <w:tcPr>
            <w:tcW w:w="300" w:type="dxa"/>
            <w:vAlign w:val="bottom"/>
            <w:gridSpan w:val="2"/>
          </w:tcPr>
          <w:p>
            <w:pPr>
              <w:jc w:val="right"/>
              <w:spacing w:after="0" w:line="167" w:lineRule="exact"/>
              <w:rPr>
                <w:sz w:val="20"/>
                <w:szCs w:val="20"/>
                <w:color w:val="auto"/>
              </w:rPr>
            </w:pPr>
            <w:r>
              <w:rPr>
                <w:rFonts w:ascii="Arial" w:cs="Arial" w:eastAsia="Arial" w:hAnsi="Arial"/>
                <w:sz w:val="16"/>
                <w:szCs w:val="16"/>
                <w:b w:val="1"/>
                <w:bCs w:val="1"/>
                <w:color w:val="auto"/>
              </w:rPr>
              <w:t>$</w:t>
            </w:r>
          </w:p>
        </w:tc>
        <w:tc>
          <w:tcPr>
            <w:tcW w:w="1140" w:type="dxa"/>
            <w:vAlign w:val="bottom"/>
            <w:gridSpan w:val="3"/>
          </w:tcPr>
          <w:p>
            <w:pPr>
              <w:jc w:val="right"/>
              <w:ind w:right="100"/>
              <w:spacing w:after="0" w:line="167" w:lineRule="exact"/>
              <w:rPr>
                <w:sz w:val="20"/>
                <w:szCs w:val="20"/>
                <w:color w:val="auto"/>
              </w:rPr>
            </w:pPr>
            <w:r>
              <w:rPr>
                <w:rFonts w:ascii="Arial" w:cs="Arial" w:eastAsia="Arial" w:hAnsi="Arial"/>
                <w:sz w:val="16"/>
                <w:szCs w:val="16"/>
                <w:b w:val="1"/>
                <w:bCs w:val="1"/>
                <w:color w:val="auto"/>
              </w:rPr>
              <w:t>(122 )</w:t>
            </w:r>
          </w:p>
        </w:tc>
        <w:tc>
          <w:tcPr>
            <w:tcW w:w="400" w:type="dxa"/>
            <w:vAlign w:val="bottom"/>
            <w:gridSpan w:val="2"/>
          </w:tcPr>
          <w:p>
            <w:pPr>
              <w:jc w:val="right"/>
              <w:ind w:right="140"/>
              <w:spacing w:after="0" w:line="167"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
              <w:spacing w:after="0" w:line="167" w:lineRule="exact"/>
              <w:rPr>
                <w:sz w:val="20"/>
                <w:szCs w:val="20"/>
                <w:color w:val="auto"/>
              </w:rPr>
            </w:pPr>
            <w:r>
              <w:rPr>
                <w:rFonts w:ascii="Arial" w:cs="Arial" w:eastAsia="Arial" w:hAnsi="Arial"/>
                <w:sz w:val="16"/>
                <w:szCs w:val="16"/>
                <w:color w:val="auto"/>
              </w:rPr>
              <w:t>281</w:t>
            </w:r>
          </w:p>
        </w:tc>
        <w:tc>
          <w:tcPr>
            <w:tcW w:w="120" w:type="dxa"/>
            <w:vAlign w:val="bottom"/>
          </w:tcPr>
          <w:p>
            <w:pPr>
              <w:spacing w:after="0"/>
              <w:rPr>
                <w:sz w:val="15"/>
                <w:szCs w:val="15"/>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6"/>
        </w:trPr>
        <w:tc>
          <w:tcPr>
            <w:tcW w:w="5580" w:type="dxa"/>
            <w:vAlign w:val="bottom"/>
            <w:shd w:val="clear" w:color="auto" w:fill="CFF0FC"/>
          </w:tcPr>
          <w:p>
            <w:pPr>
              <w:ind w:left="20"/>
              <w:spacing w:after="0" w:line="166" w:lineRule="exact"/>
              <w:rPr>
                <w:sz w:val="20"/>
                <w:szCs w:val="20"/>
                <w:color w:val="auto"/>
              </w:rPr>
            </w:pPr>
            <w:r>
              <w:rPr>
                <w:rFonts w:ascii="Arial" w:cs="Arial" w:eastAsia="Arial" w:hAnsi="Arial"/>
                <w:sz w:val="16"/>
                <w:szCs w:val="16"/>
                <w:b w:val="1"/>
                <w:bCs w:val="1"/>
                <w:i w:val="1"/>
                <w:iCs w:val="1"/>
                <w:color w:val="auto"/>
              </w:rPr>
              <w:t>Amounts Recognized in Balance Sheet: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6"/>
        </w:trPr>
        <w:tc>
          <w:tcPr>
            <w:tcW w:w="5580" w:type="dxa"/>
            <w:vAlign w:val="bottom"/>
          </w:tcPr>
          <w:p>
            <w:pPr>
              <w:ind w:left="20"/>
              <w:spacing w:after="0"/>
              <w:rPr>
                <w:sz w:val="20"/>
                <w:szCs w:val="20"/>
                <w:color w:val="auto"/>
              </w:rPr>
            </w:pPr>
            <w:r>
              <w:rPr>
                <w:rFonts w:ascii="Arial" w:cs="Arial" w:eastAsia="Arial" w:hAnsi="Arial"/>
                <w:sz w:val="16"/>
                <w:szCs w:val="16"/>
                <w:i w:val="1"/>
                <w:iCs w:val="1"/>
                <w:color w:val="auto"/>
              </w:rPr>
              <w:t>Postretirement Benefits</w:t>
            </w: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3"/>
          </w:tcPr>
          <w:p>
            <w:pPr>
              <w:jc w:val="right"/>
              <w:spacing w:after="0"/>
              <w:rPr>
                <w:sz w:val="20"/>
                <w:szCs w:val="20"/>
                <w:color w:val="auto"/>
              </w:rPr>
            </w:pPr>
            <w:r>
              <w:rPr>
                <w:rFonts w:ascii="Arial" w:cs="Arial" w:eastAsia="Arial" w:hAnsi="Arial"/>
                <w:sz w:val="16"/>
                <w:szCs w:val="16"/>
                <w:b w:val="1"/>
                <w:bCs w:val="1"/>
                <w:color w:val="auto"/>
              </w:rPr>
              <w:t>(154 )</w:t>
            </w:r>
          </w:p>
        </w:tc>
        <w:tc>
          <w:tcPr>
            <w:tcW w:w="1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(159 )</w:t>
            </w: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(358 )</w:t>
            </w: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(16 )</w:t>
            </w:r>
          </w:p>
        </w:tc>
      </w:tr>
      <w:tr>
        <w:trPr>
          <w:trHeight w:val="186"/>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i w:val="1"/>
                <w:iCs w:val="1"/>
                <w:color w:val="auto"/>
              </w:rPr>
              <w:t>Other Assets</w:t>
            </w:r>
          </w:p>
        </w:tc>
        <w:tc>
          <w:tcPr>
            <w:tcW w:w="1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104</w:t>
            </w: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236</w:t>
            </w:r>
          </w:p>
        </w:tc>
        <w:tc>
          <w:tcPr>
            <w:tcW w:w="1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0"/>
        </w:trPr>
        <w:tc>
          <w:tcPr>
            <w:tcW w:w="5580" w:type="dxa"/>
            <w:vAlign w:val="bottom"/>
          </w:tcPr>
          <w:p>
            <w:pPr>
              <w:spacing w:after="0"/>
              <w:rPr>
                <w:sz w:val="15"/>
                <w:szCs w:val="15"/>
                <w:color w:val="auto"/>
              </w:rPr>
            </w:pPr>
          </w:p>
        </w:tc>
        <w:tc>
          <w:tcPr>
            <w:tcW w:w="340" w:type="dxa"/>
            <w:vAlign w:val="bottom"/>
            <w:gridSpan w:val="2"/>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1080" w:type="dxa"/>
            <w:vAlign w:val="bottom"/>
            <w:gridSpan w:val="3"/>
          </w:tcPr>
          <w:p>
            <w:pPr>
              <w:jc w:val="right"/>
              <w:spacing w:after="0" w:line="180" w:lineRule="exact"/>
              <w:rPr>
                <w:sz w:val="20"/>
                <w:szCs w:val="20"/>
                <w:color w:val="auto"/>
              </w:rPr>
            </w:pPr>
            <w:r>
              <w:rPr>
                <w:rFonts w:ascii="Arial" w:cs="Arial" w:eastAsia="Arial" w:hAnsi="Arial"/>
                <w:sz w:val="16"/>
                <w:szCs w:val="16"/>
                <w:b w:val="1"/>
                <w:bCs w:val="1"/>
                <w:color w:val="auto"/>
              </w:rPr>
              <w:t>(50 )</w:t>
            </w:r>
          </w:p>
        </w:tc>
        <w:tc>
          <w:tcPr>
            <w:tcW w:w="160" w:type="dxa"/>
            <w:vAlign w:val="bottom"/>
          </w:tcPr>
          <w:p>
            <w:pPr>
              <w:spacing w:after="0"/>
              <w:rPr>
                <w:sz w:val="15"/>
                <w:szCs w:val="15"/>
                <w:color w:val="auto"/>
              </w:rPr>
            </w:pPr>
          </w:p>
        </w:tc>
        <w:tc>
          <w:tcPr>
            <w:tcW w:w="180" w:type="dxa"/>
            <w:vAlign w:val="bottom"/>
          </w:tcPr>
          <w:p>
            <w:pPr>
              <w:jc w:val="right"/>
              <w:spacing w:after="0" w:line="180" w:lineRule="exact"/>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14</w:t>
            </w:r>
          </w:p>
        </w:tc>
        <w:tc>
          <w:tcPr>
            <w:tcW w:w="120" w:type="dxa"/>
            <w:vAlign w:val="bottom"/>
          </w:tcPr>
          <w:p>
            <w:pPr>
              <w:spacing w:after="0"/>
              <w:rPr>
                <w:sz w:val="15"/>
                <w:szCs w:val="15"/>
                <w:color w:val="auto"/>
              </w:rPr>
            </w:pPr>
          </w:p>
        </w:tc>
        <w:tc>
          <w:tcPr>
            <w:tcW w:w="300" w:type="dxa"/>
            <w:vAlign w:val="bottom"/>
            <w:gridSpan w:val="2"/>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1140" w:type="dxa"/>
            <w:vAlign w:val="bottom"/>
            <w:gridSpan w:val="3"/>
          </w:tcPr>
          <w:p>
            <w:pPr>
              <w:jc w:val="right"/>
              <w:ind w:right="100"/>
              <w:spacing w:after="0" w:line="180" w:lineRule="exact"/>
              <w:rPr>
                <w:sz w:val="20"/>
                <w:szCs w:val="20"/>
                <w:color w:val="auto"/>
              </w:rPr>
            </w:pPr>
            <w:r>
              <w:rPr>
                <w:rFonts w:ascii="Arial" w:cs="Arial" w:eastAsia="Arial" w:hAnsi="Arial"/>
                <w:sz w:val="16"/>
                <w:szCs w:val="16"/>
                <w:b w:val="1"/>
                <w:bCs w:val="1"/>
                <w:color w:val="auto"/>
              </w:rPr>
              <w:t>(122 )</w:t>
            </w:r>
          </w:p>
        </w:tc>
        <w:tc>
          <w:tcPr>
            <w:tcW w:w="400" w:type="dxa"/>
            <w:vAlign w:val="bottom"/>
            <w:gridSpan w:val="2"/>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281</w:t>
            </w:r>
          </w:p>
        </w:tc>
        <w:tc>
          <w:tcPr>
            <w:tcW w:w="120" w:type="dxa"/>
            <w:vAlign w:val="bottom"/>
          </w:tcPr>
          <w:p>
            <w:pPr>
              <w:spacing w:after="0"/>
              <w:rPr>
                <w:sz w:val="15"/>
                <w:szCs w:val="15"/>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6"/>
        </w:trPr>
        <w:tc>
          <w:tcPr>
            <w:tcW w:w="5580" w:type="dxa"/>
            <w:vAlign w:val="bottom"/>
            <w:shd w:val="clear" w:color="auto" w:fill="CFF0FC"/>
          </w:tcPr>
          <w:p>
            <w:pPr>
              <w:ind w:left="20"/>
              <w:spacing w:after="0" w:line="166" w:lineRule="exact"/>
              <w:rPr>
                <w:sz w:val="20"/>
                <w:szCs w:val="20"/>
                <w:color w:val="auto"/>
              </w:rPr>
            </w:pPr>
            <w:r>
              <w:rPr>
                <w:rFonts w:ascii="Arial" w:cs="Arial" w:eastAsia="Arial" w:hAnsi="Arial"/>
                <w:sz w:val="16"/>
                <w:szCs w:val="16"/>
                <w:b w:val="1"/>
                <w:bCs w:val="1"/>
                <w:i w:val="1"/>
                <w:iCs w:val="1"/>
                <w:color w:val="auto"/>
              </w:rPr>
              <w:t>Amounts Recognized in Accumulated Other Comprehensive Loss:</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6"/>
        </w:trPr>
        <w:tc>
          <w:tcPr>
            <w:tcW w:w="5580" w:type="dxa"/>
            <w:vAlign w:val="bottom"/>
          </w:tcPr>
          <w:p>
            <w:pPr>
              <w:ind w:left="20"/>
              <w:spacing w:after="0" w:line="167" w:lineRule="exact"/>
              <w:rPr>
                <w:sz w:val="20"/>
                <w:szCs w:val="20"/>
                <w:color w:val="auto"/>
              </w:rPr>
            </w:pPr>
            <w:r>
              <w:rPr>
                <w:rFonts w:ascii="Arial" w:cs="Arial" w:eastAsia="Arial" w:hAnsi="Arial"/>
                <w:sz w:val="16"/>
                <w:szCs w:val="16"/>
                <w:color w:val="auto"/>
              </w:rPr>
              <w:t>Actuarial losses</w:t>
            </w:r>
          </w:p>
        </w:tc>
        <w:tc>
          <w:tcPr>
            <w:tcW w:w="340" w:type="dxa"/>
            <w:vAlign w:val="bottom"/>
            <w:gridSpan w:val="2"/>
          </w:tcPr>
          <w:p>
            <w:pPr>
              <w:jc w:val="right"/>
              <w:spacing w:after="0" w:line="167" w:lineRule="exact"/>
              <w:rPr>
                <w:sz w:val="20"/>
                <w:szCs w:val="20"/>
                <w:color w:val="auto"/>
              </w:rPr>
            </w:pPr>
            <w:r>
              <w:rPr>
                <w:rFonts w:ascii="Arial" w:cs="Arial" w:eastAsia="Arial" w:hAnsi="Arial"/>
                <w:sz w:val="16"/>
                <w:szCs w:val="16"/>
                <w:b w:val="1"/>
                <w:bCs w:val="1"/>
                <w:color w:val="auto"/>
              </w:rPr>
              <w:t>$</w:t>
            </w:r>
          </w:p>
        </w:tc>
        <w:tc>
          <w:tcPr>
            <w:tcW w:w="1000" w:type="dxa"/>
            <w:vAlign w:val="bottom"/>
            <w:gridSpan w:val="2"/>
          </w:tcPr>
          <w:p>
            <w:pPr>
              <w:jc w:val="right"/>
              <w:spacing w:after="0" w:line="167" w:lineRule="exact"/>
              <w:rPr>
                <w:sz w:val="20"/>
                <w:szCs w:val="20"/>
                <w:color w:val="auto"/>
              </w:rPr>
            </w:pPr>
            <w:r>
              <w:rPr>
                <w:rFonts w:ascii="Arial" w:cs="Arial" w:eastAsia="Arial" w:hAnsi="Arial"/>
                <w:sz w:val="16"/>
                <w:szCs w:val="16"/>
                <w:b w:val="1"/>
                <w:bCs w:val="1"/>
                <w:color w:val="auto"/>
              </w:rPr>
              <w:t>405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jc w:val="right"/>
              <w:spacing w:after="0" w:line="167" w:lineRule="exact"/>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40"/>
              <w:spacing w:after="0" w:line="167" w:lineRule="exact"/>
              <w:rPr>
                <w:sz w:val="20"/>
                <w:szCs w:val="20"/>
                <w:color w:val="auto"/>
              </w:rPr>
            </w:pPr>
            <w:r>
              <w:rPr>
                <w:rFonts w:ascii="Arial" w:cs="Arial" w:eastAsia="Arial" w:hAnsi="Arial"/>
                <w:sz w:val="16"/>
                <w:szCs w:val="16"/>
                <w:color w:val="auto"/>
              </w:rPr>
              <w:t>328</w:t>
            </w:r>
          </w:p>
        </w:tc>
        <w:tc>
          <w:tcPr>
            <w:tcW w:w="120" w:type="dxa"/>
            <w:vAlign w:val="bottom"/>
          </w:tcPr>
          <w:p>
            <w:pPr>
              <w:spacing w:after="0"/>
              <w:rPr>
                <w:sz w:val="16"/>
                <w:szCs w:val="16"/>
                <w:color w:val="auto"/>
              </w:rPr>
            </w:pPr>
          </w:p>
        </w:tc>
        <w:tc>
          <w:tcPr>
            <w:tcW w:w="300" w:type="dxa"/>
            <w:vAlign w:val="bottom"/>
            <w:gridSpan w:val="2"/>
          </w:tcPr>
          <w:p>
            <w:pPr>
              <w:jc w:val="right"/>
              <w:spacing w:after="0" w:line="167" w:lineRule="exact"/>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40"/>
              <w:spacing w:after="0" w:line="167" w:lineRule="exact"/>
              <w:rPr>
                <w:sz w:val="20"/>
                <w:szCs w:val="20"/>
                <w:color w:val="auto"/>
              </w:rPr>
            </w:pPr>
            <w:r>
              <w:rPr>
                <w:rFonts w:ascii="Arial" w:cs="Arial" w:eastAsia="Arial" w:hAnsi="Arial"/>
                <w:sz w:val="16"/>
                <w:szCs w:val="16"/>
                <w:b w:val="1"/>
                <w:bCs w:val="1"/>
                <w:color w:val="auto"/>
              </w:rPr>
              <w:t>2,296</w:t>
            </w:r>
          </w:p>
        </w:tc>
        <w:tc>
          <w:tcPr>
            <w:tcW w:w="160" w:type="dxa"/>
            <w:vAlign w:val="bottom"/>
          </w:tcPr>
          <w:p>
            <w:pPr>
              <w:spacing w:after="0"/>
              <w:rPr>
                <w:sz w:val="16"/>
                <w:szCs w:val="16"/>
                <w:color w:val="auto"/>
              </w:rPr>
            </w:pPr>
          </w:p>
        </w:tc>
        <w:tc>
          <w:tcPr>
            <w:tcW w:w="400" w:type="dxa"/>
            <w:vAlign w:val="bottom"/>
            <w:gridSpan w:val="2"/>
          </w:tcPr>
          <w:p>
            <w:pPr>
              <w:jc w:val="right"/>
              <w:ind w:right="140"/>
              <w:spacing w:after="0" w:line="167"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
              <w:spacing w:after="0" w:line="167" w:lineRule="exact"/>
              <w:rPr>
                <w:sz w:val="20"/>
                <w:szCs w:val="20"/>
                <w:color w:val="auto"/>
              </w:rPr>
            </w:pPr>
            <w:r>
              <w:rPr>
                <w:rFonts w:ascii="Arial" w:cs="Arial" w:eastAsia="Arial" w:hAnsi="Arial"/>
                <w:sz w:val="16"/>
                <w:szCs w:val="16"/>
                <w:color w:val="auto"/>
              </w:rPr>
              <w:t>1,804</w:t>
            </w:r>
          </w:p>
        </w:tc>
        <w:tc>
          <w:tcPr>
            <w:tcW w:w="120" w:type="dxa"/>
            <w:vAlign w:val="bottom"/>
          </w:tcPr>
          <w:p>
            <w:pPr>
              <w:spacing w:after="0"/>
              <w:rPr>
                <w:sz w:val="16"/>
                <w:szCs w:val="16"/>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6"/>
        </w:trPr>
        <w:tc>
          <w:tcPr>
            <w:tcW w:w="5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6"/>
        </w:trPr>
        <w:tc>
          <w:tcPr>
            <w:tcW w:w="5580" w:type="dxa"/>
            <w:vAlign w:val="bottom"/>
          </w:tcPr>
          <w:p>
            <w:pPr>
              <w:ind w:left="20"/>
              <w:spacing w:after="0" w:line="167" w:lineRule="exact"/>
              <w:rPr>
                <w:sz w:val="20"/>
                <w:szCs w:val="20"/>
                <w:color w:val="auto"/>
              </w:rPr>
            </w:pPr>
            <w:r>
              <w:rPr>
                <w:rFonts w:ascii="Arial" w:cs="Arial" w:eastAsia="Arial" w:hAnsi="Arial"/>
                <w:sz w:val="16"/>
                <w:szCs w:val="16"/>
                <w:b w:val="1"/>
                <w:bCs w:val="1"/>
                <w:color w:val="auto"/>
              </w:rPr>
              <w:t>Accumulated benefit obligation</w:t>
            </w:r>
          </w:p>
        </w:tc>
        <w:tc>
          <w:tcPr>
            <w:tcW w:w="340" w:type="dxa"/>
            <w:vAlign w:val="bottom"/>
            <w:gridSpan w:val="2"/>
          </w:tcPr>
          <w:p>
            <w:pPr>
              <w:jc w:val="right"/>
              <w:spacing w:after="0" w:line="167" w:lineRule="exact"/>
              <w:rPr>
                <w:sz w:val="20"/>
                <w:szCs w:val="20"/>
                <w:color w:val="auto"/>
              </w:rPr>
            </w:pPr>
            <w:r>
              <w:rPr>
                <w:rFonts w:ascii="Arial" w:cs="Arial" w:eastAsia="Arial" w:hAnsi="Arial"/>
                <w:sz w:val="16"/>
                <w:szCs w:val="16"/>
                <w:b w:val="1"/>
                <w:bCs w:val="1"/>
                <w:color w:val="auto"/>
              </w:rPr>
              <w:t>$</w:t>
            </w:r>
          </w:p>
        </w:tc>
        <w:tc>
          <w:tcPr>
            <w:tcW w:w="1000" w:type="dxa"/>
            <w:vAlign w:val="bottom"/>
            <w:gridSpan w:val="2"/>
          </w:tcPr>
          <w:p>
            <w:pPr>
              <w:jc w:val="right"/>
              <w:spacing w:after="0" w:line="167" w:lineRule="exact"/>
              <w:rPr>
                <w:sz w:val="20"/>
                <w:szCs w:val="20"/>
                <w:color w:val="auto"/>
              </w:rPr>
            </w:pPr>
            <w:r>
              <w:rPr>
                <w:rFonts w:ascii="Arial" w:cs="Arial" w:eastAsia="Arial" w:hAnsi="Arial"/>
                <w:sz w:val="16"/>
                <w:szCs w:val="16"/>
                <w:b w:val="1"/>
                <w:bCs w:val="1"/>
                <w:color w:val="auto"/>
              </w:rPr>
              <w:t>3,137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jc w:val="right"/>
              <w:spacing w:after="0" w:line="167" w:lineRule="exact"/>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40"/>
              <w:spacing w:after="0" w:line="167" w:lineRule="exact"/>
              <w:rPr>
                <w:sz w:val="20"/>
                <w:szCs w:val="20"/>
                <w:color w:val="auto"/>
              </w:rPr>
            </w:pPr>
            <w:r>
              <w:rPr>
                <w:rFonts w:ascii="Arial" w:cs="Arial" w:eastAsia="Arial" w:hAnsi="Arial"/>
                <w:sz w:val="16"/>
                <w:szCs w:val="16"/>
                <w:color w:val="auto"/>
              </w:rPr>
              <w:t>3,313</w:t>
            </w:r>
          </w:p>
        </w:tc>
        <w:tc>
          <w:tcPr>
            <w:tcW w:w="120" w:type="dxa"/>
            <w:vAlign w:val="bottom"/>
          </w:tcPr>
          <w:p>
            <w:pPr>
              <w:spacing w:after="0"/>
              <w:rPr>
                <w:sz w:val="16"/>
                <w:szCs w:val="16"/>
                <w:color w:val="auto"/>
              </w:rPr>
            </w:pPr>
          </w:p>
        </w:tc>
        <w:tc>
          <w:tcPr>
            <w:tcW w:w="300" w:type="dxa"/>
            <w:vAlign w:val="bottom"/>
            <w:gridSpan w:val="2"/>
          </w:tcPr>
          <w:p>
            <w:pPr>
              <w:jc w:val="right"/>
              <w:spacing w:after="0" w:line="167" w:lineRule="exact"/>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40"/>
              <w:spacing w:after="0" w:line="167" w:lineRule="exact"/>
              <w:rPr>
                <w:sz w:val="20"/>
                <w:szCs w:val="20"/>
                <w:color w:val="auto"/>
              </w:rPr>
            </w:pPr>
            <w:r>
              <w:rPr>
                <w:rFonts w:ascii="Arial" w:cs="Arial" w:eastAsia="Arial" w:hAnsi="Arial"/>
                <w:sz w:val="16"/>
                <w:szCs w:val="16"/>
                <w:b w:val="1"/>
                <w:bCs w:val="1"/>
                <w:color w:val="auto"/>
              </w:rPr>
              <w:t>7,634</w:t>
            </w:r>
          </w:p>
        </w:tc>
        <w:tc>
          <w:tcPr>
            <w:tcW w:w="160" w:type="dxa"/>
            <w:vAlign w:val="bottom"/>
          </w:tcPr>
          <w:p>
            <w:pPr>
              <w:spacing w:after="0"/>
              <w:rPr>
                <w:sz w:val="16"/>
                <w:szCs w:val="16"/>
                <w:color w:val="auto"/>
              </w:rPr>
            </w:pPr>
          </w:p>
        </w:tc>
        <w:tc>
          <w:tcPr>
            <w:tcW w:w="400" w:type="dxa"/>
            <w:vAlign w:val="bottom"/>
            <w:gridSpan w:val="2"/>
          </w:tcPr>
          <w:p>
            <w:pPr>
              <w:jc w:val="right"/>
              <w:ind w:right="140"/>
              <w:spacing w:after="0" w:line="167"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
              <w:spacing w:after="0" w:line="167" w:lineRule="exact"/>
              <w:rPr>
                <w:sz w:val="20"/>
                <w:szCs w:val="20"/>
                <w:color w:val="auto"/>
              </w:rPr>
            </w:pPr>
            <w:r>
              <w:rPr>
                <w:rFonts w:ascii="Arial" w:cs="Arial" w:eastAsia="Arial" w:hAnsi="Arial"/>
                <w:sz w:val="16"/>
                <w:szCs w:val="16"/>
                <w:color w:val="auto"/>
              </w:rPr>
              <w:t>7,942</w:t>
            </w:r>
          </w:p>
        </w:tc>
        <w:tc>
          <w:tcPr>
            <w:tcW w:w="120" w:type="dxa"/>
            <w:vAlign w:val="bottom"/>
          </w:tcPr>
          <w:p>
            <w:pPr>
              <w:spacing w:after="0"/>
              <w:rPr>
                <w:sz w:val="16"/>
                <w:szCs w:val="16"/>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-2286000</wp:posOffset>
            </wp:positionV>
            <wp:extent cx="92710" cy="1606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92710" cy="160655"/>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-2286000</wp:posOffset>
            </wp:positionV>
            <wp:extent cx="92710" cy="1606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92710" cy="160655"/>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-2286000</wp:posOffset>
            </wp:positionV>
            <wp:extent cx="92710" cy="1606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92710" cy="160655"/>
                    </a:xfrm>
                    <a:prstGeom prst="rect">
                      <a:avLst/>
                    </a:prstGeom>
                    <a:noFill/>
                  </pic:spPr>
                </pic:pic>
              </a:graphicData>
            </a:graphic>
          </wp:anchor>
        </w:drawing>
        <w:drawing>
          <wp:anchor simplePos="0" relativeHeight="251657728" behindDoc="1" locked="0" layoutInCell="0" allowOverlap="1">
            <wp:simplePos x="0" y="0"/>
            <wp:positionH relativeFrom="column">
              <wp:posOffset>7049770</wp:posOffset>
            </wp:positionH>
            <wp:positionV relativeFrom="paragraph">
              <wp:posOffset>-2286000</wp:posOffset>
            </wp:positionV>
            <wp:extent cx="101600" cy="1606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01600" cy="160655"/>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-1322070</wp:posOffset>
            </wp:positionV>
            <wp:extent cx="92710" cy="1606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92710" cy="160655"/>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-1322070</wp:posOffset>
            </wp:positionV>
            <wp:extent cx="92710" cy="1606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92710" cy="160655"/>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-1322070</wp:posOffset>
            </wp:positionV>
            <wp:extent cx="92710" cy="1606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92710" cy="160655"/>
                    </a:xfrm>
                    <a:prstGeom prst="rect">
                      <a:avLst/>
                    </a:prstGeom>
                    <a:noFill/>
                  </pic:spPr>
                </pic:pic>
              </a:graphicData>
            </a:graphic>
          </wp:anchor>
        </w:drawing>
        <w:drawing>
          <wp:anchor simplePos="0" relativeHeight="251657728" behindDoc="1" locked="0" layoutInCell="0" allowOverlap="1">
            <wp:simplePos x="0" y="0"/>
            <wp:positionH relativeFrom="column">
              <wp:posOffset>7049770</wp:posOffset>
            </wp:positionH>
            <wp:positionV relativeFrom="paragraph">
              <wp:posOffset>-1322070</wp:posOffset>
            </wp:positionV>
            <wp:extent cx="101600" cy="1606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01600" cy="160655"/>
                    </a:xfrm>
                    <a:prstGeom prst="rect">
                      <a:avLst/>
                    </a:prstGeom>
                    <a:noFill/>
                  </pic:spPr>
                </pic:pic>
              </a:graphicData>
            </a:graphic>
          </wp:anchor>
        </w:drawing>
        <w:drawing>
          <wp:anchor simplePos="0" relativeHeight="251657728" behindDoc="1" locked="0" layoutInCell="0" allowOverlap="1">
            <wp:simplePos x="0" y="0"/>
            <wp:positionH relativeFrom="column">
              <wp:posOffset>4391025</wp:posOffset>
            </wp:positionH>
            <wp:positionV relativeFrom="paragraph">
              <wp:posOffset>-675640</wp:posOffset>
            </wp:positionV>
            <wp:extent cx="6731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5278755</wp:posOffset>
            </wp:positionH>
            <wp:positionV relativeFrom="paragraph">
              <wp:posOffset>-675640</wp:posOffset>
            </wp:positionV>
            <wp:extent cx="6731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6166485</wp:posOffset>
            </wp:positionH>
            <wp:positionV relativeFrom="paragraph">
              <wp:posOffset>-675640</wp:posOffset>
            </wp:positionV>
            <wp:extent cx="6731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7062470</wp:posOffset>
            </wp:positionH>
            <wp:positionV relativeFrom="paragraph">
              <wp:posOffset>-675640</wp:posOffset>
            </wp:positionV>
            <wp:extent cx="762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asset represents the difference between the plan assets and the projected benefit obligation (“PBO”). The PBO represents the actuarial present value of benefits based on employee service and compensation and includes an assumption about future compensation levels. The accumulated benefit obligation represents the actuarial present value of benefits based on employee service and compensation but does not include an assumption about future compensation levels.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Actuarial gains and losses arising during 2024 and 2023 were primarily attributable to changes in the discount rate used to determine the PBO.</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weighted-average allocation of plan assets as of December 31, 2024 and 2023 and the target allocations by asset category as of December 31, 2024 were as follows: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0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US</w:t>
            </w: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0"/>
        </w:trPr>
        <w:tc>
          <w:tcPr>
            <w:tcW w:w="4020" w:type="dxa"/>
            <w:vAlign w:val="bottom"/>
          </w:tcPr>
          <w:p>
            <w:pPr>
              <w:spacing w:after="0"/>
              <w:rPr>
                <w:sz w:val="15"/>
                <w:szCs w:val="15"/>
                <w:color w:val="auto"/>
              </w:rPr>
            </w:pPr>
          </w:p>
        </w:tc>
        <w:tc>
          <w:tcPr>
            <w:tcW w:w="800" w:type="dxa"/>
            <w:vAlign w:val="bottom"/>
            <w:tcBorders>
              <w:bottom w:val="single" w:sz="8" w:color="auto"/>
            </w:tcBorders>
            <w:gridSpan w:val="2"/>
          </w:tcPr>
          <w:p>
            <w:pPr>
              <w:jc w:val="right"/>
              <w:ind w:right="100"/>
              <w:spacing w:after="0" w:line="180" w:lineRule="exact"/>
              <w:rPr>
                <w:sz w:val="20"/>
                <w:szCs w:val="20"/>
                <w:color w:val="auto"/>
              </w:rPr>
            </w:pPr>
            <w:r>
              <w:rPr>
                <w:rFonts w:ascii="Arial" w:cs="Arial" w:eastAsia="Arial" w:hAnsi="Arial"/>
                <w:sz w:val="16"/>
                <w:szCs w:val="16"/>
                <w:color w:val="auto"/>
              </w:rPr>
              <w:t>Target</w:t>
            </w:r>
          </w:p>
        </w:tc>
        <w:tc>
          <w:tcPr>
            <w:tcW w:w="400" w:type="dxa"/>
            <w:vAlign w:val="bottom"/>
          </w:tcPr>
          <w:p>
            <w:pPr>
              <w:spacing w:after="0"/>
              <w:rPr>
                <w:sz w:val="15"/>
                <w:szCs w:val="15"/>
                <w:color w:val="auto"/>
              </w:rPr>
            </w:pPr>
          </w:p>
        </w:tc>
        <w:tc>
          <w:tcPr>
            <w:tcW w:w="820" w:type="dxa"/>
            <w:vAlign w:val="bottom"/>
            <w:tcBorders>
              <w:bottom w:val="single" w:sz="8" w:color="auto"/>
            </w:tcBorders>
          </w:tcPr>
          <w:p>
            <w:pPr>
              <w:jc w:val="right"/>
              <w:ind w:right="160"/>
              <w:spacing w:after="0" w:line="180" w:lineRule="exact"/>
              <w:rPr>
                <w:sz w:val="20"/>
                <w:szCs w:val="20"/>
                <w:color w:val="auto"/>
              </w:rPr>
            </w:pPr>
            <w:r>
              <w:rPr>
                <w:rFonts w:ascii="Arial" w:cs="Arial" w:eastAsia="Arial" w:hAnsi="Arial"/>
                <w:sz w:val="16"/>
                <w:szCs w:val="16"/>
                <w:b w:val="1"/>
                <w:bCs w:val="1"/>
                <w:color w:val="auto"/>
              </w:rPr>
              <w:t>2024</w:t>
            </w:r>
          </w:p>
        </w:tc>
        <w:tc>
          <w:tcPr>
            <w:tcW w:w="400" w:type="dxa"/>
            <w:vAlign w:val="bottom"/>
          </w:tcPr>
          <w:p>
            <w:pPr>
              <w:spacing w:after="0"/>
              <w:rPr>
                <w:sz w:val="15"/>
                <w:szCs w:val="15"/>
                <w:color w:val="auto"/>
              </w:rPr>
            </w:pPr>
          </w:p>
        </w:tc>
        <w:tc>
          <w:tcPr>
            <w:tcW w:w="820" w:type="dxa"/>
            <w:vAlign w:val="bottom"/>
            <w:tcBorders>
              <w:bottom w:val="single" w:sz="8" w:color="auto"/>
            </w:tcBorders>
          </w:tcPr>
          <w:p>
            <w:pPr>
              <w:jc w:val="right"/>
              <w:ind w:right="160"/>
              <w:spacing w:after="0" w:line="180" w:lineRule="exact"/>
              <w:rPr>
                <w:sz w:val="20"/>
                <w:szCs w:val="20"/>
                <w:color w:val="auto"/>
              </w:rPr>
            </w:pPr>
            <w:r>
              <w:rPr>
                <w:rFonts w:ascii="Arial" w:cs="Arial" w:eastAsia="Arial" w:hAnsi="Arial"/>
                <w:sz w:val="16"/>
                <w:szCs w:val="16"/>
                <w:color w:val="auto"/>
              </w:rPr>
              <w:t>2023</w:t>
            </w:r>
          </w:p>
        </w:tc>
        <w:tc>
          <w:tcPr>
            <w:tcW w:w="400" w:type="dxa"/>
            <w:vAlign w:val="bottom"/>
          </w:tcPr>
          <w:p>
            <w:pPr>
              <w:spacing w:after="0"/>
              <w:rPr>
                <w:sz w:val="15"/>
                <w:szCs w:val="15"/>
                <w:color w:val="auto"/>
              </w:rPr>
            </w:pPr>
          </w:p>
        </w:tc>
        <w:tc>
          <w:tcPr>
            <w:tcW w:w="800" w:type="dxa"/>
            <w:vAlign w:val="bottom"/>
            <w:tcBorders>
              <w:bottom w:val="single" w:sz="8" w:color="auto"/>
            </w:tcBorders>
            <w:gridSpan w:val="2"/>
          </w:tcPr>
          <w:p>
            <w:pPr>
              <w:jc w:val="right"/>
              <w:ind w:right="100"/>
              <w:spacing w:after="0" w:line="180" w:lineRule="exact"/>
              <w:rPr>
                <w:sz w:val="20"/>
                <w:szCs w:val="20"/>
                <w:color w:val="auto"/>
              </w:rPr>
            </w:pPr>
            <w:r>
              <w:rPr>
                <w:rFonts w:ascii="Arial" w:cs="Arial" w:eastAsia="Arial" w:hAnsi="Arial"/>
                <w:sz w:val="16"/>
                <w:szCs w:val="16"/>
                <w:color w:val="auto"/>
              </w:rPr>
              <w:t>Target</w:t>
            </w:r>
          </w:p>
        </w:tc>
        <w:tc>
          <w:tcPr>
            <w:tcW w:w="400" w:type="dxa"/>
            <w:vAlign w:val="bottom"/>
          </w:tcPr>
          <w:p>
            <w:pPr>
              <w:spacing w:after="0"/>
              <w:rPr>
                <w:sz w:val="15"/>
                <w:szCs w:val="15"/>
                <w:color w:val="auto"/>
              </w:rPr>
            </w:pPr>
          </w:p>
        </w:tc>
        <w:tc>
          <w:tcPr>
            <w:tcW w:w="820" w:type="dxa"/>
            <w:vAlign w:val="bottom"/>
            <w:tcBorders>
              <w:bottom w:val="single" w:sz="8" w:color="auto"/>
            </w:tcBorders>
          </w:tcPr>
          <w:p>
            <w:pPr>
              <w:jc w:val="right"/>
              <w:ind w:right="160"/>
              <w:spacing w:after="0" w:line="180"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Borders>
              <w:bottom w:val="single" w:sz="8" w:color="auto"/>
            </w:tcBorders>
          </w:tcPr>
          <w:p>
            <w:pPr>
              <w:jc w:val="right"/>
              <w:ind w:right="180"/>
              <w:spacing w:after="0" w:line="180" w:lineRule="exact"/>
              <w:rPr>
                <w:sz w:val="20"/>
                <w:szCs w:val="20"/>
                <w:color w:val="auto"/>
              </w:rPr>
            </w:pPr>
            <w:r>
              <w:rPr>
                <w:rFonts w:ascii="Arial" w:cs="Arial" w:eastAsia="Arial" w:hAnsi="Arial"/>
                <w:sz w:val="16"/>
                <w:szCs w:val="16"/>
                <w:color w:val="auto"/>
              </w:rPr>
              <w:t>2023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0"/>
        </w:trPr>
        <w:tc>
          <w:tcPr>
            <w:tcW w:w="402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Cash and cash equivalents</w:t>
            </w:r>
          </w:p>
        </w:tc>
        <w:tc>
          <w:tcPr>
            <w:tcW w:w="46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93"/>
              </w:rPr>
              <w:t>0 - 3</w:t>
            </w:r>
          </w:p>
        </w:tc>
        <w:tc>
          <w:tcPr>
            <w:tcW w:w="400" w:type="dxa"/>
            <w:vAlign w:val="bottom"/>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w:t>
            </w:r>
          </w:p>
        </w:tc>
        <w:tc>
          <w:tcPr>
            <w:tcW w:w="400" w:type="dxa"/>
            <w:vAlign w:val="bottom"/>
            <w:shd w:val="clear" w:color="auto" w:fill="CFF0FC"/>
          </w:tcPr>
          <w:p>
            <w:pPr>
              <w:jc w:val="right"/>
              <w:ind w:right="60"/>
              <w:spacing w:after="0" w:line="180" w:lineRule="exact"/>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w:t>
            </w:r>
          </w:p>
        </w:tc>
        <w:tc>
          <w:tcPr>
            <w:tcW w:w="400" w:type="dxa"/>
            <w:vAlign w:val="bottom"/>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93"/>
              </w:rPr>
              <w:t>0 - 5</w:t>
            </w:r>
          </w:p>
        </w:tc>
        <w:tc>
          <w:tcPr>
            <w:tcW w:w="400" w:type="dxa"/>
            <w:vAlign w:val="bottom"/>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60"/>
              <w:spacing w:after="0" w:line="180" w:lineRule="exact"/>
              <w:rPr>
                <w:sz w:val="20"/>
                <w:szCs w:val="20"/>
                <w:color w:val="auto"/>
              </w:rPr>
            </w:pPr>
            <w:r>
              <w:rPr>
                <w:rFonts w:ascii="Arial" w:cs="Arial" w:eastAsia="Arial" w:hAnsi="Arial"/>
                <w:sz w:val="16"/>
                <w:szCs w:val="16"/>
                <w:b w:val="1"/>
                <w:bCs w:val="1"/>
                <w:color w:val="auto"/>
                <w:w w:val="98"/>
              </w:rPr>
              <w:t>%</w:t>
            </w:r>
          </w:p>
        </w:tc>
        <w:tc>
          <w:tcPr>
            <w:tcW w:w="8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w:t>
            </w:r>
          </w:p>
        </w:tc>
        <w:tc>
          <w:tcPr>
            <w:tcW w:w="30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w:t>
            </w:r>
          </w:p>
        </w:tc>
      </w:tr>
      <w:tr>
        <w:trPr>
          <w:trHeight w:val="186"/>
        </w:trPr>
        <w:tc>
          <w:tcPr>
            <w:tcW w:w="402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4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3"/>
              </w:rPr>
              <w:t>0 - 5</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3"/>
              </w:rPr>
              <w:t>0 - 5</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6"/>
        </w:trPr>
        <w:tc>
          <w:tcPr>
            <w:tcW w:w="4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Debt securities</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- 90</w:t>
            </w:r>
          </w:p>
        </w:tc>
        <w:tc>
          <w:tcPr>
            <w:tcW w:w="4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82</w:t>
            </w:r>
          </w:p>
        </w:tc>
        <w:tc>
          <w:tcPr>
            <w:tcW w:w="4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4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- 70</w:t>
            </w:r>
          </w:p>
        </w:tc>
        <w:tc>
          <w:tcPr>
            <w:tcW w:w="4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69</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FF0FC"/>
          </w:tcPr>
          <w:p>
            <w:pPr>
              <w:spacing w:after="0"/>
              <w:rPr>
                <w:sz w:val="16"/>
                <w:szCs w:val="16"/>
                <w:color w:val="auto"/>
              </w:rPr>
            </w:pPr>
          </w:p>
        </w:tc>
        <w:tc>
          <w:tcPr>
            <w:tcW w:w="180" w:type="dxa"/>
            <w:vAlign w:val="bottom"/>
          </w:tcPr>
          <w:p>
            <w:pPr>
              <w:spacing w:after="0"/>
              <w:rPr>
                <w:sz w:val="16"/>
                <w:szCs w:val="16"/>
                <w:color w:val="auto"/>
              </w:rPr>
            </w:pPr>
          </w:p>
        </w:tc>
      </w:tr>
      <w:tr>
        <w:trPr>
          <w:trHeight w:val="186"/>
        </w:trPr>
        <w:tc>
          <w:tcPr>
            <w:tcW w:w="4020" w:type="dxa"/>
            <w:vAlign w:val="bottom"/>
          </w:tcPr>
          <w:p>
            <w:pPr>
              <w:ind w:left="20"/>
              <w:spacing w:after="0"/>
              <w:rPr>
                <w:sz w:val="20"/>
                <w:szCs w:val="20"/>
                <w:color w:val="auto"/>
              </w:rPr>
            </w:pPr>
            <w:r>
              <w:rPr>
                <w:rFonts w:ascii="Arial" w:cs="Arial" w:eastAsia="Arial" w:hAnsi="Arial"/>
                <w:sz w:val="16"/>
                <w:szCs w:val="16"/>
                <w:color w:val="auto"/>
              </w:rPr>
              <w:t>Private equity and real estate</w:t>
            </w: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c>
          <w:tcPr>
            <w:tcW w:w="340" w:type="dxa"/>
            <w:vAlign w:val="bottom"/>
          </w:tcPr>
          <w:p>
            <w:pPr>
              <w:jc w:val="right"/>
              <w:spacing w:after="0"/>
              <w:rPr>
                <w:sz w:val="20"/>
                <w:szCs w:val="20"/>
                <w:color w:val="auto"/>
              </w:rPr>
            </w:pPr>
            <w:r>
              <w:rPr>
                <w:rFonts w:ascii="Arial" w:cs="Arial" w:eastAsia="Arial" w:hAnsi="Arial"/>
                <w:sz w:val="16"/>
                <w:szCs w:val="16"/>
                <w:color w:val="auto"/>
              </w:rPr>
              <w:t>- 12</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4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w:t>
            </w:r>
          </w:p>
        </w:tc>
        <w:tc>
          <w:tcPr>
            <w:tcW w:w="340" w:type="dxa"/>
            <w:vAlign w:val="bottom"/>
          </w:tcPr>
          <w:p>
            <w:pPr>
              <w:jc w:val="right"/>
              <w:spacing w:after="0"/>
              <w:rPr>
                <w:sz w:val="20"/>
                <w:szCs w:val="20"/>
                <w:color w:val="auto"/>
              </w:rPr>
            </w:pPr>
            <w:r>
              <w:rPr>
                <w:rFonts w:ascii="Arial" w:cs="Arial" w:eastAsia="Arial" w:hAnsi="Arial"/>
                <w:sz w:val="16"/>
                <w:szCs w:val="16"/>
                <w:color w:val="auto"/>
              </w:rPr>
              <w:t>- 20</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6"/>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Private debt</w:t>
            </w:r>
          </w:p>
        </w:tc>
        <w:tc>
          <w:tcPr>
            <w:tcW w:w="46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2 - 8</w:t>
            </w:r>
          </w:p>
        </w:tc>
        <w:tc>
          <w:tcPr>
            <w:tcW w:w="40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w:t>
            </w:r>
          </w:p>
        </w:tc>
        <w:tc>
          <w:tcPr>
            <w:tcW w:w="40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40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- 15</w:t>
            </w:r>
          </w:p>
        </w:tc>
        <w:tc>
          <w:tcPr>
            <w:tcW w:w="40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Pr>
          <w:p>
            <w:pPr>
              <w:spacing w:after="0"/>
              <w:rPr>
                <w:sz w:val="16"/>
                <w:szCs w:val="16"/>
                <w:color w:val="auto"/>
              </w:rPr>
            </w:pPr>
          </w:p>
        </w:tc>
      </w:tr>
      <w:tr>
        <w:trPr>
          <w:trHeight w:val="180"/>
        </w:trPr>
        <w:tc>
          <w:tcPr>
            <w:tcW w:w="40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100</w:t>
            </w:r>
          </w:p>
        </w:tc>
        <w:tc>
          <w:tcPr>
            <w:tcW w:w="400" w:type="dxa"/>
            <w:vAlign w:val="bottom"/>
          </w:tcPr>
          <w:p>
            <w:pPr>
              <w:jc w:val="right"/>
              <w:ind w:right="60"/>
              <w:spacing w:after="0" w:line="167"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b w:val="1"/>
                <w:bCs w:val="1"/>
                <w:color w:val="auto"/>
              </w:rPr>
              <w:t>100</w:t>
            </w:r>
          </w:p>
        </w:tc>
        <w:tc>
          <w:tcPr>
            <w:tcW w:w="400" w:type="dxa"/>
            <w:vAlign w:val="bottom"/>
          </w:tcPr>
          <w:p>
            <w:pPr>
              <w:jc w:val="right"/>
              <w:ind w:right="60"/>
              <w:spacing w:after="0" w:line="167" w:lineRule="exact"/>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100</w:t>
            </w:r>
          </w:p>
        </w:tc>
        <w:tc>
          <w:tcPr>
            <w:tcW w:w="400" w:type="dxa"/>
            <w:vAlign w:val="bottom"/>
          </w:tcPr>
          <w:p>
            <w:pPr>
              <w:jc w:val="right"/>
              <w:ind w:right="60"/>
              <w:spacing w:after="0" w:line="167"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100</w:t>
            </w:r>
          </w:p>
        </w:tc>
        <w:tc>
          <w:tcPr>
            <w:tcW w:w="400" w:type="dxa"/>
            <w:vAlign w:val="bottom"/>
          </w:tcPr>
          <w:p>
            <w:pPr>
              <w:jc w:val="right"/>
              <w:ind w:right="60"/>
              <w:spacing w:after="0" w:line="167"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b w:val="1"/>
                <w:bCs w:val="1"/>
                <w:color w:val="auto"/>
              </w:rPr>
              <w:t>100</w:t>
            </w:r>
          </w:p>
        </w:tc>
        <w:tc>
          <w:tcPr>
            <w:tcW w:w="100" w:type="dxa"/>
            <w:vAlign w:val="bottom"/>
          </w:tcPr>
          <w:p>
            <w:pPr>
              <w:spacing w:after="0"/>
              <w:rPr>
                <w:sz w:val="15"/>
                <w:szCs w:val="15"/>
                <w:color w:val="auto"/>
              </w:rPr>
            </w:pPr>
          </w:p>
        </w:tc>
        <w:tc>
          <w:tcPr>
            <w:tcW w:w="300" w:type="dxa"/>
            <w:vAlign w:val="bottom"/>
          </w:tcPr>
          <w:p>
            <w:pPr>
              <w:jc w:val="right"/>
              <w:ind w:right="60"/>
              <w:spacing w:after="0" w:line="167" w:lineRule="exact"/>
              <w:rPr>
                <w:sz w:val="20"/>
                <w:szCs w:val="20"/>
                <w:color w:val="auto"/>
              </w:rPr>
            </w:pPr>
            <w:r>
              <w:rPr>
                <w:rFonts w:ascii="Arial" w:cs="Arial" w:eastAsia="Arial" w:hAnsi="Arial"/>
                <w:sz w:val="16"/>
                <w:szCs w:val="16"/>
                <w:b w:val="1"/>
                <w:bCs w:val="1"/>
                <w:color w:val="auto"/>
                <w:w w:val="98"/>
              </w:rPr>
              <w:t>%</w:t>
            </w:r>
          </w:p>
        </w:tc>
        <w:tc>
          <w:tcPr>
            <w:tcW w:w="8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100</w:t>
            </w:r>
          </w:p>
        </w:tc>
        <w:tc>
          <w:tcPr>
            <w:tcW w:w="300" w:type="dxa"/>
            <w:vAlign w:val="bottom"/>
            <w:gridSpan w:val="2"/>
          </w:tcPr>
          <w:p>
            <w:pPr>
              <w:jc w:val="right"/>
              <w:ind w:right="20"/>
              <w:spacing w:after="0" w:line="167" w:lineRule="exact"/>
              <w:rPr>
                <w:sz w:val="20"/>
                <w:szCs w:val="20"/>
                <w:color w:val="auto"/>
              </w:rPr>
            </w:pPr>
            <w:r>
              <w:rPr>
                <w:rFonts w:ascii="Arial" w:cs="Arial" w:eastAsia="Arial" w:hAnsi="Arial"/>
                <w:sz w:val="16"/>
                <w:szCs w:val="16"/>
                <w:color w:val="auto"/>
              </w:rPr>
              <w:t>%</w:t>
            </w:r>
          </w:p>
        </w:tc>
      </w:tr>
      <w:tr>
        <w:trPr>
          <w:trHeight w:val="20"/>
        </w:trPr>
        <w:tc>
          <w:tcPr>
            <w:tcW w:w="4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-151765</wp:posOffset>
            </wp:positionV>
            <wp:extent cx="6731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-151765</wp:posOffset>
            </wp:positionV>
            <wp:extent cx="6731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4610735</wp:posOffset>
            </wp:positionH>
            <wp:positionV relativeFrom="paragraph">
              <wp:posOffset>-151765</wp:posOffset>
            </wp:positionV>
            <wp:extent cx="6731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-151765</wp:posOffset>
            </wp:positionV>
            <wp:extent cx="6731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6149340</wp:posOffset>
            </wp:positionH>
            <wp:positionV relativeFrom="paragraph">
              <wp:posOffset>-151765</wp:posOffset>
            </wp:positionV>
            <wp:extent cx="6731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6952615</wp:posOffset>
            </wp:positionH>
            <wp:positionV relativeFrom="paragraph">
              <wp:posOffset>-151765</wp:posOffset>
            </wp:positionV>
            <wp:extent cx="6731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expected rate of return on assets assumptions reflect the long-term average rate of return expected to be earned on plan assets. The assumptions have been determined based on expectations regarding future rates of return for the portfolio considering the asset allocation and related historical rates of return. The appropriateness of the assumptions is reviewed annually.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fair value of SLB’s pension plan assets at December 31, 2024 and 2023, by asset category, is presented below and was determined based on valuation techniques categorized as follows:</w:t>
      </w:r>
    </w:p>
    <w:p>
      <w:pPr>
        <w:spacing w:after="0" w:line="55" w:lineRule="exact"/>
        <w:rPr>
          <w:sz w:val="20"/>
          <w:szCs w:val="20"/>
          <w:color w:val="auto"/>
        </w:rPr>
      </w:pPr>
    </w:p>
    <w:p>
      <w:pPr>
        <w:ind w:left="760" w:hanging="379"/>
        <w:spacing w:after="0"/>
        <w:tabs>
          <w:tab w:leader="none" w:pos="76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Level One: The use of quoted prices in active markets for identical instruments.</w:t>
      </w:r>
    </w:p>
    <w:p>
      <w:pPr>
        <w:spacing w:after="0" w:line="121" w:lineRule="exact"/>
        <w:rPr>
          <w:rFonts w:ascii="Times New Roman" w:cs="Times New Roman" w:eastAsia="Times New Roman" w:hAnsi="Times New Roman"/>
          <w:sz w:val="16"/>
          <w:szCs w:val="16"/>
          <w:color w:val="auto"/>
        </w:rPr>
      </w:pPr>
    </w:p>
    <w:p>
      <w:pPr>
        <w:ind w:left="760" w:hanging="379"/>
        <w:spacing w:after="0" w:line="276" w:lineRule="auto"/>
        <w:tabs>
          <w:tab w:leader="none" w:pos="76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Level Two: The use of quoted prices for similar instruments in active markets or quoted prices for identical or similar instruments in markets that are not active or other inputs that are observable in the market or can be corroborated by observable market data.</w:t>
      </w:r>
    </w:p>
    <w:p>
      <w:pPr>
        <w:spacing w:after="0" w:line="55" w:lineRule="exact"/>
        <w:rPr>
          <w:rFonts w:ascii="Times New Roman" w:cs="Times New Roman" w:eastAsia="Times New Roman" w:hAnsi="Times New Roman"/>
          <w:sz w:val="16"/>
          <w:szCs w:val="16"/>
          <w:color w:val="auto"/>
        </w:rPr>
      </w:pPr>
    </w:p>
    <w:p>
      <w:pPr>
        <w:ind w:left="760" w:hanging="379"/>
        <w:spacing w:after="0" w:line="276" w:lineRule="auto"/>
        <w:tabs>
          <w:tab w:leader="none" w:pos="76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Level Three: The use of significant unobservable inputs that typically require the use of management’s estimates of assumptions that market participants would use in pricing.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5"/>
          </w:tcPr>
          <w:p>
            <w:pPr>
              <w:ind w:left="380"/>
              <w:spacing w:after="0"/>
              <w:rPr>
                <w:sz w:val="20"/>
                <w:szCs w:val="20"/>
                <w:color w:val="auto"/>
              </w:rPr>
            </w:pPr>
            <w:r>
              <w:rPr>
                <w:rFonts w:ascii="Arial" w:cs="Arial" w:eastAsia="Arial" w:hAnsi="Arial"/>
                <w:sz w:val="14"/>
                <w:szCs w:val="14"/>
                <w:i w:val="1"/>
                <w:iCs w:val="1"/>
                <w:color w:val="auto"/>
              </w:rPr>
              <w:t>(Stated in millions)</w:t>
            </w:r>
          </w:p>
        </w:tc>
      </w:tr>
      <w:tr>
        <w:trPr>
          <w:trHeight w:val="355"/>
        </w:trPr>
        <w:tc>
          <w:tcPr>
            <w:tcW w:w="3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color w:val="auto"/>
              </w:rPr>
              <w:t>US Plan Assets</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0"/>
        </w:trPr>
        <w:tc>
          <w:tcPr>
            <w:tcW w:w="3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line="180" w:lineRule="exact"/>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spacing w:after="0" w:line="180" w:lineRule="exact"/>
              <w:rPr>
                <w:sz w:val="20"/>
                <w:szCs w:val="20"/>
                <w:color w:val="auto"/>
              </w:rPr>
            </w:pPr>
            <w:r>
              <w:rPr>
                <w:rFonts w:ascii="Arial" w:cs="Arial" w:eastAsia="Arial" w:hAnsi="Arial"/>
                <w:sz w:val="16"/>
                <w:szCs w:val="16"/>
                <w:color w:val="auto"/>
              </w:rPr>
              <w:t>2023</w:t>
            </w: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6"/>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00"/>
              <w:spacing w:after="0" w:line="165" w:lineRule="exact"/>
              <w:rPr>
                <w:sz w:val="20"/>
                <w:szCs w:val="20"/>
                <w:color w:val="auto"/>
              </w:rPr>
            </w:pPr>
            <w:r>
              <w:rPr>
                <w:rFonts w:ascii="Arial" w:cs="Arial" w:eastAsia="Arial" w:hAnsi="Arial"/>
                <w:sz w:val="16"/>
                <w:szCs w:val="16"/>
                <w:color w:val="auto"/>
              </w:rPr>
              <w:t>Level</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00"/>
              <w:spacing w:after="0" w:line="165" w:lineRule="exact"/>
              <w:rPr>
                <w:sz w:val="20"/>
                <w:szCs w:val="20"/>
                <w:color w:val="auto"/>
              </w:rPr>
            </w:pPr>
            <w:r>
              <w:rPr>
                <w:rFonts w:ascii="Arial" w:cs="Arial" w:eastAsia="Arial" w:hAnsi="Arial"/>
                <w:sz w:val="16"/>
                <w:szCs w:val="16"/>
                <w:color w:val="auto"/>
                <w:w w:val="99"/>
              </w:rPr>
              <w:t>Level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00"/>
              <w:spacing w:after="0" w:line="165" w:lineRule="exact"/>
              <w:rPr>
                <w:sz w:val="20"/>
                <w:szCs w:val="20"/>
                <w:color w:val="auto"/>
              </w:rPr>
            </w:pPr>
            <w:r>
              <w:rPr>
                <w:rFonts w:ascii="Arial" w:cs="Arial" w:eastAsia="Arial" w:hAnsi="Arial"/>
                <w:sz w:val="16"/>
                <w:szCs w:val="16"/>
                <w:color w:val="auto"/>
              </w:rPr>
              <w:t>Level</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00"/>
              <w:spacing w:after="0" w:line="165" w:lineRule="exact"/>
              <w:rPr>
                <w:sz w:val="20"/>
                <w:szCs w:val="20"/>
                <w:color w:val="auto"/>
              </w:rPr>
            </w:pPr>
            <w:r>
              <w:rPr>
                <w:rFonts w:ascii="Arial" w:cs="Arial" w:eastAsia="Arial" w:hAnsi="Arial"/>
                <w:sz w:val="16"/>
                <w:szCs w:val="16"/>
                <w:color w:val="auto"/>
                <w:w w:val="99"/>
              </w:rPr>
              <w:t>Level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01"/>
              <w:spacing w:after="0" w:line="165" w:lineRule="exact"/>
              <w:rPr>
                <w:sz w:val="20"/>
                <w:szCs w:val="20"/>
                <w:color w:val="auto"/>
              </w:rPr>
            </w:pPr>
            <w:r>
              <w:rPr>
                <w:rFonts w:ascii="Arial" w:cs="Arial" w:eastAsia="Arial" w:hAnsi="Arial"/>
                <w:sz w:val="16"/>
                <w:szCs w:val="16"/>
                <w:color w:val="auto"/>
              </w:rPr>
              <w:t>Level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60"/>
              <w:spacing w:after="0" w:line="165" w:lineRule="exact"/>
              <w:rPr>
                <w:sz w:val="20"/>
                <w:szCs w:val="20"/>
                <w:color w:val="auto"/>
              </w:rPr>
            </w:pPr>
            <w:r>
              <w:rPr>
                <w:rFonts w:ascii="Arial" w:cs="Arial" w:eastAsia="Arial" w:hAnsi="Arial"/>
                <w:sz w:val="16"/>
                <w:szCs w:val="16"/>
                <w:color w:val="auto"/>
              </w:rPr>
              <w:t>Level</w:t>
            </w:r>
          </w:p>
        </w:tc>
        <w:tc>
          <w:tcPr>
            <w:tcW w:w="100" w:type="dxa"/>
            <w:vAlign w:val="bottom"/>
          </w:tcPr>
          <w:p>
            <w:pPr>
              <w:spacing w:after="0"/>
              <w:rPr>
                <w:sz w:val="14"/>
                <w:szCs w:val="14"/>
                <w:color w:val="auto"/>
              </w:rPr>
            </w:pPr>
          </w:p>
        </w:tc>
      </w:tr>
      <w:tr>
        <w:trPr>
          <w:trHeight w:val="200"/>
        </w:trPr>
        <w:tc>
          <w:tcPr>
            <w:tcW w:w="3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100"/>
              <w:spacing w:after="0"/>
              <w:rPr>
                <w:sz w:val="20"/>
                <w:szCs w:val="20"/>
                <w:color w:val="auto"/>
              </w:rPr>
            </w:pPr>
            <w:r>
              <w:rPr>
                <w:rFonts w:ascii="Arial" w:cs="Arial" w:eastAsia="Arial" w:hAnsi="Arial"/>
                <w:sz w:val="16"/>
                <w:szCs w:val="16"/>
                <w:color w:val="auto"/>
              </w:rPr>
              <w:t>Total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140"/>
              <w:spacing w:after="0"/>
              <w:rPr>
                <w:sz w:val="20"/>
                <w:szCs w:val="20"/>
                <w:color w:val="auto"/>
              </w:rPr>
            </w:pPr>
            <w:r>
              <w:rPr>
                <w:rFonts w:ascii="Arial" w:cs="Arial" w:eastAsia="Arial" w:hAnsi="Arial"/>
                <w:sz w:val="16"/>
                <w:szCs w:val="16"/>
                <w:color w:val="auto"/>
              </w:rPr>
              <w:t>One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140"/>
              <w:spacing w:after="0"/>
              <w:rPr>
                <w:sz w:val="20"/>
                <w:szCs w:val="20"/>
                <w:color w:val="auto"/>
              </w:rPr>
            </w:pPr>
            <w:r>
              <w:rPr>
                <w:rFonts w:ascii="Arial" w:cs="Arial" w:eastAsia="Arial" w:hAnsi="Arial"/>
                <w:sz w:val="16"/>
                <w:szCs w:val="16"/>
                <w:color w:val="auto"/>
              </w:rPr>
              <w:t>Two</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Three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100"/>
              <w:spacing w:after="0"/>
              <w:rPr>
                <w:sz w:val="20"/>
                <w:szCs w:val="20"/>
                <w:color w:val="auto"/>
              </w:rPr>
            </w:pPr>
            <w:r>
              <w:rPr>
                <w:rFonts w:ascii="Arial" w:cs="Arial" w:eastAsia="Arial" w:hAnsi="Arial"/>
                <w:sz w:val="16"/>
                <w:szCs w:val="16"/>
                <w:color w:val="auto"/>
              </w:rPr>
              <w:t>Total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140"/>
              <w:spacing w:after="0"/>
              <w:rPr>
                <w:sz w:val="20"/>
                <w:szCs w:val="20"/>
                <w:color w:val="auto"/>
              </w:rPr>
            </w:pPr>
            <w:r>
              <w:rPr>
                <w:rFonts w:ascii="Arial" w:cs="Arial" w:eastAsia="Arial" w:hAnsi="Arial"/>
                <w:sz w:val="16"/>
                <w:szCs w:val="16"/>
                <w:color w:val="auto"/>
              </w:rPr>
              <w:t>One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141"/>
              <w:spacing w:after="0"/>
              <w:rPr>
                <w:sz w:val="20"/>
                <w:szCs w:val="20"/>
                <w:color w:val="auto"/>
              </w:rPr>
            </w:pPr>
            <w:r>
              <w:rPr>
                <w:rFonts w:ascii="Arial" w:cs="Arial" w:eastAsia="Arial" w:hAnsi="Arial"/>
                <w:sz w:val="16"/>
                <w:szCs w:val="16"/>
                <w:color w:val="auto"/>
              </w:rPr>
              <w:t>Two</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Arial" w:cs="Arial" w:eastAsia="Arial" w:hAnsi="Arial"/>
                <w:sz w:val="16"/>
                <w:szCs w:val="16"/>
                <w:color w:val="auto"/>
              </w:rPr>
              <w:t>Three</w:t>
            </w:r>
          </w:p>
        </w:tc>
      </w:tr>
      <w:tr>
        <w:trPr>
          <w:trHeight w:val="180"/>
        </w:trPr>
        <w:tc>
          <w:tcPr>
            <w:tcW w:w="384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b w:val="1"/>
                <w:bCs w:val="1"/>
                <w:color w:val="auto"/>
              </w:rPr>
              <w:t>Asset Category:</w:t>
            </w:r>
          </w:p>
        </w:tc>
        <w:tc>
          <w:tcPr>
            <w:tcW w:w="14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6"/>
        </w:trPr>
        <w:tc>
          <w:tcPr>
            <w:tcW w:w="38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33</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33</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86"/>
        </w:trPr>
        <w:tc>
          <w:tcPr>
            <w:tcW w:w="38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Equity Securities</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70</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58</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r>
      <w:tr>
        <w:trPr>
          <w:trHeight w:val="186"/>
        </w:trPr>
        <w:tc>
          <w:tcPr>
            <w:tcW w:w="3840" w:type="dxa"/>
            <w:vAlign w:val="bottom"/>
          </w:tcPr>
          <w:p>
            <w:pPr>
              <w:ind w:left="20"/>
              <w:spacing w:after="0"/>
              <w:rPr>
                <w:sz w:val="20"/>
                <w:szCs w:val="20"/>
                <w:color w:val="auto"/>
              </w:rPr>
            </w:pPr>
            <w:r>
              <w:rPr>
                <w:rFonts w:ascii="Arial" w:cs="Arial" w:eastAsia="Arial" w:hAnsi="Arial"/>
                <w:sz w:val="16"/>
                <w:szCs w:val="16"/>
                <w:b w:val="1"/>
                <w:bCs w:val="1"/>
                <w:color w:val="auto"/>
              </w:rPr>
              <w:t>Debt Securities:</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3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1,713</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1,713</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1,540</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1,540</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r>
      <w:tr>
        <w:trPr>
          <w:trHeight w:val="186"/>
        </w:trPr>
        <w:tc>
          <w:tcPr>
            <w:tcW w:w="3840" w:type="dxa"/>
            <w:vAlign w:val="bottom"/>
          </w:tcPr>
          <w:p>
            <w:pPr>
              <w:ind w:left="200"/>
              <w:spacing w:after="0"/>
              <w:rPr>
                <w:sz w:val="20"/>
                <w:szCs w:val="20"/>
                <w:color w:val="auto"/>
              </w:rPr>
            </w:pPr>
            <w:r>
              <w:rPr>
                <w:rFonts w:ascii="Arial" w:cs="Arial" w:eastAsia="Arial" w:hAnsi="Arial"/>
                <w:sz w:val="16"/>
                <w:szCs w:val="16"/>
                <w:color w:val="auto"/>
              </w:rPr>
              <w:t>Government and related debt securities</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861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848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1,334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1,171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86"/>
        </w:trPr>
        <w:tc>
          <w:tcPr>
            <w:tcW w:w="3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r>
      <w:tr>
        <w:trPr>
          <w:trHeight w:val="186"/>
        </w:trPr>
        <w:tc>
          <w:tcPr>
            <w:tcW w:w="3840" w:type="dxa"/>
            <w:vAlign w:val="bottom"/>
          </w:tcPr>
          <w:p>
            <w:pPr>
              <w:ind w:left="20"/>
              <w:spacing w:after="0"/>
              <w:rPr>
                <w:sz w:val="20"/>
                <w:szCs w:val="20"/>
                <w:color w:val="auto"/>
              </w:rPr>
            </w:pPr>
            <w:r>
              <w:rPr>
                <w:rFonts w:ascii="Arial" w:cs="Arial" w:eastAsia="Arial" w:hAnsi="Arial"/>
                <w:sz w:val="16"/>
                <w:szCs w:val="16"/>
                <w:b w:val="1"/>
                <w:bCs w:val="1"/>
                <w:color w:val="auto"/>
              </w:rPr>
              <w:t>Alternative Investments:</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3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Private equity</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234</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234</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FF0FC"/>
          </w:tcPr>
          <w:p>
            <w:pPr>
              <w:spacing w:after="0"/>
              <w:rPr>
                <w:sz w:val="16"/>
                <w:szCs w:val="16"/>
                <w:color w:val="auto"/>
              </w:rPr>
            </w:pPr>
          </w:p>
        </w:tc>
      </w:tr>
      <w:tr>
        <w:trPr>
          <w:trHeight w:val="186"/>
        </w:trPr>
        <w:tc>
          <w:tcPr>
            <w:tcW w:w="3840" w:type="dxa"/>
            <w:vAlign w:val="bottom"/>
          </w:tcPr>
          <w:p>
            <w:pPr>
              <w:ind w:left="200"/>
              <w:spacing w:after="0"/>
              <w:rPr>
                <w:sz w:val="20"/>
                <w:szCs w:val="20"/>
                <w:color w:val="auto"/>
              </w:rPr>
            </w:pPr>
            <w:r>
              <w:rPr>
                <w:rFonts w:ascii="Arial" w:cs="Arial" w:eastAsia="Arial" w:hAnsi="Arial"/>
                <w:sz w:val="16"/>
                <w:szCs w:val="16"/>
                <w:color w:val="auto"/>
              </w:rPr>
              <w:t>Private debt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186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186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6"/>
                <w:szCs w:val="16"/>
                <w:color w:val="auto"/>
              </w:rPr>
            </w:pPr>
          </w:p>
        </w:tc>
      </w:tr>
      <w:tr>
        <w:trPr>
          <w:trHeight w:val="186"/>
        </w:trPr>
        <w:tc>
          <w:tcPr>
            <w:tcW w:w="3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Real estate</w:t>
            </w:r>
          </w:p>
        </w:tc>
        <w:tc>
          <w:tcPr>
            <w:tcW w:w="14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65</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65</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0"/>
        </w:trPr>
        <w:tc>
          <w:tcPr>
            <w:tcW w:w="3840" w:type="dxa"/>
            <w:vAlign w:val="bottom"/>
          </w:tcPr>
          <w:p>
            <w:pPr>
              <w:ind w:left="20"/>
              <w:spacing w:after="0" w:line="167" w:lineRule="exact"/>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b w:val="1"/>
                <w:bCs w:val="1"/>
                <w:color w:val="auto"/>
              </w:rPr>
              <w:t>3,175</w:t>
            </w:r>
          </w:p>
        </w:tc>
        <w:tc>
          <w:tcPr>
            <w:tcW w:w="2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b w:val="1"/>
                <w:bCs w:val="1"/>
                <w:color w:val="auto"/>
              </w:rPr>
              <w:t>104</w:t>
            </w:r>
          </w:p>
        </w:tc>
        <w:tc>
          <w:tcPr>
            <w:tcW w:w="2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b w:val="1"/>
                <w:bCs w:val="1"/>
                <w:color w:val="auto"/>
              </w:rPr>
              <w:t>2,586</w:t>
            </w:r>
          </w:p>
        </w:tc>
        <w:tc>
          <w:tcPr>
            <w:tcW w:w="2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b w:val="1"/>
                <w:bCs w:val="1"/>
                <w:color w:val="auto"/>
              </w:rPr>
              <w:t>485</w:t>
            </w:r>
          </w:p>
        </w:tc>
        <w:tc>
          <w:tcPr>
            <w:tcW w:w="2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3,427</w:t>
            </w:r>
          </w:p>
        </w:tc>
        <w:tc>
          <w:tcPr>
            <w:tcW w:w="2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196</w:t>
            </w:r>
          </w:p>
        </w:tc>
        <w:tc>
          <w:tcPr>
            <w:tcW w:w="2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2,729</w:t>
            </w:r>
          </w:p>
        </w:tc>
        <w:tc>
          <w:tcPr>
            <w:tcW w:w="2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502</w:t>
            </w:r>
          </w:p>
        </w:tc>
        <w:tc>
          <w:tcPr>
            <w:tcW w:w="100" w:type="dxa"/>
            <w:vAlign w:val="bottom"/>
          </w:tcPr>
          <w:p>
            <w:pPr>
              <w:spacing w:after="0"/>
              <w:rPr>
                <w:sz w:val="15"/>
                <w:szCs w:val="15"/>
                <w:color w:val="auto"/>
              </w:rPr>
            </w:pPr>
          </w:p>
        </w:tc>
      </w:tr>
      <w:tr>
        <w:trPr>
          <w:trHeight w:val="20"/>
        </w:trPr>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2"/>
        </w:trPr>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54</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2"/>
        </w:trPr>
        <w:tc>
          <w:tcPr>
            <w:tcW w:w="3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-1030605</wp:posOffset>
            </wp:positionV>
            <wp:extent cx="6731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-1030605</wp:posOffset>
            </wp:positionV>
            <wp:extent cx="6731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-1030605</wp:posOffset>
            </wp:positionV>
            <wp:extent cx="6731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-1030605</wp:posOffset>
            </wp:positionV>
            <wp:extent cx="6731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5261610</wp:posOffset>
            </wp:positionH>
            <wp:positionV relativeFrom="paragraph">
              <wp:posOffset>-1030605</wp:posOffset>
            </wp:positionV>
            <wp:extent cx="6731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-1030605</wp:posOffset>
            </wp:positionV>
            <wp:extent cx="6731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6453505</wp:posOffset>
            </wp:positionH>
            <wp:positionV relativeFrom="paragraph">
              <wp:posOffset>-1030605</wp:posOffset>
            </wp:positionV>
            <wp:extent cx="6731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-1030605</wp:posOffset>
            </wp:positionV>
            <wp:extent cx="6731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5"/>
          </w:tcPr>
          <w:p>
            <w:pPr>
              <w:ind w:left="380"/>
              <w:spacing w:after="0"/>
              <w:rPr>
                <w:sz w:val="20"/>
                <w:szCs w:val="20"/>
                <w:color w:val="auto"/>
              </w:rPr>
            </w:pPr>
            <w:r>
              <w:rPr>
                <w:rFonts w:ascii="Arial" w:cs="Arial" w:eastAsia="Arial" w:hAnsi="Arial"/>
                <w:sz w:val="14"/>
                <w:szCs w:val="14"/>
                <w:i w:val="1"/>
                <w:iCs w:val="1"/>
                <w:color w:val="auto"/>
              </w:rPr>
              <w:t>(Stated in millions)</w:t>
            </w:r>
          </w:p>
        </w:tc>
      </w:tr>
      <w:tr>
        <w:trPr>
          <w:trHeight w:val="355"/>
        </w:trPr>
        <w:tc>
          <w:tcPr>
            <w:tcW w:w="3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ind w:left="180"/>
              <w:spacing w:after="0"/>
              <w:rPr>
                <w:sz w:val="20"/>
                <w:szCs w:val="20"/>
                <w:color w:val="auto"/>
              </w:rPr>
            </w:pPr>
            <w:r>
              <w:rPr>
                <w:rFonts w:ascii="Arial" w:cs="Arial" w:eastAsia="Arial" w:hAnsi="Arial"/>
                <w:sz w:val="16"/>
                <w:szCs w:val="16"/>
                <w:color w:val="auto"/>
              </w:rPr>
              <w:t>International Plan Assets</w:t>
            </w: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0"/>
        </w:trPr>
        <w:tc>
          <w:tcPr>
            <w:tcW w:w="3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ind w:right="80"/>
              <w:spacing w:after="0" w:line="180" w:lineRule="exact"/>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ind w:right="40"/>
              <w:spacing w:after="0" w:line="180" w:lineRule="exact"/>
              <w:rPr>
                <w:sz w:val="20"/>
                <w:szCs w:val="20"/>
                <w:color w:val="auto"/>
              </w:rPr>
            </w:pPr>
            <w:r>
              <w:rPr>
                <w:rFonts w:ascii="Arial" w:cs="Arial" w:eastAsia="Arial" w:hAnsi="Arial"/>
                <w:sz w:val="16"/>
                <w:szCs w:val="16"/>
                <w:color w:val="auto"/>
              </w:rPr>
              <w:t>2023</w:t>
            </w: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6"/>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00"/>
              <w:spacing w:after="0" w:line="165" w:lineRule="exact"/>
              <w:rPr>
                <w:sz w:val="20"/>
                <w:szCs w:val="20"/>
                <w:color w:val="auto"/>
              </w:rPr>
            </w:pPr>
            <w:r>
              <w:rPr>
                <w:rFonts w:ascii="Arial" w:cs="Arial" w:eastAsia="Arial" w:hAnsi="Arial"/>
                <w:sz w:val="16"/>
                <w:szCs w:val="16"/>
                <w:color w:val="auto"/>
              </w:rPr>
              <w:t>Level</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00"/>
              <w:spacing w:after="0" w:line="165" w:lineRule="exact"/>
              <w:rPr>
                <w:sz w:val="20"/>
                <w:szCs w:val="20"/>
                <w:color w:val="auto"/>
              </w:rPr>
            </w:pPr>
            <w:r>
              <w:rPr>
                <w:rFonts w:ascii="Arial" w:cs="Arial" w:eastAsia="Arial" w:hAnsi="Arial"/>
                <w:sz w:val="16"/>
                <w:szCs w:val="16"/>
                <w:color w:val="auto"/>
                <w:w w:val="99"/>
              </w:rPr>
              <w:t>Level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00"/>
              <w:spacing w:after="0" w:line="165" w:lineRule="exact"/>
              <w:rPr>
                <w:sz w:val="20"/>
                <w:szCs w:val="20"/>
                <w:color w:val="auto"/>
              </w:rPr>
            </w:pPr>
            <w:r>
              <w:rPr>
                <w:rFonts w:ascii="Arial" w:cs="Arial" w:eastAsia="Arial" w:hAnsi="Arial"/>
                <w:sz w:val="16"/>
                <w:szCs w:val="16"/>
                <w:color w:val="auto"/>
              </w:rPr>
              <w:t>Level</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00"/>
              <w:spacing w:after="0" w:line="165" w:lineRule="exact"/>
              <w:rPr>
                <w:sz w:val="20"/>
                <w:szCs w:val="20"/>
                <w:color w:val="auto"/>
              </w:rPr>
            </w:pPr>
            <w:r>
              <w:rPr>
                <w:rFonts w:ascii="Arial" w:cs="Arial" w:eastAsia="Arial" w:hAnsi="Arial"/>
                <w:sz w:val="16"/>
                <w:szCs w:val="16"/>
                <w:color w:val="auto"/>
                <w:w w:val="99"/>
              </w:rPr>
              <w:t>Level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01"/>
              <w:spacing w:after="0" w:line="165" w:lineRule="exact"/>
              <w:rPr>
                <w:sz w:val="20"/>
                <w:szCs w:val="20"/>
                <w:color w:val="auto"/>
              </w:rPr>
            </w:pPr>
            <w:r>
              <w:rPr>
                <w:rFonts w:ascii="Arial" w:cs="Arial" w:eastAsia="Arial" w:hAnsi="Arial"/>
                <w:sz w:val="16"/>
                <w:szCs w:val="16"/>
                <w:color w:val="auto"/>
              </w:rPr>
              <w:t>Level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60"/>
              <w:spacing w:after="0" w:line="165" w:lineRule="exact"/>
              <w:rPr>
                <w:sz w:val="20"/>
                <w:szCs w:val="20"/>
                <w:color w:val="auto"/>
              </w:rPr>
            </w:pPr>
            <w:r>
              <w:rPr>
                <w:rFonts w:ascii="Arial" w:cs="Arial" w:eastAsia="Arial" w:hAnsi="Arial"/>
                <w:sz w:val="16"/>
                <w:szCs w:val="16"/>
                <w:color w:val="auto"/>
              </w:rPr>
              <w:t>Level</w:t>
            </w:r>
          </w:p>
        </w:tc>
        <w:tc>
          <w:tcPr>
            <w:tcW w:w="100" w:type="dxa"/>
            <w:vAlign w:val="bottom"/>
          </w:tcPr>
          <w:p>
            <w:pPr>
              <w:spacing w:after="0"/>
              <w:rPr>
                <w:sz w:val="14"/>
                <w:szCs w:val="14"/>
                <w:color w:val="auto"/>
              </w:rPr>
            </w:pPr>
          </w:p>
        </w:tc>
      </w:tr>
      <w:tr>
        <w:trPr>
          <w:trHeight w:val="200"/>
        </w:trPr>
        <w:tc>
          <w:tcPr>
            <w:tcW w:w="3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100"/>
              <w:spacing w:after="0"/>
              <w:rPr>
                <w:sz w:val="20"/>
                <w:szCs w:val="20"/>
                <w:color w:val="auto"/>
              </w:rPr>
            </w:pPr>
            <w:r>
              <w:rPr>
                <w:rFonts w:ascii="Arial" w:cs="Arial" w:eastAsia="Arial" w:hAnsi="Arial"/>
                <w:sz w:val="16"/>
                <w:szCs w:val="16"/>
                <w:color w:val="auto"/>
              </w:rPr>
              <w:t>Total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140"/>
              <w:spacing w:after="0"/>
              <w:rPr>
                <w:sz w:val="20"/>
                <w:szCs w:val="20"/>
                <w:color w:val="auto"/>
              </w:rPr>
            </w:pPr>
            <w:r>
              <w:rPr>
                <w:rFonts w:ascii="Arial" w:cs="Arial" w:eastAsia="Arial" w:hAnsi="Arial"/>
                <w:sz w:val="16"/>
                <w:szCs w:val="16"/>
                <w:color w:val="auto"/>
              </w:rPr>
              <w:t>One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140"/>
              <w:spacing w:after="0"/>
              <w:rPr>
                <w:sz w:val="20"/>
                <w:szCs w:val="20"/>
                <w:color w:val="auto"/>
              </w:rPr>
            </w:pPr>
            <w:r>
              <w:rPr>
                <w:rFonts w:ascii="Arial" w:cs="Arial" w:eastAsia="Arial" w:hAnsi="Arial"/>
                <w:sz w:val="16"/>
                <w:szCs w:val="16"/>
                <w:color w:val="auto"/>
              </w:rPr>
              <w:t>Two</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Three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7"/>
                <w:szCs w:val="17"/>
                <w:color w:val="auto"/>
              </w:rPr>
            </w:pPr>
          </w:p>
        </w:tc>
        <w:tc>
          <w:tcPr>
            <w:tcW w:w="580" w:type="dxa"/>
            <w:vAlign w:val="bottom"/>
          </w:tcPr>
          <w:p>
            <w:pPr>
              <w:jc w:val="right"/>
              <w:ind w:right="140"/>
              <w:spacing w:after="0"/>
              <w:rPr>
                <w:sz w:val="20"/>
                <w:szCs w:val="20"/>
                <w:color w:val="auto"/>
              </w:rPr>
            </w:pPr>
            <w:r>
              <w:rPr>
                <w:rFonts w:ascii="Arial" w:cs="Arial" w:eastAsia="Arial" w:hAnsi="Arial"/>
                <w:sz w:val="16"/>
                <w:szCs w:val="16"/>
                <w:color w:val="auto"/>
              </w:rPr>
              <w:t>One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141"/>
              <w:spacing w:after="0"/>
              <w:rPr>
                <w:sz w:val="20"/>
                <w:szCs w:val="20"/>
                <w:color w:val="auto"/>
              </w:rPr>
            </w:pPr>
            <w:r>
              <w:rPr>
                <w:rFonts w:ascii="Arial" w:cs="Arial" w:eastAsia="Arial" w:hAnsi="Arial"/>
                <w:sz w:val="16"/>
                <w:szCs w:val="16"/>
                <w:color w:val="auto"/>
              </w:rPr>
              <w:t>Two</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Arial" w:cs="Arial" w:eastAsia="Arial" w:hAnsi="Arial"/>
                <w:sz w:val="16"/>
                <w:szCs w:val="16"/>
                <w:color w:val="auto"/>
              </w:rPr>
              <w:t>Three</w:t>
            </w:r>
          </w:p>
        </w:tc>
      </w:tr>
      <w:tr>
        <w:trPr>
          <w:trHeight w:val="180"/>
        </w:trPr>
        <w:tc>
          <w:tcPr>
            <w:tcW w:w="384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b w:val="1"/>
                <w:bCs w:val="1"/>
                <w:color w:val="auto"/>
              </w:rPr>
              <w:t>Asset Category:</w:t>
            </w:r>
          </w:p>
        </w:tc>
        <w:tc>
          <w:tcPr>
            <w:tcW w:w="14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6"/>
        </w:trPr>
        <w:tc>
          <w:tcPr>
            <w:tcW w:w="38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89</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267</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260</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86"/>
        </w:trPr>
        <w:tc>
          <w:tcPr>
            <w:tcW w:w="38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Equity Securities</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264</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264</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6"/>
        </w:trPr>
        <w:tc>
          <w:tcPr>
            <w:tcW w:w="3840" w:type="dxa"/>
            <w:vAlign w:val="bottom"/>
          </w:tcPr>
          <w:p>
            <w:pPr>
              <w:ind w:left="20"/>
              <w:spacing w:after="0"/>
              <w:rPr>
                <w:sz w:val="20"/>
                <w:szCs w:val="20"/>
                <w:color w:val="auto"/>
              </w:rPr>
            </w:pPr>
            <w:r>
              <w:rPr>
                <w:rFonts w:ascii="Arial" w:cs="Arial" w:eastAsia="Arial" w:hAnsi="Arial"/>
                <w:sz w:val="16"/>
                <w:szCs w:val="16"/>
                <w:b w:val="1"/>
                <w:bCs w:val="1"/>
                <w:color w:val="auto"/>
              </w:rPr>
              <w:t>Debt Securities:</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3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2,948</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2,948</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3,001</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3,001</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r>
      <w:tr>
        <w:trPr>
          <w:trHeight w:val="186"/>
        </w:trPr>
        <w:tc>
          <w:tcPr>
            <w:tcW w:w="3840" w:type="dxa"/>
            <w:vAlign w:val="bottom"/>
          </w:tcPr>
          <w:p>
            <w:pPr>
              <w:ind w:left="200"/>
              <w:spacing w:after="0"/>
              <w:rPr>
                <w:sz w:val="20"/>
                <w:szCs w:val="20"/>
                <w:color w:val="auto"/>
              </w:rPr>
            </w:pPr>
            <w:r>
              <w:rPr>
                <w:rFonts w:ascii="Arial" w:cs="Arial" w:eastAsia="Arial" w:hAnsi="Arial"/>
                <w:sz w:val="16"/>
                <w:szCs w:val="16"/>
                <w:color w:val="auto"/>
              </w:rPr>
              <w:t>Government and related debt securities</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1,969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448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1,521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2,466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1,903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86"/>
        </w:trPr>
        <w:tc>
          <w:tcPr>
            <w:tcW w:w="3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390</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390</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r>
      <w:tr>
        <w:trPr>
          <w:trHeight w:val="186"/>
        </w:trPr>
        <w:tc>
          <w:tcPr>
            <w:tcW w:w="3840" w:type="dxa"/>
            <w:vAlign w:val="bottom"/>
          </w:tcPr>
          <w:p>
            <w:pPr>
              <w:ind w:left="20"/>
              <w:spacing w:after="0"/>
              <w:rPr>
                <w:sz w:val="20"/>
                <w:szCs w:val="20"/>
                <w:color w:val="auto"/>
              </w:rPr>
            </w:pPr>
            <w:r>
              <w:rPr>
                <w:rFonts w:ascii="Arial" w:cs="Arial" w:eastAsia="Arial" w:hAnsi="Arial"/>
                <w:sz w:val="16"/>
                <w:szCs w:val="16"/>
                <w:b w:val="1"/>
                <w:bCs w:val="1"/>
                <w:color w:val="auto"/>
              </w:rPr>
              <w:t>Alternative Investments:</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3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Private equity</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1,136</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1,136</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1,269</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1,269</w:t>
            </w:r>
          </w:p>
        </w:tc>
        <w:tc>
          <w:tcPr>
            <w:tcW w:w="100" w:type="dxa"/>
            <w:vAlign w:val="bottom"/>
            <w:shd w:val="clear" w:color="auto" w:fill="CFF0FC"/>
          </w:tcPr>
          <w:p>
            <w:pPr>
              <w:spacing w:after="0"/>
              <w:rPr>
                <w:sz w:val="16"/>
                <w:szCs w:val="16"/>
                <w:color w:val="auto"/>
              </w:rPr>
            </w:pPr>
          </w:p>
        </w:tc>
      </w:tr>
      <w:tr>
        <w:trPr>
          <w:trHeight w:val="186"/>
        </w:trPr>
        <w:tc>
          <w:tcPr>
            <w:tcW w:w="3840" w:type="dxa"/>
            <w:vAlign w:val="bottom"/>
          </w:tcPr>
          <w:p>
            <w:pPr>
              <w:ind w:left="200"/>
              <w:spacing w:after="0"/>
              <w:rPr>
                <w:sz w:val="20"/>
                <w:szCs w:val="20"/>
                <w:color w:val="auto"/>
              </w:rPr>
            </w:pPr>
            <w:r>
              <w:rPr>
                <w:rFonts w:ascii="Arial" w:cs="Arial" w:eastAsia="Arial" w:hAnsi="Arial"/>
                <w:sz w:val="16"/>
                <w:szCs w:val="16"/>
                <w:color w:val="auto"/>
              </w:rPr>
              <w:t>Private debt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738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738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805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16"/>
                <w:szCs w:val="16"/>
                <w:color w:val="auto"/>
              </w:rPr>
            </w:pPr>
          </w:p>
        </w:tc>
      </w:tr>
      <w:tr>
        <w:trPr>
          <w:trHeight w:val="186"/>
        </w:trPr>
        <w:tc>
          <w:tcPr>
            <w:tcW w:w="3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Real estate</w:t>
            </w:r>
          </w:p>
        </w:tc>
        <w:tc>
          <w:tcPr>
            <w:tcW w:w="14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139</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139</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0"/>
        </w:trPr>
        <w:tc>
          <w:tcPr>
            <w:tcW w:w="3840" w:type="dxa"/>
            <w:vAlign w:val="bottom"/>
          </w:tcPr>
          <w:p>
            <w:pPr>
              <w:ind w:left="20"/>
              <w:spacing w:after="0" w:line="167" w:lineRule="exact"/>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line="167" w:lineRule="exact"/>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line="167" w:lineRule="exact"/>
              <w:rPr>
                <w:sz w:val="20"/>
                <w:szCs w:val="20"/>
                <w:color w:val="auto"/>
              </w:rPr>
            </w:pPr>
            <w:r>
              <w:rPr>
                <w:rFonts w:ascii="Arial" w:cs="Arial" w:eastAsia="Arial" w:hAnsi="Arial"/>
                <w:sz w:val="16"/>
                <w:szCs w:val="16"/>
                <w:b w:val="1"/>
                <w:bCs w:val="1"/>
                <w:color w:val="auto"/>
              </w:rPr>
              <w:t>7,674</w:t>
            </w:r>
          </w:p>
        </w:tc>
        <w:tc>
          <w:tcPr>
            <w:tcW w:w="340" w:type="dxa"/>
            <w:vAlign w:val="bottom"/>
            <w:gridSpan w:val="2"/>
          </w:tcPr>
          <w:p>
            <w:pPr>
              <w:jc w:val="right"/>
              <w:ind w:right="20"/>
              <w:spacing w:after="0" w:line="167" w:lineRule="exact"/>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line="167" w:lineRule="exact"/>
              <w:rPr>
                <w:sz w:val="20"/>
                <w:szCs w:val="20"/>
                <w:color w:val="auto"/>
              </w:rPr>
            </w:pPr>
            <w:r>
              <w:rPr>
                <w:rFonts w:ascii="Arial" w:cs="Arial" w:eastAsia="Arial" w:hAnsi="Arial"/>
                <w:sz w:val="16"/>
                <w:szCs w:val="16"/>
                <w:b w:val="1"/>
                <w:bCs w:val="1"/>
                <w:color w:val="auto"/>
              </w:rPr>
              <w:t>801</w:t>
            </w:r>
          </w:p>
        </w:tc>
        <w:tc>
          <w:tcPr>
            <w:tcW w:w="340" w:type="dxa"/>
            <w:vAlign w:val="bottom"/>
            <w:gridSpan w:val="2"/>
          </w:tcPr>
          <w:p>
            <w:pPr>
              <w:jc w:val="right"/>
              <w:ind w:right="40"/>
              <w:spacing w:after="0" w:line="167" w:lineRule="exact"/>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line="167" w:lineRule="exact"/>
              <w:rPr>
                <w:sz w:val="20"/>
                <w:szCs w:val="20"/>
                <w:color w:val="auto"/>
              </w:rPr>
            </w:pPr>
            <w:r>
              <w:rPr>
                <w:rFonts w:ascii="Arial" w:cs="Arial" w:eastAsia="Arial" w:hAnsi="Arial"/>
                <w:sz w:val="16"/>
                <w:szCs w:val="16"/>
                <w:b w:val="1"/>
                <w:bCs w:val="1"/>
                <w:color w:val="auto"/>
              </w:rPr>
              <w:t>4,860</w:t>
            </w:r>
          </w:p>
        </w:tc>
        <w:tc>
          <w:tcPr>
            <w:tcW w:w="340" w:type="dxa"/>
            <w:vAlign w:val="bottom"/>
            <w:gridSpan w:val="2"/>
          </w:tcPr>
          <w:p>
            <w:pPr>
              <w:jc w:val="right"/>
              <w:ind w:right="20"/>
              <w:spacing w:after="0" w:line="167" w:lineRule="exact"/>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line="167" w:lineRule="exact"/>
              <w:rPr>
                <w:sz w:val="20"/>
                <w:szCs w:val="20"/>
                <w:color w:val="auto"/>
              </w:rPr>
            </w:pPr>
            <w:r>
              <w:rPr>
                <w:rFonts w:ascii="Arial" w:cs="Arial" w:eastAsia="Arial" w:hAnsi="Arial"/>
                <w:sz w:val="16"/>
                <w:szCs w:val="16"/>
                <w:b w:val="1"/>
                <w:bCs w:val="1"/>
                <w:color w:val="auto"/>
              </w:rPr>
              <w:t>2,013</w:t>
            </w:r>
          </w:p>
        </w:tc>
        <w:tc>
          <w:tcPr>
            <w:tcW w:w="340" w:type="dxa"/>
            <w:vAlign w:val="bottom"/>
            <w:gridSpan w:val="2"/>
          </w:tcPr>
          <w:p>
            <w:pPr>
              <w:jc w:val="right"/>
              <w:ind w:right="40"/>
              <w:spacing w:after="0" w:line="167"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67" w:lineRule="exact"/>
              <w:rPr>
                <w:sz w:val="20"/>
                <w:szCs w:val="20"/>
                <w:color w:val="auto"/>
              </w:rPr>
            </w:pPr>
            <w:r>
              <w:rPr>
                <w:rFonts w:ascii="Arial" w:cs="Arial" w:eastAsia="Arial" w:hAnsi="Arial"/>
                <w:sz w:val="16"/>
                <w:szCs w:val="16"/>
                <w:color w:val="auto"/>
              </w:rPr>
              <w:t>8,390</w:t>
            </w:r>
          </w:p>
        </w:tc>
        <w:tc>
          <w:tcPr>
            <w:tcW w:w="220" w:type="dxa"/>
            <w:vAlign w:val="bottom"/>
          </w:tcPr>
          <w:p>
            <w:pPr>
              <w:spacing w:after="0"/>
              <w:rPr>
                <w:sz w:val="15"/>
                <w:szCs w:val="15"/>
                <w:color w:val="auto"/>
              </w:rPr>
            </w:pPr>
          </w:p>
        </w:tc>
        <w:tc>
          <w:tcPr>
            <w:tcW w:w="140" w:type="dxa"/>
            <w:vAlign w:val="bottom"/>
          </w:tcPr>
          <w:p>
            <w:pPr>
              <w:jc w:val="right"/>
              <w:spacing w:after="0" w:line="167" w:lineRule="exact"/>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line="167" w:lineRule="exact"/>
              <w:rPr>
                <w:sz w:val="20"/>
                <w:szCs w:val="20"/>
                <w:color w:val="auto"/>
              </w:rPr>
            </w:pPr>
            <w:r>
              <w:rPr>
                <w:rFonts w:ascii="Arial" w:cs="Arial" w:eastAsia="Arial" w:hAnsi="Arial"/>
                <w:sz w:val="16"/>
                <w:szCs w:val="16"/>
                <w:color w:val="auto"/>
              </w:rPr>
              <w:t>945</w:t>
            </w:r>
          </w:p>
        </w:tc>
        <w:tc>
          <w:tcPr>
            <w:tcW w:w="340" w:type="dxa"/>
            <w:vAlign w:val="bottom"/>
            <w:gridSpan w:val="2"/>
          </w:tcPr>
          <w:p>
            <w:pPr>
              <w:jc w:val="right"/>
              <w:ind w:right="20"/>
              <w:spacing w:after="0" w:line="167"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7" w:lineRule="exact"/>
              <w:rPr>
                <w:sz w:val="20"/>
                <w:szCs w:val="20"/>
                <w:color w:val="auto"/>
              </w:rPr>
            </w:pPr>
            <w:r>
              <w:rPr>
                <w:rFonts w:ascii="Arial" w:cs="Arial" w:eastAsia="Arial" w:hAnsi="Arial"/>
                <w:sz w:val="16"/>
                <w:szCs w:val="16"/>
                <w:color w:val="auto"/>
              </w:rPr>
              <w:t>5,203</w:t>
            </w:r>
          </w:p>
        </w:tc>
        <w:tc>
          <w:tcPr>
            <w:tcW w:w="340" w:type="dxa"/>
            <w:vAlign w:val="bottom"/>
            <w:gridSpan w:val="2"/>
          </w:tcPr>
          <w:p>
            <w:pPr>
              <w:jc w:val="right"/>
              <w:ind w:right="20"/>
              <w:spacing w:after="0" w:line="167"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67" w:lineRule="exact"/>
              <w:rPr>
                <w:sz w:val="20"/>
                <w:szCs w:val="20"/>
                <w:color w:val="auto"/>
              </w:rPr>
            </w:pPr>
            <w:r>
              <w:rPr>
                <w:rFonts w:ascii="Arial" w:cs="Arial" w:eastAsia="Arial" w:hAnsi="Arial"/>
                <w:sz w:val="16"/>
                <w:szCs w:val="16"/>
                <w:color w:val="auto"/>
              </w:rPr>
              <w:t>2,242</w:t>
            </w:r>
          </w:p>
        </w:tc>
        <w:tc>
          <w:tcPr>
            <w:tcW w:w="100" w:type="dxa"/>
            <w:vAlign w:val="bottom"/>
          </w:tcPr>
          <w:p>
            <w:pPr>
              <w:spacing w:after="0"/>
              <w:rPr>
                <w:sz w:val="15"/>
                <w:szCs w:val="15"/>
                <w:color w:val="auto"/>
              </w:rPr>
            </w:pPr>
          </w:p>
        </w:tc>
      </w:tr>
      <w:tr>
        <w:trPr>
          <w:trHeight w:val="20"/>
        </w:trPr>
        <w:tc>
          <w:tcPr>
            <w:tcW w:w="3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-151765</wp:posOffset>
            </wp:positionV>
            <wp:extent cx="6731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-151765</wp:posOffset>
            </wp:positionV>
            <wp:extent cx="6731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-151765</wp:posOffset>
            </wp:positionV>
            <wp:extent cx="6731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-151765</wp:posOffset>
            </wp:positionV>
            <wp:extent cx="6731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5261610</wp:posOffset>
            </wp:positionH>
            <wp:positionV relativeFrom="paragraph">
              <wp:posOffset>-151765</wp:posOffset>
            </wp:positionV>
            <wp:extent cx="6731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-151765</wp:posOffset>
            </wp:positionV>
            <wp:extent cx="6731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6453505</wp:posOffset>
            </wp:positionH>
            <wp:positionV relativeFrom="paragraph">
              <wp:posOffset>-151765</wp:posOffset>
            </wp:positionV>
            <wp:extent cx="6731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-151765</wp:posOffset>
            </wp:positionV>
            <wp:extent cx="6731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SLB’s funding policy is to contribute amounts that are based upon a number of factors including the funded status of the plans, amounts that are deductible for income tax purposes, legal funding requirements, and available cash flow. SLB does not expect to make any material contributions to its postretirement benefit plans in 2025.</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Postretirement Benefits Other Than Pensions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SLB provides healthcare benefits to certain former US employees who have retired.</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actuarial assumptions used to determine the accumulated postretirement benefit obligation and net periodic benefit cost for the US postretirement medical plan were as follows: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2560" w:type="dxa"/>
            <w:vAlign w:val="bottom"/>
            <w:gridSpan w:val="7"/>
          </w:tcPr>
          <w:p>
            <w:pPr>
              <w:jc w:val="center"/>
              <w:ind w:right="300"/>
              <w:spacing w:after="0"/>
              <w:rPr>
                <w:sz w:val="20"/>
                <w:szCs w:val="20"/>
                <w:color w:val="auto"/>
              </w:rPr>
            </w:pPr>
            <w:r>
              <w:rPr>
                <w:rFonts w:ascii="Arial" w:cs="Arial" w:eastAsia="Arial" w:hAnsi="Arial"/>
                <w:sz w:val="16"/>
                <w:szCs w:val="16"/>
                <w:color w:val="auto"/>
                <w:w w:val="99"/>
              </w:rPr>
              <w:t>Benefit Obligation</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10"/>
          </w:tcPr>
          <w:p>
            <w:pPr>
              <w:jc w:val="right"/>
              <w:ind w:right="1200"/>
              <w:spacing w:after="0"/>
              <w:rPr>
                <w:sz w:val="20"/>
                <w:szCs w:val="20"/>
                <w:color w:val="auto"/>
              </w:rPr>
            </w:pPr>
            <w:r>
              <w:rPr>
                <w:rFonts w:ascii="Arial" w:cs="Arial" w:eastAsia="Arial" w:hAnsi="Arial"/>
                <w:sz w:val="16"/>
                <w:szCs w:val="16"/>
                <w:color w:val="auto"/>
              </w:rPr>
              <w:t>Net Periodic Benefit</w:t>
            </w:r>
          </w:p>
        </w:tc>
        <w:tc>
          <w:tcPr>
            <w:tcW w:w="0" w:type="dxa"/>
            <w:vAlign w:val="bottom"/>
          </w:tcPr>
          <w:p>
            <w:pPr>
              <w:spacing w:after="0"/>
              <w:rPr>
                <w:sz w:val="1"/>
                <w:szCs w:val="1"/>
                <w:color w:val="auto"/>
              </w:rPr>
            </w:pPr>
          </w:p>
        </w:tc>
      </w:tr>
      <w:tr>
        <w:trPr>
          <w:trHeight w:val="200"/>
        </w:trPr>
        <w:tc>
          <w:tcPr>
            <w:tcW w:w="4900" w:type="dxa"/>
            <w:vAlign w:val="bottom"/>
          </w:tcPr>
          <w:p>
            <w:pPr>
              <w:spacing w:after="0"/>
              <w:rPr>
                <w:sz w:val="17"/>
                <w:szCs w:val="17"/>
                <w:color w:val="auto"/>
              </w:rPr>
            </w:pPr>
          </w:p>
        </w:tc>
        <w:tc>
          <w:tcPr>
            <w:tcW w:w="2560" w:type="dxa"/>
            <w:vAlign w:val="bottom"/>
            <w:gridSpan w:val="7"/>
          </w:tcPr>
          <w:p>
            <w:pPr>
              <w:jc w:val="center"/>
              <w:ind w:right="280"/>
              <w:spacing w:after="0"/>
              <w:rPr>
                <w:sz w:val="20"/>
                <w:szCs w:val="20"/>
                <w:color w:val="auto"/>
              </w:rPr>
            </w:pPr>
            <w:r>
              <w:rPr>
                <w:rFonts w:ascii="Arial" w:cs="Arial" w:eastAsia="Arial" w:hAnsi="Arial"/>
                <w:sz w:val="16"/>
                <w:szCs w:val="16"/>
                <w:color w:val="auto"/>
                <w:w w:val="99"/>
              </w:rPr>
              <w:t>At December 31,</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5"/>
          </w:tcPr>
          <w:p>
            <w:pPr>
              <w:jc w:val="right"/>
              <w:spacing w:after="0"/>
              <w:rPr>
                <w:sz w:val="20"/>
                <w:szCs w:val="20"/>
                <w:color w:val="auto"/>
              </w:rPr>
            </w:pPr>
            <w:r>
              <w:rPr>
                <w:rFonts w:ascii="Arial" w:cs="Arial" w:eastAsia="Arial" w:hAnsi="Arial"/>
                <w:sz w:val="16"/>
                <w:szCs w:val="16"/>
                <w:color w:val="auto"/>
                <w:w w:val="99"/>
              </w:rPr>
              <w:t>Cost for the Year</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90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240"/>
              <w:spacing w:after="0" w:line="180" w:lineRule="exact"/>
              <w:rPr>
                <w:sz w:val="20"/>
                <w:szCs w:val="20"/>
                <w:color w:val="auto"/>
              </w:rPr>
            </w:pPr>
            <w:r>
              <w:rPr>
                <w:rFonts w:ascii="Arial" w:cs="Arial" w:eastAsia="Arial" w:hAnsi="Arial"/>
                <w:sz w:val="16"/>
                <w:szCs w:val="16"/>
                <w:b w:val="1"/>
                <w:bCs w:val="1"/>
                <w:color w:val="auto"/>
              </w:rPr>
              <w:t>2024</w:t>
            </w:r>
          </w:p>
        </w:tc>
        <w:tc>
          <w:tcPr>
            <w:tcW w:w="28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gridSpan w:val="2"/>
          </w:tcPr>
          <w:p>
            <w:pPr>
              <w:jc w:val="right"/>
              <w:ind w:right="240"/>
              <w:spacing w:after="0" w:line="180" w:lineRule="exact"/>
              <w:rPr>
                <w:sz w:val="20"/>
                <w:szCs w:val="20"/>
                <w:color w:val="auto"/>
              </w:rPr>
            </w:pPr>
            <w:r>
              <w:rPr>
                <w:rFonts w:ascii="Arial" w:cs="Arial" w:eastAsia="Arial" w:hAnsi="Arial"/>
                <w:sz w:val="16"/>
                <w:szCs w:val="16"/>
                <w:color w:val="auto"/>
              </w:rPr>
              <w:t>2023</w:t>
            </w: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bottom w:val="single" w:sz="8" w:color="auto"/>
            </w:tcBorders>
            <w:gridSpan w:val="3"/>
          </w:tcPr>
          <w:p>
            <w:pPr>
              <w:jc w:val="right"/>
              <w:spacing w:after="0" w:line="180" w:lineRule="exact"/>
              <w:rPr>
                <w:sz w:val="20"/>
                <w:szCs w:val="20"/>
                <w:color w:val="auto"/>
              </w:rPr>
            </w:pPr>
            <w:r>
              <w:rPr>
                <w:rFonts w:ascii="Arial" w:cs="Arial" w:eastAsia="Arial" w:hAnsi="Arial"/>
                <w:sz w:val="16"/>
                <w:szCs w:val="16"/>
                <w:b w:val="1"/>
                <w:bCs w:val="1"/>
                <w:color w:val="auto"/>
              </w:rPr>
              <w:t>2024</w:t>
            </w:r>
          </w:p>
        </w:tc>
        <w:tc>
          <w:tcPr>
            <w:tcW w:w="26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60"/>
              <w:spacing w:after="0" w:line="180" w:lineRule="exact"/>
              <w:rPr>
                <w:sz w:val="20"/>
                <w:szCs w:val="20"/>
                <w:color w:val="auto"/>
              </w:rPr>
            </w:pPr>
            <w:r>
              <w:rPr>
                <w:rFonts w:ascii="Arial" w:cs="Arial" w:eastAsia="Arial" w:hAnsi="Arial"/>
                <w:sz w:val="16"/>
                <w:szCs w:val="16"/>
                <w:color w:val="auto"/>
              </w:rPr>
              <w:t>2023</w:t>
            </w:r>
          </w:p>
        </w:tc>
        <w:tc>
          <w:tcPr>
            <w:tcW w:w="20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260"/>
              <w:spacing w:after="0" w:line="180" w:lineRule="exact"/>
              <w:rPr>
                <w:sz w:val="20"/>
                <w:szCs w:val="20"/>
                <w:color w:val="auto"/>
              </w:rPr>
            </w:pPr>
            <w:r>
              <w:rPr>
                <w:rFonts w:ascii="Arial" w:cs="Arial" w:eastAsia="Arial" w:hAnsi="Arial"/>
                <w:sz w:val="16"/>
                <w:szCs w:val="16"/>
                <w:color w:val="auto"/>
              </w:rPr>
              <w:t>2022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Discount rate</w:t>
            </w:r>
          </w:p>
        </w:tc>
        <w:tc>
          <w:tcPr>
            <w:tcW w:w="1280" w:type="dxa"/>
            <w:vAlign w:val="bottom"/>
            <w:gridSpan w:val="2"/>
            <w:shd w:val="clear" w:color="auto" w:fill="CFF0FC"/>
          </w:tcPr>
          <w:p>
            <w:pPr>
              <w:jc w:val="right"/>
              <w:ind w:right="120"/>
              <w:spacing w:after="0" w:line="180" w:lineRule="exact"/>
              <w:rPr>
                <w:sz w:val="20"/>
                <w:szCs w:val="20"/>
                <w:color w:val="auto"/>
              </w:rPr>
            </w:pPr>
            <w:r>
              <w:rPr>
                <w:rFonts w:ascii="Arial" w:cs="Arial" w:eastAsia="Arial" w:hAnsi="Arial"/>
                <w:sz w:val="16"/>
                <w:szCs w:val="16"/>
                <w:b w:val="1"/>
                <w:bCs w:val="1"/>
                <w:color w:val="auto"/>
              </w:rPr>
              <w:t>5.25 %</w:t>
            </w:r>
          </w:p>
        </w:tc>
        <w:tc>
          <w:tcPr>
            <w:tcW w:w="220" w:type="dxa"/>
            <w:vAlign w:val="bottom"/>
            <w:shd w:val="clear" w:color="auto" w:fill="CFF0FC"/>
          </w:tcPr>
          <w:p>
            <w:pPr>
              <w:spacing w:after="0"/>
              <w:rPr>
                <w:sz w:val="15"/>
                <w:szCs w:val="15"/>
                <w:color w:val="auto"/>
              </w:rPr>
            </w:pPr>
          </w:p>
        </w:tc>
        <w:tc>
          <w:tcPr>
            <w:tcW w:w="960" w:type="dxa"/>
            <w:vAlign w:val="bottom"/>
            <w:gridSpan w:val="3"/>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5.25 %</w:t>
            </w: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3"/>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5.25 %</w:t>
            </w:r>
          </w:p>
        </w:tc>
        <w:tc>
          <w:tcPr>
            <w:tcW w:w="1280" w:type="dxa"/>
            <w:vAlign w:val="bottom"/>
            <w:gridSpan w:val="5"/>
            <w:shd w:val="clear" w:color="auto" w:fill="CFF0FC"/>
          </w:tcPr>
          <w:p>
            <w:pPr>
              <w:jc w:val="right"/>
              <w:spacing w:after="0" w:line="180" w:lineRule="exact"/>
              <w:rPr>
                <w:sz w:val="20"/>
                <w:szCs w:val="20"/>
                <w:color w:val="auto"/>
              </w:rPr>
            </w:pPr>
            <w:r>
              <w:rPr>
                <w:rFonts w:ascii="Arial" w:cs="Arial" w:eastAsia="Arial" w:hAnsi="Arial"/>
                <w:sz w:val="16"/>
                <w:szCs w:val="16"/>
                <w:color w:val="auto"/>
              </w:rPr>
              <w:t>5.50 %</w:t>
            </w:r>
          </w:p>
        </w:tc>
        <w:tc>
          <w:tcPr>
            <w:tcW w:w="1320" w:type="dxa"/>
            <w:vAlign w:val="bottom"/>
            <w:gridSpan w:val="4"/>
            <w:shd w:val="clear" w:color="auto" w:fill="CFF0FC"/>
          </w:tcPr>
          <w:p>
            <w:pPr>
              <w:jc w:val="right"/>
              <w:spacing w:after="0" w:line="180" w:lineRule="exact"/>
              <w:rPr>
                <w:sz w:val="20"/>
                <w:szCs w:val="20"/>
                <w:color w:val="auto"/>
              </w:rPr>
            </w:pPr>
            <w:r>
              <w:rPr>
                <w:rFonts w:ascii="Arial" w:cs="Arial" w:eastAsia="Arial" w:hAnsi="Arial"/>
                <w:sz w:val="16"/>
                <w:szCs w:val="16"/>
                <w:color w:val="auto"/>
              </w:rPr>
              <w:t>3.00 %</w:t>
            </w:r>
          </w:p>
        </w:tc>
        <w:tc>
          <w:tcPr>
            <w:tcW w:w="0" w:type="dxa"/>
            <w:vAlign w:val="bottom"/>
          </w:tcPr>
          <w:p>
            <w:pPr>
              <w:spacing w:after="0"/>
              <w:rPr>
                <w:sz w:val="1"/>
                <w:szCs w:val="1"/>
                <w:color w:val="auto"/>
              </w:rPr>
            </w:pPr>
          </w:p>
        </w:tc>
      </w:tr>
      <w:tr>
        <w:trPr>
          <w:trHeight w:val="186"/>
        </w:trPr>
        <w:tc>
          <w:tcPr>
            <w:tcW w:w="4900" w:type="dxa"/>
            <w:vAlign w:val="bottom"/>
          </w:tcPr>
          <w:p>
            <w:pPr>
              <w:ind w:left="20"/>
              <w:spacing w:after="0"/>
              <w:rPr>
                <w:sz w:val="20"/>
                <w:szCs w:val="20"/>
                <w:color w:val="auto"/>
              </w:rPr>
            </w:pPr>
            <w:r>
              <w:rPr>
                <w:rFonts w:ascii="Arial" w:cs="Arial" w:eastAsia="Arial" w:hAnsi="Arial"/>
                <w:sz w:val="16"/>
                <w:szCs w:val="16"/>
                <w:color w:val="auto"/>
              </w:rPr>
              <w:t>Return on plan assets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b w:val="1"/>
                <w:bCs w:val="1"/>
                <w:color w:val="auto"/>
              </w:rPr>
              <w:t>4.43 %</w:t>
            </w:r>
          </w:p>
        </w:tc>
        <w:tc>
          <w:tcPr>
            <w:tcW w:w="1280" w:type="dxa"/>
            <w:vAlign w:val="bottom"/>
            <w:gridSpan w:val="5"/>
          </w:tcPr>
          <w:p>
            <w:pPr>
              <w:jc w:val="right"/>
              <w:spacing w:after="0"/>
              <w:rPr>
                <w:sz w:val="20"/>
                <w:szCs w:val="20"/>
                <w:color w:val="auto"/>
              </w:rPr>
            </w:pPr>
            <w:r>
              <w:rPr>
                <w:rFonts w:ascii="Arial" w:cs="Arial" w:eastAsia="Arial" w:hAnsi="Arial"/>
                <w:sz w:val="16"/>
                <w:szCs w:val="16"/>
                <w:color w:val="auto"/>
              </w:rPr>
              <w:t>4.41 %</w:t>
            </w:r>
          </w:p>
        </w:tc>
        <w:tc>
          <w:tcPr>
            <w:tcW w:w="1320" w:type="dxa"/>
            <w:vAlign w:val="bottom"/>
            <w:gridSpan w:val="4"/>
          </w:tcPr>
          <w:p>
            <w:pPr>
              <w:jc w:val="right"/>
              <w:spacing w:after="0"/>
              <w:rPr>
                <w:sz w:val="20"/>
                <w:szCs w:val="20"/>
                <w:color w:val="auto"/>
              </w:rPr>
            </w:pPr>
            <w:r>
              <w:rPr>
                <w:rFonts w:ascii="Arial" w:cs="Arial" w:eastAsia="Arial" w:hAnsi="Arial"/>
                <w:sz w:val="16"/>
                <w:szCs w:val="16"/>
                <w:color w:val="auto"/>
              </w:rPr>
              <w:t>2.94 %</w:t>
            </w:r>
          </w:p>
        </w:tc>
        <w:tc>
          <w:tcPr>
            <w:tcW w:w="0" w:type="dxa"/>
            <w:vAlign w:val="bottom"/>
          </w:tcPr>
          <w:p>
            <w:pPr>
              <w:spacing w:after="0"/>
              <w:rPr>
                <w:sz w:val="1"/>
                <w:szCs w:val="1"/>
                <w:color w:val="auto"/>
              </w:rPr>
            </w:pPr>
          </w:p>
        </w:tc>
      </w:tr>
      <w:tr>
        <w:trPr>
          <w:trHeight w:val="186"/>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medical cost trend rate</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7.25 %</w:t>
            </w:r>
          </w:p>
        </w:tc>
        <w:tc>
          <w:tcPr>
            <w:tcW w:w="220" w:type="dxa"/>
            <w:vAlign w:val="bottom"/>
            <w:shd w:val="clear" w:color="auto" w:fill="CFF0FC"/>
          </w:tcPr>
          <w:p>
            <w:pPr>
              <w:spacing w:after="0"/>
              <w:rPr>
                <w:sz w:val="16"/>
                <w:szCs w:val="16"/>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7.50 %</w:t>
            </w: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6"/>
                <w:szCs w:val="16"/>
                <w:b w:val="1"/>
                <w:bCs w:val="1"/>
                <w:color w:val="auto"/>
              </w:rPr>
              <w:t>7.25 %</w:t>
            </w:r>
          </w:p>
        </w:tc>
        <w:tc>
          <w:tcPr>
            <w:tcW w:w="1280" w:type="dxa"/>
            <w:vAlign w:val="bottom"/>
            <w:gridSpan w:val="5"/>
            <w:shd w:val="clear" w:color="auto" w:fill="CFF0FC"/>
          </w:tcPr>
          <w:p>
            <w:pPr>
              <w:jc w:val="right"/>
              <w:spacing w:after="0"/>
              <w:rPr>
                <w:sz w:val="20"/>
                <w:szCs w:val="20"/>
                <w:color w:val="auto"/>
              </w:rPr>
            </w:pPr>
            <w:r>
              <w:rPr>
                <w:rFonts w:ascii="Arial" w:cs="Arial" w:eastAsia="Arial" w:hAnsi="Arial"/>
                <w:sz w:val="16"/>
                <w:szCs w:val="16"/>
                <w:color w:val="auto"/>
              </w:rPr>
              <w:t>7.50 %</w:t>
            </w:r>
          </w:p>
        </w:tc>
        <w:tc>
          <w:tcPr>
            <w:tcW w:w="132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6.75 %</w:t>
            </w:r>
          </w:p>
        </w:tc>
        <w:tc>
          <w:tcPr>
            <w:tcW w:w="0" w:type="dxa"/>
            <w:vAlign w:val="bottom"/>
          </w:tcPr>
          <w:p>
            <w:pPr>
              <w:spacing w:after="0"/>
              <w:rPr>
                <w:sz w:val="1"/>
                <w:szCs w:val="1"/>
                <w:color w:val="auto"/>
              </w:rPr>
            </w:pPr>
          </w:p>
        </w:tc>
      </w:tr>
      <w:tr>
        <w:trPr>
          <w:trHeight w:val="186"/>
        </w:trPr>
        <w:tc>
          <w:tcPr>
            <w:tcW w:w="4900" w:type="dxa"/>
            <w:vAlign w:val="bottom"/>
          </w:tcPr>
          <w:p>
            <w:pPr>
              <w:ind w:left="20"/>
              <w:spacing w:after="0"/>
              <w:rPr>
                <w:sz w:val="20"/>
                <w:szCs w:val="20"/>
                <w:color w:val="auto"/>
              </w:rPr>
            </w:pPr>
            <w:r>
              <w:rPr>
                <w:rFonts w:ascii="Arial" w:cs="Arial" w:eastAsia="Arial" w:hAnsi="Arial"/>
                <w:sz w:val="16"/>
                <w:szCs w:val="16"/>
                <w:color w:val="auto"/>
              </w:rPr>
              <w:t>Ultimate medical cost trend rate</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4.50 %</w:t>
            </w:r>
          </w:p>
        </w:tc>
        <w:tc>
          <w:tcPr>
            <w:tcW w:w="220" w:type="dxa"/>
            <w:vAlign w:val="bottom"/>
          </w:tcPr>
          <w:p>
            <w:pPr>
              <w:spacing w:after="0"/>
              <w:rPr>
                <w:sz w:val="16"/>
                <w:szCs w:val="16"/>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4.50 %</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b w:val="1"/>
                <w:bCs w:val="1"/>
                <w:color w:val="auto"/>
              </w:rPr>
              <w:t>4.50 %</w:t>
            </w:r>
          </w:p>
        </w:tc>
        <w:tc>
          <w:tcPr>
            <w:tcW w:w="1280" w:type="dxa"/>
            <w:vAlign w:val="bottom"/>
            <w:gridSpan w:val="5"/>
          </w:tcPr>
          <w:p>
            <w:pPr>
              <w:jc w:val="right"/>
              <w:spacing w:after="0"/>
              <w:rPr>
                <w:sz w:val="20"/>
                <w:szCs w:val="20"/>
                <w:color w:val="auto"/>
              </w:rPr>
            </w:pPr>
            <w:r>
              <w:rPr>
                <w:rFonts w:ascii="Arial" w:cs="Arial" w:eastAsia="Arial" w:hAnsi="Arial"/>
                <w:sz w:val="16"/>
                <w:szCs w:val="16"/>
                <w:color w:val="auto"/>
              </w:rPr>
              <w:t>4.50 %</w:t>
            </w:r>
          </w:p>
        </w:tc>
        <w:tc>
          <w:tcPr>
            <w:tcW w:w="1320" w:type="dxa"/>
            <w:vAlign w:val="bottom"/>
            <w:gridSpan w:val="4"/>
          </w:tcPr>
          <w:p>
            <w:pPr>
              <w:jc w:val="right"/>
              <w:spacing w:after="0"/>
              <w:rPr>
                <w:sz w:val="20"/>
                <w:szCs w:val="20"/>
                <w:color w:val="auto"/>
              </w:rPr>
            </w:pPr>
            <w:r>
              <w:rPr>
                <w:rFonts w:ascii="Arial" w:cs="Arial" w:eastAsia="Arial" w:hAnsi="Arial"/>
                <w:sz w:val="16"/>
                <w:szCs w:val="16"/>
                <w:color w:val="auto"/>
              </w:rPr>
              <w:t>4.50 %</w:t>
            </w:r>
          </w:p>
        </w:tc>
        <w:tc>
          <w:tcPr>
            <w:tcW w:w="0" w:type="dxa"/>
            <w:vAlign w:val="bottom"/>
          </w:tcPr>
          <w:p>
            <w:pPr>
              <w:spacing w:after="0"/>
              <w:rPr>
                <w:sz w:val="1"/>
                <w:szCs w:val="1"/>
                <w:color w:val="auto"/>
              </w:rPr>
            </w:pPr>
          </w:p>
        </w:tc>
      </w:tr>
      <w:tr>
        <w:trPr>
          <w:trHeight w:val="186"/>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Year that the rate reaches the ultimate trend rate</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2035</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2035</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2035</w:t>
            </w:r>
          </w:p>
        </w:tc>
        <w:tc>
          <w:tcPr>
            <w:tcW w:w="180" w:type="dxa"/>
            <w:vAlign w:val="bottom"/>
            <w:shd w:val="clear" w:color="auto" w:fill="CFF0FC"/>
          </w:tcPr>
          <w:p>
            <w:pPr>
              <w:spacing w:after="0"/>
              <w:rPr>
                <w:sz w:val="16"/>
                <w:szCs w:val="16"/>
                <w:color w:val="auto"/>
              </w:rPr>
            </w:pP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2035</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2031</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409"/>
        </w:trPr>
        <w:tc>
          <w:tcPr>
            <w:tcW w:w="6400" w:type="dxa"/>
            <w:vAlign w:val="bottom"/>
            <w:gridSpan w:val="4"/>
          </w:tcPr>
          <w:p>
            <w:pPr>
              <w:spacing w:after="0"/>
              <w:rPr>
                <w:sz w:val="20"/>
                <w:szCs w:val="20"/>
                <w:color w:val="auto"/>
              </w:rPr>
            </w:pPr>
            <w:r>
              <w:rPr>
                <w:rFonts w:ascii="Arial" w:cs="Arial" w:eastAsia="Arial" w:hAnsi="Arial"/>
                <w:sz w:val="16"/>
                <w:szCs w:val="16"/>
                <w:color w:val="auto"/>
              </w:rPr>
              <w:t>The net credit for the US postretirement medical plan included the following components: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4"/>
          </w:tcPr>
          <w:p>
            <w:pPr>
              <w:jc w:val="right"/>
              <w:ind w:right="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5"/>
        </w:trPr>
        <w:tc>
          <w:tcPr>
            <w:tcW w:w="4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2023</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color w:val="auto"/>
              </w:rPr>
              <w:t>2022</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90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Service cost</w:t>
            </w: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40"/>
              <w:spacing w:after="0" w:line="180" w:lineRule="exact"/>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19</w:t>
            </w:r>
          </w:p>
        </w:tc>
        <w:tc>
          <w:tcPr>
            <w:tcW w:w="1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16</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220" w:type="dxa"/>
            <w:vAlign w:val="bottom"/>
            <w:gridSpan w:val="3"/>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return on plan assets</w:t>
            </w:r>
          </w:p>
        </w:tc>
        <w:tc>
          <w:tcPr>
            <w:tcW w:w="10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(42 )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(41 )</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186"/>
        </w:trPr>
        <w:tc>
          <w:tcPr>
            <w:tcW w:w="490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b w:val="1"/>
                <w:bCs w:val="1"/>
                <w:color w:val="auto"/>
              </w:rPr>
              <w:t>(23 )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(23 )</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4"/>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186"/>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of net gain</w:t>
            </w:r>
          </w:p>
        </w:tc>
        <w:tc>
          <w:tcPr>
            <w:tcW w:w="10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(13 )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(12 )</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180"/>
        </w:trPr>
        <w:tc>
          <w:tcPr>
            <w:tcW w:w="4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ind w:right="440"/>
              <w:spacing w:after="0" w:line="180" w:lineRule="exact"/>
              <w:rPr>
                <w:sz w:val="20"/>
                <w:szCs w:val="20"/>
                <w:color w:val="auto"/>
              </w:rPr>
            </w:pPr>
            <w:r>
              <w:rPr>
                <w:rFonts w:ascii="Arial" w:cs="Arial" w:eastAsia="Arial" w:hAnsi="Arial"/>
                <w:sz w:val="16"/>
                <w:szCs w:val="16"/>
                <w:b w:val="1"/>
                <w:bCs w:val="1"/>
                <w:color w:val="auto"/>
                <w:w w:val="89"/>
              </w:rPr>
              <w:t>$</w:t>
            </w:r>
          </w:p>
        </w:tc>
        <w:tc>
          <w:tcPr>
            <w:tcW w:w="1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(18</w:t>
            </w:r>
          </w:p>
        </w:tc>
        <w:tc>
          <w:tcPr>
            <w:tcW w:w="12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0"/>
              <w:spacing w:after="0" w:line="180" w:lineRule="exact"/>
              <w:rPr>
                <w:sz w:val="20"/>
                <w:szCs w:val="20"/>
                <w:color w:val="auto"/>
              </w:rPr>
            </w:pPr>
            <w:r>
              <w:rPr>
                <w:rFonts w:ascii="Arial" w:cs="Arial" w:eastAsia="Arial" w:hAnsi="Arial"/>
                <w:sz w:val="16"/>
                <w:szCs w:val="16"/>
                <w:color w:val="auto"/>
                <w:w w:val="89"/>
              </w:rPr>
              <w:t>$</w:t>
            </w: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line="180" w:lineRule="exact"/>
              <w:rPr>
                <w:sz w:val="20"/>
                <w:szCs w:val="20"/>
                <w:color w:val="auto"/>
              </w:rPr>
            </w:pPr>
            <w:r>
              <w:rPr>
                <w:rFonts w:ascii="Arial" w:cs="Arial" w:eastAsia="Arial" w:hAnsi="Arial"/>
                <w:sz w:val="16"/>
                <w:szCs w:val="16"/>
                <w:color w:val="auto"/>
              </w:rPr>
              <w:t>(18</w:t>
            </w:r>
          </w:p>
        </w:tc>
        <w:tc>
          <w:tcPr>
            <w:tcW w:w="200" w:type="dxa"/>
            <w:vAlign w:val="bottom"/>
          </w:tcPr>
          <w:p>
            <w:pPr>
              <w:jc w:val="right"/>
              <w:ind w:right="60"/>
              <w:spacing w:after="0" w:line="180" w:lineRule="exact"/>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gridSpan w:val="3"/>
          </w:tcPr>
          <w:p>
            <w:pPr>
              <w:jc w:val="right"/>
              <w:ind w:right="40"/>
              <w:spacing w:after="0" w:line="180" w:lineRule="exact"/>
              <w:rPr>
                <w:sz w:val="20"/>
                <w:szCs w:val="20"/>
                <w:color w:val="auto"/>
              </w:rPr>
            </w:pPr>
            <w:r>
              <w:rPr>
                <w:rFonts w:ascii="Arial" w:cs="Arial" w:eastAsia="Arial" w:hAnsi="Arial"/>
                <w:sz w:val="16"/>
                <w:szCs w:val="16"/>
                <w:color w:val="auto"/>
              </w:rPr>
              <w:t>(15</w:t>
            </w:r>
          </w:p>
        </w:tc>
        <w:tc>
          <w:tcPr>
            <w:tcW w:w="100" w:type="dxa"/>
            <w:vAlign w:val="bottom"/>
          </w:tcPr>
          <w:p>
            <w:pPr>
              <w:jc w:val="right"/>
              <w:spacing w:after="0" w:line="180"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6"/>
                <w:szCs w:val="16"/>
                <w:color w:val="auto"/>
              </w:rPr>
              <w:t>55</w:t>
            </w: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49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49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The changes in the accumulated postretirement benefit obligation, plan assets and funded status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55"/>
        </w:trPr>
        <w:tc>
          <w:tcPr>
            <w:tcW w:w="7660" w:type="dxa"/>
            <w:vAlign w:val="bottom"/>
          </w:tcPr>
          <w:p>
            <w:pPr>
              <w:spacing w:after="0"/>
              <w:rPr>
                <w:sz w:val="24"/>
                <w:szCs w:val="24"/>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4"/>
                <w:szCs w:val="24"/>
                <w:color w:val="auto"/>
              </w:rPr>
            </w:pPr>
          </w:p>
        </w:tc>
      </w:tr>
      <w:tr>
        <w:trPr>
          <w:trHeight w:val="180"/>
        </w:trPr>
        <w:tc>
          <w:tcPr>
            <w:tcW w:w="76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b w:val="1"/>
                <w:bCs w:val="1"/>
                <w:i w:val="1"/>
                <w:iCs w:val="1"/>
                <w:color w:val="auto"/>
              </w:rPr>
              <w:t>Change in Accumulated Postretirement Benefit Obligation:</w:t>
            </w:r>
          </w:p>
        </w:tc>
        <w:tc>
          <w:tcPr>
            <w:tcW w:w="11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6"/>
        </w:trPr>
        <w:tc>
          <w:tcPr>
            <w:tcW w:w="7660" w:type="dxa"/>
            <w:vAlign w:val="bottom"/>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1140" w:type="dxa"/>
            <w:vAlign w:val="bottom"/>
          </w:tcPr>
          <w:p>
            <w:pPr>
              <w:jc w:val="right"/>
              <w:ind w:right="960"/>
              <w:spacing w:after="0"/>
              <w:rPr>
                <w:sz w:val="20"/>
                <w:szCs w:val="20"/>
                <w:color w:val="auto"/>
              </w:rPr>
            </w:pPr>
            <w:r>
              <w:rPr>
                <w:rFonts w:ascii="Arial" w:cs="Arial" w:eastAsia="Arial" w:hAnsi="Arial"/>
                <w:sz w:val="16"/>
                <w:szCs w:val="16"/>
                <w:b w:val="1"/>
                <w:bCs w:val="1"/>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805</w:t>
            </w:r>
          </w:p>
        </w:tc>
        <w:tc>
          <w:tcPr>
            <w:tcW w:w="300" w:type="dxa"/>
            <w:vAlign w:val="bottom"/>
          </w:tcPr>
          <w:p>
            <w:pPr>
              <w:spacing w:after="0"/>
              <w:rPr>
                <w:sz w:val="16"/>
                <w:szCs w:val="16"/>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6"/>
                <w:szCs w:val="16"/>
                <w:color w:val="auto"/>
              </w:rPr>
            </w:pPr>
          </w:p>
        </w:tc>
      </w:tr>
      <w:tr>
        <w:trPr>
          <w:trHeight w:val="18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 cost</w:t>
            </w:r>
          </w:p>
        </w:tc>
        <w:tc>
          <w:tcPr>
            <w:tcW w:w="114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w:t>
            </w: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FF0FC"/>
          </w:tcPr>
          <w:p>
            <w:pPr>
              <w:spacing w:after="0"/>
              <w:rPr>
                <w:sz w:val="16"/>
                <w:szCs w:val="16"/>
                <w:color w:val="auto"/>
              </w:rPr>
            </w:pPr>
          </w:p>
        </w:tc>
      </w:tr>
      <w:tr>
        <w:trPr>
          <w:trHeight w:val="186"/>
        </w:trPr>
        <w:tc>
          <w:tcPr>
            <w:tcW w:w="76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6"/>
                <w:szCs w:val="16"/>
                <w:color w:val="auto"/>
              </w:rPr>
            </w:pPr>
          </w:p>
        </w:tc>
      </w:tr>
      <w:tr>
        <w:trPr>
          <w:trHeight w:val="18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Contribution by plan participants</w:t>
            </w:r>
          </w:p>
        </w:tc>
        <w:tc>
          <w:tcPr>
            <w:tcW w:w="114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w:t>
            </w: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6"/>
                <w:szCs w:val="16"/>
                <w:color w:val="auto"/>
              </w:rPr>
            </w:pPr>
          </w:p>
        </w:tc>
      </w:tr>
      <w:tr>
        <w:trPr>
          <w:trHeight w:val="186"/>
        </w:trPr>
        <w:tc>
          <w:tcPr>
            <w:tcW w:w="7660" w:type="dxa"/>
            <w:vAlign w:val="bottom"/>
          </w:tcPr>
          <w:p>
            <w:pPr>
              <w:ind w:left="20"/>
              <w:spacing w:after="0"/>
              <w:rPr>
                <w:sz w:val="20"/>
                <w:szCs w:val="20"/>
                <w:color w:val="auto"/>
              </w:rPr>
            </w:pPr>
            <w:r>
              <w:rPr>
                <w:rFonts w:ascii="Arial" w:cs="Arial" w:eastAsia="Arial" w:hAnsi="Arial"/>
                <w:sz w:val="16"/>
                <w:szCs w:val="16"/>
                <w:color w:val="auto"/>
              </w:rPr>
              <w:t>Actuarial gains</w:t>
            </w:r>
          </w:p>
        </w:tc>
        <w:tc>
          <w:tcPr>
            <w:tcW w:w="114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(37 )</w:t>
            </w:r>
          </w:p>
        </w:tc>
        <w:tc>
          <w:tcPr>
            <w:tcW w:w="240" w:type="dxa"/>
            <w:vAlign w:val="bottom"/>
          </w:tcPr>
          <w:p>
            <w:pPr>
              <w:spacing w:after="0"/>
              <w:rPr>
                <w:sz w:val="16"/>
                <w:szCs w:val="16"/>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(7 )</w:t>
            </w:r>
          </w:p>
        </w:tc>
      </w:tr>
      <w:tr>
        <w:trPr>
          <w:trHeight w:val="18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Benefits paid</w:t>
            </w:r>
          </w:p>
        </w:tc>
        <w:tc>
          <w:tcPr>
            <w:tcW w:w="1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(53 )</w:t>
            </w: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(61 )</w:t>
            </w:r>
          </w:p>
        </w:tc>
      </w:tr>
      <w:tr>
        <w:trPr>
          <w:trHeight w:val="180"/>
        </w:trPr>
        <w:tc>
          <w:tcPr>
            <w:tcW w:w="7660" w:type="dxa"/>
            <w:vAlign w:val="bottom"/>
          </w:tcPr>
          <w:p>
            <w:pPr>
              <w:ind w:left="20"/>
              <w:spacing w:after="0" w:line="180" w:lineRule="exact"/>
              <w:rPr>
                <w:sz w:val="20"/>
                <w:szCs w:val="20"/>
                <w:color w:val="auto"/>
              </w:rPr>
            </w:pPr>
            <w:r>
              <w:rPr>
                <w:rFonts w:ascii="Arial" w:cs="Arial" w:eastAsia="Arial" w:hAnsi="Arial"/>
                <w:sz w:val="16"/>
                <w:szCs w:val="16"/>
                <w:color w:val="auto"/>
              </w:rPr>
              <w:t>Benefit obligation at end of year</w:t>
            </w:r>
          </w:p>
        </w:tc>
        <w:tc>
          <w:tcPr>
            <w:tcW w:w="1140" w:type="dxa"/>
            <w:vAlign w:val="bottom"/>
            <w:tcBorders>
              <w:top w:val="single" w:sz="8" w:color="auto"/>
              <w:bottom w:val="single" w:sz="8" w:color="auto"/>
            </w:tcBorders>
          </w:tcPr>
          <w:p>
            <w:pPr>
              <w:jc w:val="right"/>
              <w:ind w:right="960"/>
              <w:spacing w:after="0" w:line="180" w:lineRule="exact"/>
              <w:rPr>
                <w:sz w:val="20"/>
                <w:szCs w:val="20"/>
                <w:color w:val="auto"/>
              </w:rPr>
            </w:pPr>
            <w:r>
              <w:rPr>
                <w:rFonts w:ascii="Arial" w:cs="Arial" w:eastAsia="Arial" w:hAnsi="Arial"/>
                <w:sz w:val="16"/>
                <w:szCs w:val="16"/>
                <w:b w:val="1"/>
                <w:bCs w:val="1"/>
                <w:color w:val="auto"/>
                <w:w w:val="89"/>
              </w:rPr>
              <w:t>$</w:t>
            </w:r>
          </w:p>
        </w:tc>
        <w:tc>
          <w:tcPr>
            <w:tcW w:w="46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781</w:t>
            </w:r>
          </w:p>
        </w:tc>
        <w:tc>
          <w:tcPr>
            <w:tcW w:w="3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0"/>
              <w:spacing w:after="0" w:line="180" w:lineRule="exact"/>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805</w:t>
            </w:r>
          </w:p>
        </w:tc>
        <w:tc>
          <w:tcPr>
            <w:tcW w:w="100" w:type="dxa"/>
            <w:vAlign w:val="bottom"/>
          </w:tcPr>
          <w:p>
            <w:pPr>
              <w:spacing w:after="0"/>
              <w:rPr>
                <w:sz w:val="15"/>
                <w:szCs w:val="15"/>
                <w:color w:val="auto"/>
              </w:rPr>
            </w:pPr>
          </w:p>
        </w:tc>
      </w:tr>
      <w:tr>
        <w:trPr>
          <w:trHeight w:val="180"/>
        </w:trPr>
        <w:tc>
          <w:tcPr>
            <w:tcW w:w="76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b w:val="1"/>
                <w:bCs w:val="1"/>
                <w:i w:val="1"/>
                <w:iCs w:val="1"/>
                <w:color w:val="auto"/>
              </w:rPr>
              <w:t>Change in Plan Assets:</w:t>
            </w:r>
          </w:p>
        </w:tc>
        <w:tc>
          <w:tcPr>
            <w:tcW w:w="11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6"/>
        </w:trPr>
        <w:tc>
          <w:tcPr>
            <w:tcW w:w="7660" w:type="dxa"/>
            <w:vAlign w:val="bottom"/>
          </w:tcPr>
          <w:p>
            <w:pPr>
              <w:ind w:left="20"/>
              <w:spacing w:after="0"/>
              <w:rPr>
                <w:sz w:val="20"/>
                <w:szCs w:val="20"/>
                <w:color w:val="auto"/>
              </w:rPr>
            </w:pPr>
            <w:r>
              <w:rPr>
                <w:rFonts w:ascii="Arial" w:cs="Arial" w:eastAsia="Arial" w:hAnsi="Arial"/>
                <w:sz w:val="16"/>
                <w:szCs w:val="16"/>
                <w:color w:val="auto"/>
              </w:rPr>
              <w:t>Plan assets at fair value at beginning of year</w:t>
            </w:r>
          </w:p>
        </w:tc>
        <w:tc>
          <w:tcPr>
            <w:tcW w:w="1140" w:type="dxa"/>
            <w:vAlign w:val="bottom"/>
          </w:tcPr>
          <w:p>
            <w:pPr>
              <w:jc w:val="right"/>
              <w:ind w:right="960"/>
              <w:spacing w:after="0"/>
              <w:rPr>
                <w:sz w:val="20"/>
                <w:szCs w:val="20"/>
                <w:color w:val="auto"/>
              </w:rPr>
            </w:pPr>
            <w:r>
              <w:rPr>
                <w:rFonts w:ascii="Arial" w:cs="Arial" w:eastAsia="Arial" w:hAnsi="Arial"/>
                <w:sz w:val="16"/>
                <w:szCs w:val="16"/>
                <w:b w:val="1"/>
                <w:bCs w:val="1"/>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964</w:t>
            </w:r>
          </w:p>
        </w:tc>
        <w:tc>
          <w:tcPr>
            <w:tcW w:w="300" w:type="dxa"/>
            <w:vAlign w:val="bottom"/>
          </w:tcPr>
          <w:p>
            <w:pPr>
              <w:spacing w:after="0"/>
              <w:rPr>
                <w:sz w:val="16"/>
                <w:szCs w:val="16"/>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938</w:t>
            </w:r>
          </w:p>
        </w:tc>
        <w:tc>
          <w:tcPr>
            <w:tcW w:w="100" w:type="dxa"/>
            <w:vAlign w:val="bottom"/>
          </w:tcPr>
          <w:p>
            <w:pPr>
              <w:spacing w:after="0"/>
              <w:rPr>
                <w:sz w:val="16"/>
                <w:szCs w:val="16"/>
                <w:color w:val="auto"/>
              </w:rPr>
            </w:pPr>
          </w:p>
        </w:tc>
      </w:tr>
      <w:tr>
        <w:trPr>
          <w:trHeight w:val="18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Actual return on plan assets</w:t>
            </w:r>
          </w:p>
        </w:tc>
        <w:tc>
          <w:tcPr>
            <w:tcW w:w="114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FF0FC"/>
          </w:tcPr>
          <w:p>
            <w:pPr>
              <w:spacing w:after="0"/>
              <w:rPr>
                <w:sz w:val="16"/>
                <w:szCs w:val="16"/>
                <w:color w:val="auto"/>
              </w:rPr>
            </w:pPr>
          </w:p>
        </w:tc>
      </w:tr>
      <w:tr>
        <w:trPr>
          <w:trHeight w:val="186"/>
        </w:trPr>
        <w:tc>
          <w:tcPr>
            <w:tcW w:w="7660" w:type="dxa"/>
            <w:vAlign w:val="bottom"/>
          </w:tcPr>
          <w:p>
            <w:pPr>
              <w:ind w:left="20"/>
              <w:spacing w:after="0"/>
              <w:rPr>
                <w:sz w:val="20"/>
                <w:szCs w:val="20"/>
                <w:color w:val="auto"/>
              </w:rPr>
            </w:pPr>
            <w:r>
              <w:rPr>
                <w:rFonts w:ascii="Arial" w:cs="Arial" w:eastAsia="Arial" w:hAnsi="Arial"/>
                <w:sz w:val="16"/>
                <w:szCs w:val="16"/>
                <w:color w:val="auto"/>
              </w:rPr>
              <w:t>Contributions by plan participants</w:t>
            </w: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6"/>
                <w:szCs w:val="16"/>
                <w:color w:val="auto"/>
              </w:rPr>
            </w:pPr>
          </w:p>
        </w:tc>
      </w:tr>
      <w:tr>
        <w:trPr>
          <w:trHeight w:val="18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Benefits paid</w:t>
            </w:r>
          </w:p>
        </w:tc>
        <w:tc>
          <w:tcPr>
            <w:tcW w:w="1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(58 )</w:t>
            </w: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(68 )</w:t>
            </w:r>
          </w:p>
        </w:tc>
      </w:tr>
      <w:tr>
        <w:trPr>
          <w:trHeight w:val="180"/>
        </w:trPr>
        <w:tc>
          <w:tcPr>
            <w:tcW w:w="7660" w:type="dxa"/>
            <w:vAlign w:val="bottom"/>
          </w:tcPr>
          <w:p>
            <w:pPr>
              <w:ind w:left="20"/>
              <w:spacing w:after="0" w:line="180" w:lineRule="exact"/>
              <w:rPr>
                <w:sz w:val="20"/>
                <w:szCs w:val="20"/>
                <w:color w:val="auto"/>
              </w:rPr>
            </w:pPr>
            <w:r>
              <w:rPr>
                <w:rFonts w:ascii="Arial" w:cs="Arial" w:eastAsia="Arial" w:hAnsi="Arial"/>
                <w:sz w:val="16"/>
                <w:szCs w:val="16"/>
                <w:color w:val="auto"/>
              </w:rPr>
              <w:t>Plan assets at fair value at end of year</w:t>
            </w:r>
          </w:p>
        </w:tc>
        <w:tc>
          <w:tcPr>
            <w:tcW w:w="1140" w:type="dxa"/>
            <w:vAlign w:val="bottom"/>
            <w:tcBorders>
              <w:top w:val="single" w:sz="8" w:color="auto"/>
              <w:bottom w:val="single" w:sz="8" w:color="auto"/>
            </w:tcBorders>
          </w:tcPr>
          <w:p>
            <w:pPr>
              <w:jc w:val="right"/>
              <w:ind w:right="960"/>
              <w:spacing w:after="0" w:line="180" w:lineRule="exact"/>
              <w:rPr>
                <w:sz w:val="20"/>
                <w:szCs w:val="20"/>
                <w:color w:val="auto"/>
              </w:rPr>
            </w:pPr>
            <w:r>
              <w:rPr>
                <w:rFonts w:ascii="Arial" w:cs="Arial" w:eastAsia="Arial" w:hAnsi="Arial"/>
                <w:sz w:val="16"/>
                <w:szCs w:val="16"/>
                <w:b w:val="1"/>
                <w:bCs w:val="1"/>
                <w:color w:val="auto"/>
                <w:w w:val="89"/>
              </w:rPr>
              <w:t>$</w:t>
            </w:r>
          </w:p>
        </w:tc>
        <w:tc>
          <w:tcPr>
            <w:tcW w:w="46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913</w:t>
            </w:r>
          </w:p>
        </w:tc>
        <w:tc>
          <w:tcPr>
            <w:tcW w:w="3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0"/>
              <w:spacing w:after="0" w:line="180" w:lineRule="exact"/>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964</w:t>
            </w:r>
          </w:p>
        </w:tc>
        <w:tc>
          <w:tcPr>
            <w:tcW w:w="100" w:type="dxa"/>
            <w:vAlign w:val="bottom"/>
          </w:tcPr>
          <w:p>
            <w:pPr>
              <w:spacing w:after="0"/>
              <w:rPr>
                <w:sz w:val="15"/>
                <w:szCs w:val="15"/>
                <w:color w:val="auto"/>
              </w:rPr>
            </w:pPr>
          </w:p>
        </w:tc>
      </w:tr>
      <w:tr>
        <w:trPr>
          <w:trHeight w:val="220"/>
        </w:trPr>
        <w:tc>
          <w:tcPr>
            <w:tcW w:w="7660" w:type="dxa"/>
            <w:vAlign w:val="bottom"/>
            <w:tcBorders>
              <w:bottom w:val="single" w:sz="8" w:color="CFF0FC"/>
            </w:tcBorders>
            <w:shd w:val="clear" w:color="auto" w:fill="CFF0FC"/>
          </w:tcPr>
          <w:p>
            <w:pPr>
              <w:ind w:left="20"/>
              <w:spacing w:after="0" w:line="167" w:lineRule="exact"/>
              <w:rPr>
                <w:sz w:val="20"/>
                <w:szCs w:val="20"/>
                <w:color w:val="auto"/>
              </w:rPr>
            </w:pPr>
            <w:r>
              <w:rPr>
                <w:rFonts w:ascii="Arial" w:cs="Arial" w:eastAsia="Arial" w:hAnsi="Arial"/>
                <w:sz w:val="16"/>
                <w:szCs w:val="16"/>
                <w:b w:val="1"/>
                <w:bCs w:val="1"/>
                <w:i w:val="1"/>
                <w:iCs w:val="1"/>
                <w:color w:val="auto"/>
              </w:rPr>
              <w:t>Asset</w:t>
            </w:r>
          </w:p>
        </w:tc>
        <w:tc>
          <w:tcPr>
            <w:tcW w:w="1140" w:type="dxa"/>
            <w:vAlign w:val="bottom"/>
            <w:tcBorders>
              <w:bottom w:val="single" w:sz="8" w:color="auto"/>
            </w:tcBorders>
            <w:shd w:val="clear" w:color="auto" w:fill="CFF0FC"/>
          </w:tcPr>
          <w:p>
            <w:pPr>
              <w:jc w:val="right"/>
              <w:ind w:right="960"/>
              <w:spacing w:after="0" w:line="167" w:lineRule="exact"/>
              <w:rPr>
                <w:sz w:val="20"/>
                <w:szCs w:val="20"/>
                <w:color w:val="auto"/>
              </w:rPr>
            </w:pPr>
            <w:r>
              <w:rPr>
                <w:rFonts w:ascii="Arial" w:cs="Arial" w:eastAsia="Arial" w:hAnsi="Arial"/>
                <w:sz w:val="16"/>
                <w:szCs w:val="16"/>
                <w:b w:val="1"/>
                <w:bCs w:val="1"/>
                <w:color w:val="auto"/>
                <w:w w:val="89"/>
              </w:rPr>
              <w:t>$</w:t>
            </w:r>
          </w:p>
        </w:tc>
        <w:tc>
          <w:tcPr>
            <w:tcW w:w="460" w:type="dxa"/>
            <w:vAlign w:val="bottom"/>
            <w:tcBorders>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6"/>
                <w:szCs w:val="16"/>
                <w:b w:val="1"/>
                <w:bCs w:val="1"/>
                <w:color w:val="auto"/>
              </w:rPr>
              <w:t>132</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60"/>
              <w:spacing w:after="0" w:line="167"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6"/>
                <w:szCs w:val="16"/>
                <w:color w:val="auto"/>
              </w:rPr>
              <w:t>159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66"/>
        </w:trPr>
        <w:tc>
          <w:tcPr>
            <w:tcW w:w="7660" w:type="dxa"/>
            <w:vAlign w:val="bottom"/>
          </w:tcPr>
          <w:p>
            <w:pPr>
              <w:ind w:left="20"/>
              <w:spacing w:after="0" w:line="166" w:lineRule="exact"/>
              <w:rPr>
                <w:sz w:val="20"/>
                <w:szCs w:val="20"/>
                <w:color w:val="auto"/>
              </w:rPr>
            </w:pPr>
            <w:r>
              <w:rPr>
                <w:rFonts w:ascii="Arial" w:cs="Arial" w:eastAsia="Arial" w:hAnsi="Arial"/>
                <w:sz w:val="16"/>
                <w:szCs w:val="16"/>
                <w:b w:val="1"/>
                <w:bCs w:val="1"/>
                <w:i w:val="1"/>
                <w:iCs w:val="1"/>
                <w:color w:val="auto"/>
              </w:rPr>
              <w:t>Amounts Recognized in Accumulated Other Comprehensive Loss:</w:t>
            </w: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Actuarial gains</w:t>
            </w:r>
          </w:p>
        </w:tc>
        <w:tc>
          <w:tcPr>
            <w:tcW w:w="1140" w:type="dxa"/>
            <w:vAlign w:val="bottom"/>
            <w:shd w:val="clear" w:color="auto" w:fill="CFF0FC"/>
          </w:tcPr>
          <w:p>
            <w:pPr>
              <w:jc w:val="right"/>
              <w:ind w:right="960"/>
              <w:spacing w:after="0"/>
              <w:rPr>
                <w:sz w:val="20"/>
                <w:szCs w:val="20"/>
                <w:color w:val="auto"/>
              </w:rPr>
            </w:pPr>
            <w:r>
              <w:rPr>
                <w:rFonts w:ascii="Arial" w:cs="Arial" w:eastAsia="Arial" w:hAnsi="Arial"/>
                <w:sz w:val="16"/>
                <w:szCs w:val="16"/>
                <w:b w:val="1"/>
                <w:bCs w:val="1"/>
                <w:color w:val="auto"/>
                <w:w w:val="8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224</w:t>
            </w: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FF0FC"/>
          </w:tcPr>
          <w:p>
            <w:pPr>
              <w:spacing w:after="0"/>
              <w:rPr>
                <w:sz w:val="16"/>
                <w:szCs w:val="16"/>
                <w:color w:val="auto"/>
              </w:rPr>
            </w:pPr>
          </w:p>
        </w:tc>
      </w:tr>
      <w:tr>
        <w:trPr>
          <w:trHeight w:val="186"/>
        </w:trPr>
        <w:tc>
          <w:tcPr>
            <w:tcW w:w="7660" w:type="dxa"/>
            <w:vAlign w:val="bottom"/>
          </w:tcPr>
          <w:p>
            <w:pPr>
              <w:ind w:left="20"/>
              <w:spacing w:after="0"/>
              <w:rPr>
                <w:sz w:val="20"/>
                <w:szCs w:val="20"/>
                <w:color w:val="auto"/>
              </w:rPr>
            </w:pPr>
            <w:r>
              <w:rPr>
                <w:rFonts w:ascii="Arial" w:cs="Arial" w:eastAsia="Arial" w:hAnsi="Arial"/>
                <w:sz w:val="16"/>
                <w:szCs w:val="16"/>
                <w:color w:val="auto"/>
              </w:rPr>
              <w:t>Prior service credit</w:t>
            </w:r>
          </w:p>
        </w:tc>
        <w:tc>
          <w:tcPr>
            <w:tcW w:w="1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6"/>
                <w:szCs w:val="16"/>
                <w:color w:val="auto"/>
              </w:rPr>
            </w:pPr>
          </w:p>
        </w:tc>
      </w:tr>
      <w:tr>
        <w:trPr>
          <w:trHeight w:val="220"/>
        </w:trPr>
        <w:tc>
          <w:tcPr>
            <w:tcW w:w="76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60"/>
              <w:spacing w:after="0" w:line="180" w:lineRule="exact"/>
              <w:rPr>
                <w:sz w:val="20"/>
                <w:szCs w:val="20"/>
                <w:color w:val="auto"/>
              </w:rPr>
            </w:pPr>
            <w:r>
              <w:rPr>
                <w:rFonts w:ascii="Arial" w:cs="Arial" w:eastAsia="Arial" w:hAnsi="Arial"/>
                <w:sz w:val="16"/>
                <w:szCs w:val="16"/>
                <w:b w:val="1"/>
                <w:bCs w:val="1"/>
                <w:color w:val="auto"/>
                <w:w w:val="89"/>
              </w:rPr>
              <w:t>$</w:t>
            </w:r>
          </w:p>
        </w:tc>
        <w:tc>
          <w:tcPr>
            <w:tcW w:w="46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237</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275</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5866130</wp:posOffset>
            </wp:positionH>
            <wp:positionV relativeFrom="paragraph">
              <wp:posOffset>-1525270</wp:posOffset>
            </wp:positionV>
            <wp:extent cx="92710" cy="1606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92710" cy="160655"/>
                    </a:xfrm>
                    <a:prstGeom prst="rect">
                      <a:avLst/>
                    </a:prstGeom>
                    <a:noFill/>
                  </pic:spPr>
                </pic:pic>
              </a:graphicData>
            </a:graphic>
          </wp:anchor>
        </w:drawing>
        <w:drawing>
          <wp:anchor simplePos="0" relativeHeight="251657728" behindDoc="1" locked="0" layoutInCell="0" allowOverlap="1">
            <wp:simplePos x="0" y="0"/>
            <wp:positionH relativeFrom="column">
              <wp:posOffset>7058025</wp:posOffset>
            </wp:positionH>
            <wp:positionV relativeFrom="paragraph">
              <wp:posOffset>-1525270</wp:posOffset>
            </wp:positionV>
            <wp:extent cx="92710" cy="1606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92710" cy="160655"/>
                    </a:xfrm>
                    <a:prstGeom prst="rect">
                      <a:avLst/>
                    </a:prstGeom>
                    <a:noFill/>
                  </pic:spPr>
                </pic:pic>
              </a:graphicData>
            </a:graphic>
          </wp:anchor>
        </w:drawing>
        <w:drawing>
          <wp:anchor simplePos="0" relativeHeight="251657728" behindDoc="1" locked="0" layoutInCell="0" allowOverlap="1">
            <wp:simplePos x="0" y="0"/>
            <wp:positionH relativeFrom="column">
              <wp:posOffset>5866130</wp:posOffset>
            </wp:positionH>
            <wp:positionV relativeFrom="paragraph">
              <wp:posOffset>-798195</wp:posOffset>
            </wp:positionV>
            <wp:extent cx="92710" cy="1606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92710" cy="160655"/>
                    </a:xfrm>
                    <a:prstGeom prst="rect">
                      <a:avLst/>
                    </a:prstGeom>
                    <a:noFill/>
                  </pic:spPr>
                </pic:pic>
              </a:graphicData>
            </a:graphic>
          </wp:anchor>
        </w:drawing>
        <w:drawing>
          <wp:anchor simplePos="0" relativeHeight="251657728" behindDoc="1" locked="0" layoutInCell="0" allowOverlap="1">
            <wp:simplePos x="0" y="0"/>
            <wp:positionH relativeFrom="column">
              <wp:posOffset>7058025</wp:posOffset>
            </wp:positionH>
            <wp:positionV relativeFrom="paragraph">
              <wp:posOffset>-798195</wp:posOffset>
            </wp:positionV>
            <wp:extent cx="92710" cy="1606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92710" cy="1606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-532130</wp:posOffset>
            </wp:positionV>
            <wp:extent cx="6731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-514985</wp:posOffset>
            </wp:positionV>
            <wp:extent cx="6731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-532130</wp:posOffset>
            </wp:positionV>
            <wp:extent cx="6731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-514985</wp:posOffset>
            </wp:positionV>
            <wp:extent cx="6731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-24765</wp:posOffset>
            </wp:positionV>
            <wp:extent cx="6731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-7620</wp:posOffset>
            </wp:positionV>
            <wp:extent cx="6731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-24765</wp:posOffset>
            </wp:positionV>
            <wp:extent cx="6731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-7620</wp:posOffset>
            </wp:positionV>
            <wp:extent cx="6731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asset balance relating to this plan was included in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assets of the US postretirement medical plan are invested 85% in debt securities and 15% in equity securities at December 31, 2024. The fair value of these assets was primarily determined based on Level Two valuation techniques.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expected benefits to be paid under the US and International pension plans as well as the postretirement medical plan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i w:val="1"/>
                <w:iCs w:val="1"/>
                <w:color w:val="auto"/>
              </w:rPr>
              <w:t>(Stated in millions)</w:t>
            </w:r>
          </w:p>
        </w:tc>
      </w:tr>
      <w:tr>
        <w:trPr>
          <w:trHeight w:val="355"/>
        </w:trPr>
        <w:tc>
          <w:tcPr>
            <w:tcW w:w="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6"/>
                <w:szCs w:val="16"/>
                <w:color w:val="auto"/>
              </w:rPr>
              <w:t>Pension Plans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color w:val="auto"/>
              </w:rPr>
              <w:t>Postretirement</w:t>
            </w:r>
          </w:p>
        </w:tc>
      </w:tr>
      <w:tr>
        <w:trPr>
          <w:trHeight w:val="180"/>
        </w:trPr>
        <w:tc>
          <w:tcPr>
            <w:tcW w:w="3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Borders>
              <w:bottom w:val="single" w:sz="8" w:color="auto"/>
            </w:tcBorders>
          </w:tcPr>
          <w:p>
            <w:pPr>
              <w:jc w:val="right"/>
              <w:ind w:right="40"/>
              <w:spacing w:after="0" w:line="180" w:lineRule="exact"/>
              <w:rPr>
                <w:sz w:val="20"/>
                <w:szCs w:val="20"/>
                <w:color w:val="auto"/>
              </w:rPr>
            </w:pPr>
            <w:r>
              <w:rPr>
                <w:rFonts w:ascii="Arial" w:cs="Arial" w:eastAsia="Arial" w:hAnsi="Arial"/>
                <w:sz w:val="16"/>
                <w:szCs w:val="16"/>
                <w:color w:val="auto"/>
              </w:rPr>
              <w:t>US</w:t>
            </w: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60"/>
              <w:spacing w:after="0" w:line="180" w:lineRule="exact"/>
              <w:rPr>
                <w:sz w:val="20"/>
                <w:szCs w:val="20"/>
                <w:color w:val="auto"/>
              </w:rPr>
            </w:pPr>
            <w:r>
              <w:rPr>
                <w:rFonts w:ascii="Arial" w:cs="Arial" w:eastAsia="Arial" w:hAnsi="Arial"/>
                <w:sz w:val="16"/>
                <w:szCs w:val="16"/>
                <w:color w:val="auto"/>
              </w:rPr>
              <w:t>International</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42"/>
              <w:spacing w:after="0" w:line="180" w:lineRule="exact"/>
              <w:rPr>
                <w:sz w:val="20"/>
                <w:szCs w:val="20"/>
                <w:color w:val="auto"/>
              </w:rPr>
            </w:pPr>
            <w:r>
              <w:rPr>
                <w:rFonts w:ascii="Arial" w:cs="Arial" w:eastAsia="Arial" w:hAnsi="Arial"/>
                <w:sz w:val="16"/>
                <w:szCs w:val="16"/>
                <w:color w:val="auto"/>
              </w:rPr>
              <w:t>Medical Plan</w:t>
            </w:r>
          </w:p>
        </w:tc>
        <w:tc>
          <w:tcPr>
            <w:tcW w:w="100" w:type="dxa"/>
            <w:vAlign w:val="bottom"/>
          </w:tcPr>
          <w:p>
            <w:pPr>
              <w:spacing w:after="0"/>
              <w:rPr>
                <w:sz w:val="15"/>
                <w:szCs w:val="15"/>
                <w:color w:val="auto"/>
              </w:rPr>
            </w:pPr>
          </w:p>
        </w:tc>
      </w:tr>
      <w:tr>
        <w:trPr>
          <w:trHeight w:val="180"/>
        </w:trPr>
        <w:tc>
          <w:tcPr>
            <w:tcW w:w="2400" w:type="dxa"/>
            <w:vAlign w:val="bottom"/>
            <w:gridSpan w:val="2"/>
            <w:shd w:val="clear" w:color="auto" w:fill="CFF0FC"/>
          </w:tcPr>
          <w:p>
            <w:pPr>
              <w:ind w:left="20"/>
              <w:spacing w:after="0" w:line="180" w:lineRule="exact"/>
              <w:rPr>
                <w:sz w:val="20"/>
                <w:szCs w:val="20"/>
                <w:color w:val="auto"/>
              </w:rPr>
            </w:pPr>
            <w:r>
              <w:rPr>
                <w:rFonts w:ascii="Arial" w:cs="Arial" w:eastAsia="Arial" w:hAnsi="Arial"/>
                <w:sz w:val="16"/>
                <w:szCs w:val="16"/>
                <w:color w:val="auto"/>
              </w:rPr>
              <w:t>2025</w:t>
            </w:r>
          </w:p>
        </w:tc>
        <w:tc>
          <w:tcPr>
            <w:tcW w:w="2340" w:type="dxa"/>
            <w:vAlign w:val="bottom"/>
            <w:shd w:val="clear" w:color="auto" w:fill="CFF0FC"/>
          </w:tcPr>
          <w:p>
            <w:pPr>
              <w:spacing w:after="0"/>
              <w:rPr>
                <w:sz w:val="15"/>
                <w:szCs w:val="15"/>
                <w:color w:val="auto"/>
              </w:rPr>
            </w:pPr>
          </w:p>
        </w:tc>
        <w:tc>
          <w:tcPr>
            <w:tcW w:w="2720" w:type="dxa"/>
            <w:vAlign w:val="bottom"/>
            <w:gridSpan w:val="2"/>
            <w:shd w:val="clear" w:color="auto" w:fill="CFF0FC"/>
          </w:tcPr>
          <w:p>
            <w:pPr>
              <w:jc w:val="right"/>
              <w:ind w:right="720"/>
              <w:spacing w:after="0" w:line="180" w:lineRule="exact"/>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230</w:t>
            </w:r>
          </w:p>
        </w:tc>
        <w:tc>
          <w:tcPr>
            <w:tcW w:w="440" w:type="dxa"/>
            <w:vAlign w:val="bottom"/>
            <w:gridSpan w:val="2"/>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423</w:t>
            </w:r>
          </w:p>
        </w:tc>
        <w:tc>
          <w:tcPr>
            <w:tcW w:w="38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49</w:t>
            </w:r>
          </w:p>
        </w:tc>
        <w:tc>
          <w:tcPr>
            <w:tcW w:w="100" w:type="dxa"/>
            <w:vAlign w:val="bottom"/>
            <w:shd w:val="clear" w:color="auto" w:fill="CFF0FC"/>
          </w:tcPr>
          <w:p>
            <w:pPr>
              <w:spacing w:after="0"/>
              <w:rPr>
                <w:sz w:val="15"/>
                <w:szCs w:val="15"/>
                <w:color w:val="auto"/>
              </w:rPr>
            </w:pPr>
          </w:p>
        </w:tc>
      </w:tr>
      <w:tr>
        <w:trPr>
          <w:trHeight w:val="186"/>
        </w:trPr>
        <w:tc>
          <w:tcPr>
            <w:tcW w:w="2400" w:type="dxa"/>
            <w:vAlign w:val="bottom"/>
            <w:gridSpan w:val="2"/>
          </w:tcPr>
          <w:p>
            <w:pPr>
              <w:ind w:left="20"/>
              <w:spacing w:after="0"/>
              <w:rPr>
                <w:sz w:val="20"/>
                <w:szCs w:val="20"/>
                <w:color w:val="auto"/>
              </w:rPr>
            </w:pPr>
            <w:r>
              <w:rPr>
                <w:rFonts w:ascii="Arial" w:cs="Arial" w:eastAsia="Arial" w:hAnsi="Arial"/>
                <w:sz w:val="16"/>
                <w:szCs w:val="16"/>
                <w:color w:val="auto"/>
              </w:rPr>
              <w:t>2026</w:t>
            </w:r>
          </w:p>
        </w:tc>
        <w:tc>
          <w:tcPr>
            <w:tcW w:w="2340" w:type="dxa"/>
            <w:vAlign w:val="bottom"/>
          </w:tcPr>
          <w:p>
            <w:pPr>
              <w:spacing w:after="0"/>
              <w:rPr>
                <w:sz w:val="16"/>
                <w:szCs w:val="16"/>
                <w:color w:val="auto"/>
              </w:rPr>
            </w:pPr>
          </w:p>
        </w:tc>
        <w:tc>
          <w:tcPr>
            <w:tcW w:w="2720" w:type="dxa"/>
            <w:vAlign w:val="bottom"/>
            <w:gridSpan w:val="2"/>
          </w:tcPr>
          <w:p>
            <w:pPr>
              <w:jc w:val="right"/>
              <w:ind w:right="72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233</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437</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6"/>
                <w:szCs w:val="16"/>
                <w:color w:val="auto"/>
              </w:rPr>
            </w:pPr>
          </w:p>
        </w:tc>
      </w:tr>
      <w:tr>
        <w:trPr>
          <w:trHeight w:val="186"/>
        </w:trPr>
        <w:tc>
          <w:tcPr>
            <w:tcW w:w="24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2027</w:t>
            </w:r>
          </w:p>
        </w:tc>
        <w:tc>
          <w:tcPr>
            <w:tcW w:w="2340" w:type="dxa"/>
            <w:vAlign w:val="bottom"/>
            <w:shd w:val="clear" w:color="auto" w:fill="CFF0FC"/>
          </w:tcPr>
          <w:p>
            <w:pPr>
              <w:spacing w:after="0"/>
              <w:rPr>
                <w:sz w:val="16"/>
                <w:szCs w:val="16"/>
                <w:color w:val="auto"/>
              </w:rPr>
            </w:pPr>
          </w:p>
        </w:tc>
        <w:tc>
          <w:tcPr>
            <w:tcW w:w="2720" w:type="dxa"/>
            <w:vAlign w:val="bottom"/>
            <w:gridSpan w:val="2"/>
            <w:shd w:val="clear" w:color="auto" w:fill="CFF0FC"/>
          </w:tcPr>
          <w:p>
            <w:pPr>
              <w:jc w:val="right"/>
              <w:ind w:right="7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FF0FC"/>
          </w:tcPr>
          <w:p>
            <w:pPr>
              <w:spacing w:after="0"/>
              <w:rPr>
                <w:sz w:val="16"/>
                <w:szCs w:val="16"/>
                <w:color w:val="auto"/>
              </w:rPr>
            </w:pPr>
          </w:p>
        </w:tc>
      </w:tr>
      <w:tr>
        <w:trPr>
          <w:trHeight w:val="186"/>
        </w:trPr>
        <w:tc>
          <w:tcPr>
            <w:tcW w:w="2400" w:type="dxa"/>
            <w:vAlign w:val="bottom"/>
            <w:gridSpan w:val="2"/>
          </w:tcPr>
          <w:p>
            <w:pPr>
              <w:ind w:left="20"/>
              <w:spacing w:after="0"/>
              <w:rPr>
                <w:sz w:val="20"/>
                <w:szCs w:val="20"/>
                <w:color w:val="auto"/>
              </w:rPr>
            </w:pPr>
            <w:r>
              <w:rPr>
                <w:rFonts w:ascii="Arial" w:cs="Arial" w:eastAsia="Arial" w:hAnsi="Arial"/>
                <w:sz w:val="16"/>
                <w:szCs w:val="16"/>
                <w:color w:val="auto"/>
              </w:rPr>
              <w:t>2028</w:t>
            </w:r>
          </w:p>
        </w:tc>
        <w:tc>
          <w:tcPr>
            <w:tcW w:w="2340" w:type="dxa"/>
            <w:vAlign w:val="bottom"/>
          </w:tcPr>
          <w:p>
            <w:pPr>
              <w:spacing w:after="0"/>
              <w:rPr>
                <w:sz w:val="16"/>
                <w:szCs w:val="16"/>
                <w:color w:val="auto"/>
              </w:rPr>
            </w:pPr>
          </w:p>
        </w:tc>
        <w:tc>
          <w:tcPr>
            <w:tcW w:w="2720" w:type="dxa"/>
            <w:vAlign w:val="bottom"/>
            <w:gridSpan w:val="2"/>
          </w:tcPr>
          <w:p>
            <w:pPr>
              <w:jc w:val="right"/>
              <w:ind w:right="72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233</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469</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6"/>
                <w:szCs w:val="16"/>
                <w:color w:val="auto"/>
              </w:rPr>
            </w:pPr>
          </w:p>
        </w:tc>
      </w:tr>
      <w:tr>
        <w:trPr>
          <w:trHeight w:val="186"/>
        </w:trPr>
        <w:tc>
          <w:tcPr>
            <w:tcW w:w="24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2029</w:t>
            </w:r>
          </w:p>
        </w:tc>
        <w:tc>
          <w:tcPr>
            <w:tcW w:w="2340" w:type="dxa"/>
            <w:vAlign w:val="bottom"/>
            <w:shd w:val="clear" w:color="auto" w:fill="CFF0FC"/>
          </w:tcPr>
          <w:p>
            <w:pPr>
              <w:spacing w:after="0"/>
              <w:rPr>
                <w:sz w:val="16"/>
                <w:szCs w:val="16"/>
                <w:color w:val="auto"/>
              </w:rPr>
            </w:pPr>
          </w:p>
        </w:tc>
        <w:tc>
          <w:tcPr>
            <w:tcW w:w="2720" w:type="dxa"/>
            <w:vAlign w:val="bottom"/>
            <w:gridSpan w:val="2"/>
            <w:shd w:val="clear" w:color="auto" w:fill="CFF0FC"/>
          </w:tcPr>
          <w:p>
            <w:pPr>
              <w:jc w:val="right"/>
              <w:ind w:right="7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FF0FC"/>
          </w:tcPr>
          <w:p>
            <w:pPr>
              <w:spacing w:after="0"/>
              <w:rPr>
                <w:sz w:val="16"/>
                <w:szCs w:val="16"/>
                <w:color w:val="auto"/>
              </w:rPr>
            </w:pPr>
          </w:p>
        </w:tc>
      </w:tr>
      <w:tr>
        <w:trPr>
          <w:trHeight w:val="211"/>
        </w:trPr>
        <w:tc>
          <w:tcPr>
            <w:tcW w:w="2400" w:type="dxa"/>
            <w:vAlign w:val="bottom"/>
            <w:gridSpan w:val="2"/>
          </w:tcPr>
          <w:p>
            <w:pPr>
              <w:ind w:left="20"/>
              <w:spacing w:after="0"/>
              <w:rPr>
                <w:sz w:val="20"/>
                <w:szCs w:val="20"/>
                <w:color w:val="auto"/>
              </w:rPr>
            </w:pPr>
            <w:r>
              <w:rPr>
                <w:rFonts w:ascii="Arial" w:cs="Arial" w:eastAsia="Arial" w:hAnsi="Arial"/>
                <w:sz w:val="16"/>
                <w:szCs w:val="16"/>
                <w:color w:val="auto"/>
              </w:rPr>
              <w:t>2030-2034</w:t>
            </w:r>
          </w:p>
        </w:tc>
        <w:tc>
          <w:tcPr>
            <w:tcW w:w="2340" w:type="dxa"/>
            <w:vAlign w:val="bottom"/>
          </w:tcPr>
          <w:p>
            <w:pPr>
              <w:spacing w:after="0"/>
              <w:rPr>
                <w:sz w:val="18"/>
                <w:szCs w:val="18"/>
                <w:color w:val="auto"/>
              </w:rPr>
            </w:pPr>
          </w:p>
        </w:tc>
        <w:tc>
          <w:tcPr>
            <w:tcW w:w="2720" w:type="dxa"/>
            <w:vAlign w:val="bottom"/>
            <w:gridSpan w:val="2"/>
          </w:tcPr>
          <w:p>
            <w:pPr>
              <w:jc w:val="right"/>
              <w:ind w:right="72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1,180</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2,591</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8"/>
                <w:szCs w:val="18"/>
                <w:color w:val="auto"/>
              </w:rPr>
            </w:pPr>
          </w:p>
        </w:tc>
      </w:tr>
      <w:tr>
        <w:trPr>
          <w:trHeight w:val="535"/>
        </w:trPr>
        <w:tc>
          <w:tcPr>
            <w:tcW w:w="4740" w:type="dxa"/>
            <w:vAlign w:val="bottom"/>
            <w:gridSpan w:val="3"/>
          </w:tcPr>
          <w:p>
            <w:pPr>
              <w:spacing w:after="0"/>
              <w:rPr>
                <w:sz w:val="20"/>
                <w:szCs w:val="20"/>
                <w:color w:val="auto"/>
              </w:rPr>
            </w:pPr>
            <w:r>
              <w:rPr>
                <w:rFonts w:ascii="Arial" w:cs="Arial" w:eastAsia="Arial" w:hAnsi="Arial"/>
                <w:sz w:val="16"/>
                <w:szCs w:val="16"/>
                <w:b w:val="1"/>
                <w:bCs w:val="1"/>
                <w:color w:val="auto"/>
              </w:rPr>
              <w:t>18. Supplementary Information</w:t>
            </w: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0"/>
        </w:trPr>
        <w:tc>
          <w:tcPr>
            <w:tcW w:w="4740" w:type="dxa"/>
            <w:vAlign w:val="bottom"/>
            <w:gridSpan w:val="3"/>
          </w:tcPr>
          <w:p>
            <w:pPr>
              <w:spacing w:after="0"/>
              <w:rPr>
                <w:sz w:val="20"/>
                <w:szCs w:val="20"/>
                <w:color w:val="auto"/>
              </w:rPr>
            </w:pPr>
            <w:r>
              <w:rPr>
                <w:rFonts w:ascii="Arial" w:cs="Arial" w:eastAsia="Arial" w:hAnsi="Arial"/>
                <w:sz w:val="16"/>
                <w:szCs w:val="16"/>
                <w:color w:val="auto"/>
              </w:rPr>
              <w:t>Cash paid for interest and income taxes was as follows:</w:t>
            </w: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i w:val="1"/>
                <w:iCs w:val="1"/>
                <w:color w:val="auto"/>
              </w:rPr>
              <w:t>(Stated in millions)</w:t>
            </w:r>
          </w:p>
        </w:tc>
      </w:tr>
      <w:tr>
        <w:trPr>
          <w:trHeight w:val="355"/>
        </w:trPr>
        <w:tc>
          <w:tcPr>
            <w:tcW w:w="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r>
      <w:tr>
        <w:trPr>
          <w:trHeight w:val="180"/>
        </w:trPr>
        <w:tc>
          <w:tcPr>
            <w:tcW w:w="4740" w:type="dxa"/>
            <w:vAlign w:val="bottom"/>
            <w:gridSpan w:val="3"/>
            <w:shd w:val="clear" w:color="auto" w:fill="CFF0FC"/>
          </w:tcPr>
          <w:p>
            <w:pPr>
              <w:ind w:left="20"/>
              <w:spacing w:after="0" w:line="180" w:lineRule="exact"/>
              <w:rPr>
                <w:sz w:val="20"/>
                <w:szCs w:val="20"/>
                <w:color w:val="auto"/>
              </w:rPr>
            </w:pPr>
            <w:r>
              <w:rPr>
                <w:rFonts w:ascii="Arial" w:cs="Arial" w:eastAsia="Arial" w:hAnsi="Arial"/>
                <w:sz w:val="16"/>
                <w:szCs w:val="16"/>
                <w:color w:val="auto"/>
              </w:rPr>
              <w:t>Interest</w:t>
            </w:r>
          </w:p>
        </w:tc>
        <w:tc>
          <w:tcPr>
            <w:tcW w:w="2720" w:type="dxa"/>
            <w:vAlign w:val="bottom"/>
            <w:gridSpan w:val="2"/>
            <w:shd w:val="clear" w:color="auto" w:fill="CFF0FC"/>
          </w:tcPr>
          <w:p>
            <w:pPr>
              <w:jc w:val="right"/>
              <w:ind w:right="720"/>
              <w:spacing w:after="0" w:line="180" w:lineRule="exact"/>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510</w:t>
            </w:r>
          </w:p>
        </w:tc>
        <w:tc>
          <w:tcPr>
            <w:tcW w:w="440" w:type="dxa"/>
            <w:vAlign w:val="bottom"/>
            <w:gridSpan w:val="2"/>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503</w:t>
            </w:r>
          </w:p>
        </w:tc>
        <w:tc>
          <w:tcPr>
            <w:tcW w:w="38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562</w:t>
            </w:r>
          </w:p>
        </w:tc>
        <w:tc>
          <w:tcPr>
            <w:tcW w:w="100" w:type="dxa"/>
            <w:vAlign w:val="bottom"/>
            <w:shd w:val="clear" w:color="auto" w:fill="CFF0FC"/>
          </w:tcPr>
          <w:p>
            <w:pPr>
              <w:spacing w:after="0"/>
              <w:rPr>
                <w:sz w:val="15"/>
                <w:szCs w:val="15"/>
                <w:color w:val="auto"/>
              </w:rPr>
            </w:pPr>
          </w:p>
        </w:tc>
      </w:tr>
      <w:tr>
        <w:trPr>
          <w:trHeight w:val="219"/>
        </w:trPr>
        <w:tc>
          <w:tcPr>
            <w:tcW w:w="4740" w:type="dxa"/>
            <w:vAlign w:val="bottom"/>
            <w:gridSpan w:val="3"/>
          </w:tcPr>
          <w:p>
            <w:pPr>
              <w:ind w:left="20"/>
              <w:spacing w:after="0"/>
              <w:rPr>
                <w:sz w:val="20"/>
                <w:szCs w:val="20"/>
                <w:color w:val="auto"/>
              </w:rPr>
            </w:pPr>
            <w:r>
              <w:rPr>
                <w:rFonts w:ascii="Arial" w:cs="Arial" w:eastAsia="Arial" w:hAnsi="Arial"/>
                <w:sz w:val="16"/>
                <w:szCs w:val="16"/>
                <w:color w:val="auto"/>
              </w:rPr>
              <w:t>Income taxes</w:t>
            </w:r>
          </w:p>
        </w:tc>
        <w:tc>
          <w:tcPr>
            <w:tcW w:w="272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1,140</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1,064</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19"/>
                <w:szCs w:val="19"/>
                <w:color w:val="auto"/>
              </w:rPr>
            </w:pPr>
          </w:p>
        </w:tc>
      </w:tr>
      <w:tr>
        <w:trPr>
          <w:trHeight w:val="590"/>
        </w:trPr>
        <w:tc>
          <w:tcPr>
            <w:tcW w:w="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20" w:type="dxa"/>
            <w:vAlign w:val="bottom"/>
          </w:tcPr>
          <w:p>
            <w:pPr>
              <w:jc w:val="right"/>
              <w:ind w:right="760"/>
              <w:spacing w:after="0"/>
              <w:rPr>
                <w:sz w:val="20"/>
                <w:szCs w:val="20"/>
                <w:color w:val="auto"/>
              </w:rPr>
            </w:pPr>
            <w:r>
              <w:rPr>
                <w:rFonts w:ascii="Arial" w:cs="Arial" w:eastAsia="Arial" w:hAnsi="Arial"/>
                <w:sz w:val="16"/>
                <w:szCs w:val="16"/>
                <w:color w:val="auto"/>
              </w:rPr>
              <w:t>56</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2"/>
        </w:trPr>
        <w:tc>
          <w:tcPr>
            <w:tcW w:w="3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i w:val="1"/>
          <w:iCs w:val="1"/>
          <w:color w:val="auto"/>
        </w:rPr>
        <w:t xml:space="preserve">Interest and other income, net </w:t>
      </w:r>
      <w:r>
        <w:rPr>
          <w:rFonts w:ascii="Arial" w:cs="Arial" w:eastAsia="Arial" w:hAnsi="Arial"/>
          <w:sz w:val="16"/>
          <w:szCs w:val="16"/>
          <w:color w:val="auto"/>
        </w:rPr>
        <w:t>includes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5"/>
        </w:trPr>
        <w:tc>
          <w:tcPr>
            <w:tcW w:w="6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5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Earnings of equity method investments</w:t>
            </w:r>
          </w:p>
        </w:tc>
        <w:tc>
          <w:tcPr>
            <w:tcW w:w="300" w:type="dxa"/>
            <w:vAlign w:val="bottom"/>
            <w:shd w:val="clear" w:color="auto" w:fill="CFF0FC"/>
          </w:tcPr>
          <w:p>
            <w:pPr>
              <w:jc w:val="right"/>
              <w:ind w:right="120"/>
              <w:spacing w:after="0" w:line="180" w:lineRule="exact"/>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182</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0"/>
              <w:spacing w:after="0" w:line="180" w:lineRule="exact"/>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206</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164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5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 on sale of investment *</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60" w:type="dxa"/>
            <w:vAlign w:val="bottom"/>
          </w:tcPr>
          <w:p>
            <w:pPr>
              <w:ind w:left="20"/>
              <w:spacing w:after="0"/>
              <w:rPr>
                <w:sz w:val="20"/>
                <w:szCs w:val="20"/>
                <w:color w:val="auto"/>
              </w:rPr>
            </w:pPr>
            <w:r>
              <w:rPr>
                <w:rFonts w:ascii="Arial" w:cs="Arial" w:eastAsia="Arial" w:hAnsi="Arial"/>
                <w:sz w:val="16"/>
                <w:szCs w:val="16"/>
                <w:color w:val="auto"/>
              </w:rPr>
              <w:t>Gain on sale of Liberty shares *</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on Blue Chip Swap transactions *</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(139 )</w:t>
            </w:r>
          </w:p>
        </w:tc>
        <w:tc>
          <w:tcPr>
            <w:tcW w:w="0" w:type="dxa"/>
            <w:vAlign w:val="bottom"/>
          </w:tcPr>
          <w:p>
            <w:pPr>
              <w:spacing w:after="0"/>
              <w:rPr>
                <w:sz w:val="1"/>
                <w:szCs w:val="1"/>
                <w:color w:val="auto"/>
              </w:rPr>
            </w:pPr>
          </w:p>
        </w:tc>
      </w:tr>
      <w:tr>
        <w:trPr>
          <w:trHeight w:val="186"/>
        </w:trPr>
        <w:tc>
          <w:tcPr>
            <w:tcW w:w="6560" w:type="dxa"/>
            <w:vAlign w:val="bottom"/>
          </w:tcPr>
          <w:p>
            <w:pPr>
              <w:ind w:left="20"/>
              <w:spacing w:after="0"/>
              <w:rPr>
                <w:sz w:val="20"/>
                <w:szCs w:val="20"/>
                <w:color w:val="auto"/>
              </w:rPr>
            </w:pPr>
            <w:r>
              <w:rPr>
                <w:rFonts w:ascii="Arial" w:cs="Arial" w:eastAsia="Arial" w:hAnsi="Arial"/>
                <w:sz w:val="16"/>
                <w:szCs w:val="16"/>
                <w:color w:val="auto"/>
              </w:rPr>
              <w:t>Gain on ADC equity investment *</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 on sale of real estate *</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60" w:type="dxa"/>
            <w:vAlign w:val="bottom"/>
          </w:tcPr>
          <w:p>
            <w:pPr>
              <w:ind w:left="20"/>
              <w:spacing w:after="0"/>
              <w:rPr>
                <w:sz w:val="20"/>
                <w:szCs w:val="20"/>
                <w:color w:val="auto"/>
              </w:rPr>
            </w:pPr>
            <w:r>
              <w:rPr>
                <w:rFonts w:ascii="Arial" w:cs="Arial" w:eastAsia="Arial" w:hAnsi="Arial"/>
                <w:sz w:val="16"/>
                <w:szCs w:val="16"/>
                <w:color w:val="auto"/>
              </w:rPr>
              <w:t>Gain on repurchase of bonds *</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560" w:type="dxa"/>
            <w:vAlign w:val="bottom"/>
          </w:tcPr>
          <w:p>
            <w:pPr>
              <w:spacing w:after="0"/>
              <w:rPr>
                <w:sz w:val="15"/>
                <w:szCs w:val="15"/>
                <w:color w:val="auto"/>
              </w:rPr>
            </w:pPr>
          </w:p>
        </w:tc>
        <w:tc>
          <w:tcPr>
            <w:tcW w:w="300" w:type="dxa"/>
            <w:vAlign w:val="bottom"/>
            <w:tcBorders>
              <w:bottom w:val="single" w:sz="8" w:color="auto"/>
            </w:tcBorders>
          </w:tcPr>
          <w:p>
            <w:pPr>
              <w:jc w:val="right"/>
              <w:ind w:right="120"/>
              <w:spacing w:after="0" w:line="180" w:lineRule="exact"/>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380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bottom w:val="single" w:sz="8" w:color="auto"/>
            </w:tcBorders>
          </w:tcPr>
          <w:p>
            <w:pPr>
              <w:jc w:val="right"/>
              <w:ind w:right="100"/>
              <w:spacing w:after="0" w:line="180"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342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610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6"/>
                <w:szCs w:val="16"/>
                <w:color w:val="auto"/>
              </w:rPr>
              <w:t xml:space="preserve">* See Note 3 – </w:t>
            </w:r>
            <w:r>
              <w:rPr>
                <w:rFonts w:ascii="Arial" w:cs="Arial" w:eastAsia="Arial" w:hAnsi="Arial"/>
                <w:sz w:val="16"/>
                <w:szCs w:val="16"/>
                <w:i w:val="1"/>
                <w:iCs w:val="1"/>
                <w:color w:val="auto"/>
              </w:rPr>
              <w:t>Charges and Credits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6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560" w:type="dxa"/>
            <w:vAlign w:val="bottom"/>
          </w:tcPr>
          <w:p>
            <w:pPr>
              <w:spacing w:after="0"/>
              <w:rPr>
                <w:sz w:val="20"/>
                <w:szCs w:val="20"/>
                <w:color w:val="auto"/>
              </w:rPr>
            </w:pPr>
            <w:r>
              <w:rPr>
                <w:rFonts w:ascii="Arial" w:cs="Arial" w:eastAsia="Arial" w:hAnsi="Arial"/>
                <w:sz w:val="16"/>
                <w:szCs w:val="16"/>
                <w:color w:val="auto"/>
              </w:rPr>
              <w:t>The components of depreciation and amortization expense were as follows: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5"/>
        </w:trPr>
        <w:tc>
          <w:tcPr>
            <w:tcW w:w="6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2023</w:t>
            </w: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5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Depreciation of fixed assets</w:t>
            </w: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b w:val="1"/>
                <w:bCs w:val="1"/>
                <w:color w:val="auto"/>
              </w:rPr>
              <w:t>$1,551</w:t>
            </w: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$1,445</w:t>
            </w: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$1,368</w:t>
            </w:r>
          </w:p>
        </w:tc>
        <w:tc>
          <w:tcPr>
            <w:tcW w:w="0" w:type="dxa"/>
            <w:vAlign w:val="bottom"/>
          </w:tcPr>
          <w:p>
            <w:pPr>
              <w:spacing w:after="0"/>
              <w:rPr>
                <w:sz w:val="1"/>
                <w:szCs w:val="1"/>
                <w:color w:val="auto"/>
              </w:rPr>
            </w:pPr>
          </w:p>
        </w:tc>
      </w:tr>
      <w:tr>
        <w:trPr>
          <w:trHeight w:val="186"/>
        </w:trPr>
        <w:tc>
          <w:tcPr>
            <w:tcW w:w="6560" w:type="dxa"/>
            <w:vAlign w:val="bottom"/>
          </w:tcPr>
          <w:p>
            <w:pPr>
              <w:ind w:left="20"/>
              <w:spacing w:after="0"/>
              <w:rPr>
                <w:sz w:val="20"/>
                <w:szCs w:val="20"/>
                <w:color w:val="auto"/>
              </w:rPr>
            </w:pPr>
            <w:r>
              <w:rPr>
                <w:rFonts w:ascii="Arial" w:cs="Arial" w:eastAsia="Arial" w:hAnsi="Arial"/>
                <w:sz w:val="16"/>
                <w:szCs w:val="16"/>
                <w:color w:val="auto"/>
              </w:rPr>
              <w:t>Amortization of APS investments</w:t>
            </w:r>
          </w:p>
        </w:tc>
        <w:tc>
          <w:tcPr>
            <w:tcW w:w="3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481</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410</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186"/>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334</w:t>
            </w: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314</w:t>
            </w: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186"/>
        </w:trPr>
        <w:tc>
          <w:tcPr>
            <w:tcW w:w="6560" w:type="dxa"/>
            <w:vAlign w:val="bottom"/>
          </w:tcPr>
          <w:p>
            <w:pPr>
              <w:ind w:left="20"/>
              <w:spacing w:after="0"/>
              <w:rPr>
                <w:sz w:val="20"/>
                <w:szCs w:val="20"/>
                <w:color w:val="auto"/>
              </w:rPr>
            </w:pPr>
            <w:r>
              <w:rPr>
                <w:rFonts w:ascii="Arial" w:cs="Arial" w:eastAsia="Arial" w:hAnsi="Arial"/>
                <w:sz w:val="16"/>
                <w:szCs w:val="16"/>
                <w:color w:val="auto"/>
              </w:rPr>
              <w:t>Amortization of exploration data costs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153</w:t>
            </w:r>
          </w:p>
        </w:tc>
        <w:tc>
          <w:tcPr>
            <w:tcW w:w="1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143</w:t>
            </w:r>
          </w:p>
        </w:tc>
        <w:tc>
          <w:tcPr>
            <w:tcW w:w="1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20"/>
        </w:trPr>
        <w:tc>
          <w:tcPr>
            <w:tcW w:w="65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b w:val="1"/>
                <w:bCs w:val="1"/>
                <w:color w:val="auto"/>
              </w:rPr>
              <w:t>$2,519</w:t>
            </w:r>
          </w:p>
        </w:tc>
        <w:tc>
          <w:tcPr>
            <w:tcW w:w="1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$2,312</w:t>
            </w:r>
          </w:p>
        </w:tc>
        <w:tc>
          <w:tcPr>
            <w:tcW w:w="1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$2,147</w:t>
            </w:r>
          </w:p>
        </w:tc>
        <w:tc>
          <w:tcPr>
            <w:tcW w:w="0" w:type="dxa"/>
            <w:vAlign w:val="bottom"/>
          </w:tcPr>
          <w:p>
            <w:pPr>
              <w:spacing w:after="0"/>
              <w:rPr>
                <w:sz w:val="1"/>
                <w:szCs w:val="1"/>
                <w:color w:val="auto"/>
              </w:rPr>
            </w:pPr>
          </w:p>
        </w:tc>
      </w:tr>
      <w:tr>
        <w:trPr>
          <w:trHeight w:val="576"/>
        </w:trPr>
        <w:tc>
          <w:tcPr>
            <w:tcW w:w="6560" w:type="dxa"/>
            <w:vAlign w:val="bottom"/>
          </w:tcPr>
          <w:p>
            <w:pPr>
              <w:spacing w:after="0"/>
              <w:rPr>
                <w:sz w:val="20"/>
                <w:szCs w:val="20"/>
                <w:color w:val="auto"/>
              </w:rPr>
            </w:pPr>
            <w:r>
              <w:rPr>
                <w:rFonts w:ascii="Arial" w:cs="Arial" w:eastAsia="Arial" w:hAnsi="Arial"/>
                <w:sz w:val="16"/>
                <w:szCs w:val="16"/>
                <w:color w:val="auto"/>
              </w:rPr>
              <w:t xml:space="preserve">The change in </w:t>
            </w:r>
            <w:r>
              <w:rPr>
                <w:rFonts w:ascii="Arial" w:cs="Arial" w:eastAsia="Arial" w:hAnsi="Arial"/>
                <w:sz w:val="16"/>
                <w:szCs w:val="16"/>
                <w:i w:val="1"/>
                <w:iCs w:val="1"/>
                <w:color w:val="auto"/>
              </w:rPr>
              <w:t>Allowance for doubtful accounts</w:t>
            </w:r>
            <w:r>
              <w:rPr>
                <w:rFonts w:ascii="Arial" w:cs="Arial" w:eastAsia="Arial" w:hAnsi="Arial"/>
                <w:sz w:val="16"/>
                <w:szCs w:val="16"/>
                <w:color w:val="auto"/>
              </w:rPr>
              <w:t xml:space="preserve"> was as follows: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5"/>
        </w:trPr>
        <w:tc>
          <w:tcPr>
            <w:tcW w:w="6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56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Balance at beginning of year</w:t>
            </w:r>
          </w:p>
        </w:tc>
        <w:tc>
          <w:tcPr>
            <w:tcW w:w="300" w:type="dxa"/>
            <w:vAlign w:val="bottom"/>
            <w:shd w:val="clear" w:color="auto" w:fill="CFF0FC"/>
          </w:tcPr>
          <w:p>
            <w:pPr>
              <w:jc w:val="right"/>
              <w:ind w:right="120"/>
              <w:spacing w:after="0" w:line="180" w:lineRule="exact"/>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337</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0"/>
              <w:spacing w:after="0" w:line="180" w:lineRule="exact"/>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340</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560" w:type="dxa"/>
            <w:vAlign w:val="bottom"/>
          </w:tcPr>
          <w:p>
            <w:pPr>
              <w:ind w:left="20"/>
              <w:spacing w:after="0"/>
              <w:rPr>
                <w:sz w:val="20"/>
                <w:szCs w:val="20"/>
                <w:color w:val="auto"/>
              </w:rPr>
            </w:pPr>
            <w:r>
              <w:rPr>
                <w:rFonts w:ascii="Arial" w:cs="Arial" w:eastAsia="Arial" w:hAnsi="Arial"/>
                <w:sz w:val="16"/>
                <w:szCs w:val="16"/>
                <w:color w:val="auto"/>
              </w:rPr>
              <w:t>Additions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Amounts written off</w:t>
            </w:r>
          </w:p>
        </w:tc>
        <w:tc>
          <w:tcPr>
            <w:tcW w:w="3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(18 )</w:t>
            </w: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(21 )</w:t>
            </w: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180"/>
        </w:trPr>
        <w:tc>
          <w:tcPr>
            <w:tcW w:w="6560" w:type="dxa"/>
            <w:vAlign w:val="bottom"/>
            <w:tcBorders>
              <w:top w:val="single" w:sz="8" w:color="CFF0FC"/>
            </w:tcBorders>
          </w:tcPr>
          <w:p>
            <w:pPr>
              <w:ind w:left="20"/>
              <w:spacing w:after="0" w:line="167" w:lineRule="exact"/>
              <w:rPr>
                <w:sz w:val="20"/>
                <w:szCs w:val="20"/>
                <w:color w:val="auto"/>
              </w:rPr>
            </w:pPr>
            <w:r>
              <w:rPr>
                <w:rFonts w:ascii="Arial" w:cs="Arial" w:eastAsia="Arial" w:hAnsi="Arial"/>
                <w:sz w:val="16"/>
                <w:szCs w:val="16"/>
                <w:color w:val="auto"/>
              </w:rPr>
              <w:t>Balance at end of year</w:t>
            </w:r>
          </w:p>
        </w:tc>
        <w:tc>
          <w:tcPr>
            <w:tcW w:w="300" w:type="dxa"/>
            <w:vAlign w:val="bottom"/>
            <w:tcBorders>
              <w:top w:val="single" w:sz="8" w:color="auto"/>
              <w:bottom w:val="single" w:sz="8" w:color="auto"/>
            </w:tcBorders>
          </w:tcPr>
          <w:p>
            <w:pPr>
              <w:jc w:val="right"/>
              <w:ind w:right="120"/>
              <w:spacing w:after="0" w:line="167" w:lineRule="exact"/>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b w:val="1"/>
                <w:bCs w:val="1"/>
                <w:color w:val="auto"/>
              </w:rPr>
              <w:t>325</w:t>
            </w: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00"/>
              <w:spacing w:after="0" w:line="167"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337</w:t>
            </w:r>
          </w:p>
        </w:tc>
        <w:tc>
          <w:tcPr>
            <w:tcW w:w="8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340</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5092700</wp:posOffset>
            </wp:positionH>
            <wp:positionV relativeFrom="paragraph">
              <wp:posOffset>-1368425</wp:posOffset>
            </wp:positionV>
            <wp:extent cx="9271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92710" cy="8255"/>
                    </a:xfrm>
                    <a:prstGeom prst="rect">
                      <a:avLst/>
                    </a:prstGeom>
                    <a:noFill/>
                  </pic:spPr>
                </pic:pic>
              </a:graphicData>
            </a:graphic>
          </wp:anchor>
        </w:drawing>
        <w:drawing>
          <wp:anchor simplePos="0" relativeHeight="251657728" behindDoc="1" locked="0" layoutInCell="0" allowOverlap="1">
            <wp:simplePos x="0" y="0"/>
            <wp:positionH relativeFrom="column">
              <wp:posOffset>5092700</wp:posOffset>
            </wp:positionH>
            <wp:positionV relativeFrom="paragraph">
              <wp:posOffset>-1351915</wp:posOffset>
            </wp:positionV>
            <wp:extent cx="9271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92710" cy="8255"/>
                    </a:xfrm>
                    <a:prstGeom prst="rect">
                      <a:avLst/>
                    </a:prstGeom>
                    <a:noFill/>
                  </pic:spPr>
                </pic:pic>
              </a:graphicData>
            </a:graphic>
          </wp:anchor>
        </w:drawing>
        <w:drawing>
          <wp:anchor simplePos="0" relativeHeight="251657728" behindDoc="1" locked="0" layoutInCell="0" allowOverlap="1">
            <wp:simplePos x="0" y="0"/>
            <wp:positionH relativeFrom="column">
              <wp:posOffset>6106795</wp:posOffset>
            </wp:positionH>
            <wp:positionV relativeFrom="paragraph">
              <wp:posOffset>-1368425</wp:posOffset>
            </wp:positionV>
            <wp:extent cx="9271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92710" cy="8255"/>
                    </a:xfrm>
                    <a:prstGeom prst="rect">
                      <a:avLst/>
                    </a:prstGeom>
                    <a:noFill/>
                  </pic:spPr>
                </pic:pic>
              </a:graphicData>
            </a:graphic>
          </wp:anchor>
        </w:drawing>
        <w:drawing>
          <wp:anchor simplePos="0" relativeHeight="251657728" behindDoc="1" locked="0" layoutInCell="0" allowOverlap="1">
            <wp:simplePos x="0" y="0"/>
            <wp:positionH relativeFrom="column">
              <wp:posOffset>6106795</wp:posOffset>
            </wp:positionH>
            <wp:positionV relativeFrom="paragraph">
              <wp:posOffset>-1351915</wp:posOffset>
            </wp:positionV>
            <wp:extent cx="9271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92710" cy="8255"/>
                    </a:xfrm>
                    <a:prstGeom prst="rect">
                      <a:avLst/>
                    </a:prstGeom>
                    <a:noFill/>
                  </pic:spPr>
                </pic:pic>
              </a:graphicData>
            </a:graphic>
          </wp:anchor>
        </w:drawing>
        <w:drawing>
          <wp:anchor simplePos="0" relativeHeight="251657728" behindDoc="1" locked="0" layoutInCell="0" allowOverlap="1">
            <wp:simplePos x="0" y="0"/>
            <wp:positionH relativeFrom="column">
              <wp:posOffset>5033645</wp:posOffset>
            </wp:positionH>
            <wp:positionV relativeFrom="paragraph">
              <wp:posOffset>-151765</wp:posOffset>
            </wp:positionV>
            <wp:extent cx="7620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6056630</wp:posOffset>
            </wp:positionH>
            <wp:positionV relativeFrom="paragraph">
              <wp:posOffset>-151765</wp:posOffset>
            </wp:positionV>
            <wp:extent cx="6731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-151765</wp:posOffset>
            </wp:positionV>
            <wp:extent cx="6731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 xml:space="preserve">Revenue in excess of billings related to contracts where revenue is recognized over time was $0.5 billion at December 31, 2024 and $0.4 billion at December 31, 2023. Such amounts are included within </w:t>
      </w:r>
      <w:r>
        <w:rPr>
          <w:rFonts w:ascii="Arial" w:cs="Arial" w:eastAsia="Arial" w:hAnsi="Arial"/>
          <w:sz w:val="16"/>
          <w:szCs w:val="16"/>
          <w:i w:val="1"/>
          <w:iCs w:val="1"/>
          <w:color w:val="auto"/>
        </w:rPr>
        <w:t>Receivables less allowance for doubtful accounts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Other Assets </w:t>
      </w:r>
      <w:r>
        <w:rPr>
          <w:rFonts w:ascii="Arial" w:cs="Arial" w:eastAsia="Arial" w:hAnsi="Arial"/>
          <w:sz w:val="16"/>
          <w:szCs w:val="16"/>
          <w:color w:val="auto"/>
        </w:rPr>
        <w:t>consist of the following:</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343"/>
        </w:trPr>
        <w:tc>
          <w:tcPr>
            <w:tcW w:w="4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4"/>
                <w:szCs w:val="24"/>
                <w:color w:val="auto"/>
              </w:rPr>
            </w:pPr>
          </w:p>
        </w:tc>
      </w:tr>
      <w:tr>
        <w:trPr>
          <w:trHeight w:val="180"/>
        </w:trPr>
        <w:tc>
          <w:tcPr>
            <w:tcW w:w="438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Investments in APS projects</w:t>
            </w:r>
          </w:p>
        </w:tc>
        <w:tc>
          <w:tcPr>
            <w:tcW w:w="4360" w:type="dxa"/>
            <w:vAlign w:val="bottom"/>
            <w:gridSpan w:val="2"/>
            <w:shd w:val="clear" w:color="auto" w:fill="CFF0FC"/>
          </w:tcPr>
          <w:p>
            <w:pPr>
              <w:jc w:val="right"/>
              <w:ind w:right="900"/>
              <w:spacing w:after="0" w:line="180" w:lineRule="exact"/>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2,083</w:t>
            </w:r>
          </w:p>
        </w:tc>
        <w:tc>
          <w:tcPr>
            <w:tcW w:w="54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2,111</w:t>
            </w:r>
          </w:p>
        </w:tc>
        <w:tc>
          <w:tcPr>
            <w:tcW w:w="100" w:type="dxa"/>
            <w:vAlign w:val="bottom"/>
            <w:shd w:val="clear" w:color="auto" w:fill="CFF0FC"/>
          </w:tcPr>
          <w:p>
            <w:pPr>
              <w:spacing w:after="0"/>
              <w:rPr>
                <w:sz w:val="15"/>
                <w:szCs w:val="15"/>
                <w:color w:val="auto"/>
              </w:rPr>
            </w:pPr>
          </w:p>
        </w:tc>
      </w:tr>
      <w:tr>
        <w:trPr>
          <w:trHeight w:val="186"/>
        </w:trPr>
        <w:tc>
          <w:tcPr>
            <w:tcW w:w="4380" w:type="dxa"/>
            <w:vAlign w:val="bottom"/>
          </w:tcPr>
          <w:p>
            <w:pPr>
              <w:ind w:left="20"/>
              <w:spacing w:after="0"/>
              <w:rPr>
                <w:sz w:val="20"/>
                <w:szCs w:val="20"/>
                <w:color w:val="auto"/>
              </w:rPr>
            </w:pPr>
            <w:r>
              <w:rPr>
                <w:rFonts w:ascii="Arial" w:cs="Arial" w:eastAsia="Arial" w:hAnsi="Arial"/>
                <w:sz w:val="16"/>
                <w:szCs w:val="16"/>
                <w:color w:val="auto"/>
              </w:rPr>
              <w:t>Pension and other postretirement plan assets</w:t>
            </w:r>
          </w:p>
        </w:tc>
        <w:tc>
          <w:tcPr>
            <w:tcW w:w="3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472</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16"/>
                <w:szCs w:val="16"/>
                <w:color w:val="auto"/>
              </w:rPr>
            </w:pPr>
          </w:p>
        </w:tc>
      </w:tr>
      <w:tr>
        <w:trPr>
          <w:trHeight w:val="186"/>
        </w:trPr>
        <w:tc>
          <w:tcPr>
            <w:tcW w:w="4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assets</w:t>
            </w:r>
          </w:p>
        </w:tc>
        <w:tc>
          <w:tcPr>
            <w:tcW w:w="32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702</w:t>
            </w: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718</w:t>
            </w:r>
          </w:p>
        </w:tc>
        <w:tc>
          <w:tcPr>
            <w:tcW w:w="100" w:type="dxa"/>
            <w:vAlign w:val="bottom"/>
            <w:shd w:val="clear" w:color="auto" w:fill="CFF0FC"/>
          </w:tcPr>
          <w:p>
            <w:pPr>
              <w:spacing w:after="0"/>
              <w:rPr>
                <w:sz w:val="16"/>
                <w:szCs w:val="16"/>
                <w:color w:val="auto"/>
              </w:rPr>
            </w:pPr>
          </w:p>
        </w:tc>
      </w:tr>
      <w:tr>
        <w:trPr>
          <w:trHeight w:val="186"/>
        </w:trPr>
        <w:tc>
          <w:tcPr>
            <w:tcW w:w="4380" w:type="dxa"/>
            <w:vAlign w:val="bottom"/>
          </w:tcPr>
          <w:p>
            <w:pPr>
              <w:ind w:left="20"/>
              <w:spacing w:after="0"/>
              <w:rPr>
                <w:sz w:val="20"/>
                <w:szCs w:val="20"/>
                <w:color w:val="auto"/>
              </w:rPr>
            </w:pPr>
            <w:r>
              <w:rPr>
                <w:rFonts w:ascii="Arial" w:cs="Arial" w:eastAsia="Arial" w:hAnsi="Arial"/>
                <w:sz w:val="16"/>
                <w:szCs w:val="16"/>
                <w:color w:val="auto"/>
              </w:rPr>
              <w:t>Exploration data costs capitalized</w:t>
            </w:r>
          </w:p>
        </w:tc>
        <w:tc>
          <w:tcPr>
            <w:tcW w:w="3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196</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6"/>
                <w:szCs w:val="16"/>
                <w:color w:val="auto"/>
              </w:rPr>
            </w:pPr>
          </w:p>
        </w:tc>
      </w:tr>
      <w:tr>
        <w:trPr>
          <w:trHeight w:val="186"/>
        </w:trPr>
        <w:tc>
          <w:tcPr>
            <w:tcW w:w="4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Fair value of hedge contracts</w:t>
            </w:r>
          </w:p>
        </w:tc>
        <w:tc>
          <w:tcPr>
            <w:tcW w:w="32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w:t>
            </w: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FF0FC"/>
          </w:tcPr>
          <w:p>
            <w:pPr>
              <w:spacing w:after="0"/>
              <w:rPr>
                <w:sz w:val="16"/>
                <w:szCs w:val="16"/>
                <w:color w:val="auto"/>
              </w:rPr>
            </w:pPr>
          </w:p>
        </w:tc>
      </w:tr>
      <w:tr>
        <w:trPr>
          <w:trHeight w:val="186"/>
        </w:trPr>
        <w:tc>
          <w:tcPr>
            <w:tcW w:w="4380" w:type="dxa"/>
            <w:vAlign w:val="bottom"/>
          </w:tcPr>
          <w:p>
            <w:pPr>
              <w:ind w:left="20"/>
              <w:spacing w:after="0"/>
              <w:rPr>
                <w:sz w:val="20"/>
                <w:szCs w:val="20"/>
                <w:color w:val="auto"/>
              </w:rPr>
            </w:pPr>
            <w:r>
              <w:rPr>
                <w:rFonts w:ascii="Arial" w:cs="Arial" w:eastAsia="Arial" w:hAnsi="Arial"/>
                <w:sz w:val="16"/>
                <w:szCs w:val="16"/>
                <w:color w:val="auto"/>
              </w:rPr>
              <w:t>Other</w:t>
            </w:r>
          </w:p>
        </w:tc>
        <w:tc>
          <w:tcPr>
            <w:tcW w:w="32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299</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16"/>
                <w:szCs w:val="16"/>
                <w:color w:val="auto"/>
              </w:rPr>
            </w:pPr>
          </w:p>
        </w:tc>
      </w:tr>
      <w:tr>
        <w:trPr>
          <w:trHeight w:val="220"/>
        </w:trPr>
        <w:tc>
          <w:tcPr>
            <w:tcW w:w="4380" w:type="dxa"/>
            <w:vAlign w:val="bottom"/>
            <w:shd w:val="clear" w:color="auto" w:fill="CFF0FC"/>
          </w:tcPr>
          <w:p>
            <w:pPr>
              <w:spacing w:after="0"/>
              <w:rPr>
                <w:sz w:val="19"/>
                <w:szCs w:val="19"/>
                <w:color w:val="auto"/>
              </w:rPr>
            </w:pPr>
          </w:p>
        </w:tc>
        <w:tc>
          <w:tcPr>
            <w:tcW w:w="4360" w:type="dxa"/>
            <w:vAlign w:val="bottom"/>
            <w:gridSpan w:val="2"/>
            <w:shd w:val="clear" w:color="auto" w:fill="CFF0FC"/>
          </w:tcPr>
          <w:p>
            <w:pPr>
              <w:jc w:val="right"/>
              <w:ind w:right="900"/>
              <w:spacing w:after="0" w:line="180" w:lineRule="exact"/>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3,766</w:t>
            </w:r>
          </w:p>
        </w:tc>
        <w:tc>
          <w:tcPr>
            <w:tcW w:w="54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4,052</w:t>
            </w:r>
          </w:p>
        </w:tc>
        <w:tc>
          <w:tcPr>
            <w:tcW w:w="100" w:type="dxa"/>
            <w:vAlign w:val="bottom"/>
            <w:shd w:val="clear" w:color="auto" w:fill="CFF0FC"/>
          </w:tcPr>
          <w:p>
            <w:pPr>
              <w:spacing w:after="0"/>
              <w:rPr>
                <w:sz w:val="19"/>
                <w:szCs w:val="19"/>
                <w:color w:val="auto"/>
              </w:rPr>
            </w:pPr>
          </w:p>
        </w:tc>
      </w:tr>
      <w:tr>
        <w:trPr>
          <w:trHeight w:val="602"/>
        </w:trPr>
        <w:tc>
          <w:tcPr>
            <w:tcW w:w="4380" w:type="dxa"/>
            <w:vAlign w:val="bottom"/>
            <w:tcBorders>
              <w:top w:val="single" w:sz="8" w:color="CFF0FC"/>
            </w:tcBorders>
          </w:tcPr>
          <w:p>
            <w:pPr>
              <w:spacing w:after="0"/>
              <w:rPr>
                <w:sz w:val="24"/>
                <w:szCs w:val="24"/>
                <w:color w:val="auto"/>
              </w:rPr>
            </w:pPr>
          </w:p>
        </w:tc>
        <w:tc>
          <w:tcPr>
            <w:tcW w:w="3280" w:type="dxa"/>
            <w:vAlign w:val="bottom"/>
            <w:tcBorders>
              <w:top w:val="single" w:sz="8" w:color="CFF0FC"/>
            </w:tcBorders>
          </w:tcPr>
          <w:p>
            <w:pPr>
              <w:jc w:val="right"/>
              <w:ind w:right="1860"/>
              <w:spacing w:after="0"/>
              <w:rPr>
                <w:sz w:val="20"/>
                <w:szCs w:val="20"/>
                <w:color w:val="auto"/>
              </w:rPr>
            </w:pPr>
            <w:r>
              <w:rPr>
                <w:rFonts w:ascii="Arial" w:cs="Arial" w:eastAsia="Arial" w:hAnsi="Arial"/>
                <w:sz w:val="16"/>
                <w:szCs w:val="16"/>
                <w:color w:val="auto"/>
              </w:rPr>
              <w:t>57</w:t>
            </w:r>
          </w:p>
        </w:tc>
        <w:tc>
          <w:tcPr>
            <w:tcW w:w="10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2"/>
        </w:trPr>
        <w:tc>
          <w:tcPr>
            <w:tcW w:w="438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-903605</wp:posOffset>
            </wp:positionV>
            <wp:extent cx="6731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-887095</wp:posOffset>
            </wp:positionV>
            <wp:extent cx="6731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-903605</wp:posOffset>
            </wp:positionV>
            <wp:extent cx="6731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-887095</wp:posOffset>
            </wp:positionV>
            <wp:extent cx="6731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i w:val="1"/>
          <w:iCs w:val="1"/>
          <w:color w:val="auto"/>
        </w:rPr>
        <w:t xml:space="preserve">Accounts payable and accrued liabilities </w:t>
      </w:r>
      <w:r>
        <w:rPr>
          <w:rFonts w:ascii="Arial" w:cs="Arial" w:eastAsia="Arial" w:hAnsi="Arial"/>
          <w:sz w:val="16"/>
          <w:szCs w:val="16"/>
          <w:color w:val="auto"/>
        </w:rPr>
        <w:t>consist of the following:</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355"/>
        </w:trPr>
        <w:tc>
          <w:tcPr>
            <w:tcW w:w="45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4"/>
                <w:szCs w:val="24"/>
                <w:color w:val="auto"/>
              </w:rPr>
            </w:pPr>
          </w:p>
        </w:tc>
      </w:tr>
      <w:tr>
        <w:trPr>
          <w:trHeight w:val="180"/>
        </w:trPr>
        <w:tc>
          <w:tcPr>
            <w:tcW w:w="452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Trade</w:t>
            </w:r>
          </w:p>
        </w:tc>
        <w:tc>
          <w:tcPr>
            <w:tcW w:w="4160" w:type="dxa"/>
            <w:vAlign w:val="bottom"/>
            <w:gridSpan w:val="2"/>
            <w:shd w:val="clear" w:color="auto" w:fill="CFF0FC"/>
          </w:tcPr>
          <w:p>
            <w:pPr>
              <w:jc w:val="right"/>
              <w:ind w:right="840"/>
              <w:spacing w:after="0" w:line="180" w:lineRule="exact"/>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4,230</w:t>
            </w:r>
          </w:p>
        </w:tc>
        <w:tc>
          <w:tcPr>
            <w:tcW w:w="54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4,613</w:t>
            </w:r>
          </w:p>
        </w:tc>
        <w:tc>
          <w:tcPr>
            <w:tcW w:w="100" w:type="dxa"/>
            <w:vAlign w:val="bottom"/>
            <w:shd w:val="clear" w:color="auto" w:fill="CFF0FC"/>
          </w:tcPr>
          <w:p>
            <w:pPr>
              <w:spacing w:after="0"/>
              <w:rPr>
                <w:sz w:val="15"/>
                <w:szCs w:val="15"/>
                <w:color w:val="auto"/>
              </w:rPr>
            </w:pPr>
          </w:p>
        </w:tc>
      </w:tr>
      <w:tr>
        <w:trPr>
          <w:trHeight w:val="186"/>
        </w:trPr>
        <w:tc>
          <w:tcPr>
            <w:tcW w:w="4520" w:type="dxa"/>
            <w:vAlign w:val="bottom"/>
          </w:tcPr>
          <w:p>
            <w:pPr>
              <w:ind w:left="20"/>
              <w:spacing w:after="0"/>
              <w:rPr>
                <w:sz w:val="20"/>
                <w:szCs w:val="20"/>
                <w:color w:val="auto"/>
              </w:rPr>
            </w:pPr>
            <w:r>
              <w:rPr>
                <w:rFonts w:ascii="Arial" w:cs="Arial" w:eastAsia="Arial" w:hAnsi="Arial"/>
                <w:sz w:val="16"/>
                <w:szCs w:val="16"/>
                <w:color w:val="auto"/>
              </w:rPr>
              <w:t>Payroll, vacation, and employee benefits</w:t>
            </w:r>
          </w:p>
        </w:tc>
        <w:tc>
          <w:tcPr>
            <w:tcW w:w="3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1,475</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1,625</w:t>
            </w:r>
          </w:p>
        </w:tc>
        <w:tc>
          <w:tcPr>
            <w:tcW w:w="100" w:type="dxa"/>
            <w:vAlign w:val="bottom"/>
          </w:tcPr>
          <w:p>
            <w:pPr>
              <w:spacing w:after="0"/>
              <w:rPr>
                <w:sz w:val="16"/>
                <w:szCs w:val="16"/>
                <w:color w:val="auto"/>
              </w:rPr>
            </w:pPr>
          </w:p>
        </w:tc>
      </w:tr>
      <w:tr>
        <w:trPr>
          <w:trHeight w:val="186"/>
        </w:trPr>
        <w:tc>
          <w:tcPr>
            <w:tcW w:w="4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Billings and cash collections in excess of revenue</w:t>
            </w:r>
          </w:p>
        </w:tc>
        <w:tc>
          <w:tcPr>
            <w:tcW w:w="3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2,007</w:t>
            </w: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1,996</w:t>
            </w:r>
          </w:p>
        </w:tc>
        <w:tc>
          <w:tcPr>
            <w:tcW w:w="100" w:type="dxa"/>
            <w:vAlign w:val="bottom"/>
            <w:shd w:val="clear" w:color="auto" w:fill="CFF0FC"/>
          </w:tcPr>
          <w:p>
            <w:pPr>
              <w:spacing w:after="0"/>
              <w:rPr>
                <w:sz w:val="16"/>
                <w:szCs w:val="16"/>
                <w:color w:val="auto"/>
              </w:rPr>
            </w:pPr>
          </w:p>
        </w:tc>
      </w:tr>
      <w:tr>
        <w:trPr>
          <w:trHeight w:val="186"/>
        </w:trPr>
        <w:tc>
          <w:tcPr>
            <w:tcW w:w="4520" w:type="dxa"/>
            <w:vAlign w:val="bottom"/>
          </w:tcPr>
          <w:p>
            <w:pPr>
              <w:ind w:left="20"/>
              <w:spacing w:after="0"/>
              <w:rPr>
                <w:sz w:val="20"/>
                <w:szCs w:val="20"/>
                <w:color w:val="auto"/>
              </w:rPr>
            </w:pPr>
            <w:r>
              <w:rPr>
                <w:rFonts w:ascii="Arial" w:cs="Arial" w:eastAsia="Arial" w:hAnsi="Arial"/>
                <w:sz w:val="16"/>
                <w:szCs w:val="16"/>
                <w:color w:val="auto"/>
              </w:rPr>
              <w:t>Other</w:t>
            </w:r>
          </w:p>
        </w:tc>
        <w:tc>
          <w:tcPr>
            <w:tcW w:w="31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2,663</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2,670</w:t>
            </w:r>
          </w:p>
        </w:tc>
        <w:tc>
          <w:tcPr>
            <w:tcW w:w="100" w:type="dxa"/>
            <w:vAlign w:val="bottom"/>
          </w:tcPr>
          <w:p>
            <w:pPr>
              <w:spacing w:after="0"/>
              <w:rPr>
                <w:sz w:val="16"/>
                <w:szCs w:val="16"/>
                <w:color w:val="auto"/>
              </w:rPr>
            </w:pPr>
          </w:p>
        </w:tc>
      </w:tr>
      <w:tr>
        <w:trPr>
          <w:trHeight w:val="220"/>
        </w:trPr>
        <w:tc>
          <w:tcPr>
            <w:tcW w:w="4520" w:type="dxa"/>
            <w:vAlign w:val="bottom"/>
            <w:shd w:val="clear" w:color="auto" w:fill="CFF0FC"/>
          </w:tcPr>
          <w:p>
            <w:pPr>
              <w:spacing w:after="0"/>
              <w:rPr>
                <w:sz w:val="19"/>
                <w:szCs w:val="19"/>
                <w:color w:val="auto"/>
              </w:rPr>
            </w:pPr>
          </w:p>
        </w:tc>
        <w:tc>
          <w:tcPr>
            <w:tcW w:w="4160" w:type="dxa"/>
            <w:vAlign w:val="bottom"/>
            <w:gridSpan w:val="2"/>
            <w:shd w:val="clear" w:color="auto" w:fill="CFF0FC"/>
          </w:tcPr>
          <w:p>
            <w:pPr>
              <w:jc w:val="right"/>
              <w:ind w:right="840"/>
              <w:spacing w:after="0" w:line="180" w:lineRule="exact"/>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10,375</w:t>
            </w:r>
          </w:p>
        </w:tc>
        <w:tc>
          <w:tcPr>
            <w:tcW w:w="54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10,904</w:t>
            </w:r>
          </w:p>
        </w:tc>
        <w:tc>
          <w:tcPr>
            <w:tcW w:w="100" w:type="dxa"/>
            <w:vAlign w:val="bottom"/>
            <w:shd w:val="clear" w:color="auto" w:fill="CFF0FC"/>
          </w:tcPr>
          <w:p>
            <w:pPr>
              <w:spacing w:after="0"/>
              <w:rPr>
                <w:sz w:val="19"/>
                <w:szCs w:val="19"/>
                <w:color w:val="auto"/>
              </w:rPr>
            </w:pPr>
          </w:p>
        </w:tc>
      </w:tr>
      <w:tr>
        <w:trPr>
          <w:trHeight w:val="775"/>
        </w:trPr>
        <w:tc>
          <w:tcPr>
            <w:tcW w:w="4520" w:type="dxa"/>
            <w:vAlign w:val="bottom"/>
            <w:tcBorders>
              <w:top w:val="single" w:sz="8" w:color="CFF0FC"/>
            </w:tcBorders>
          </w:tcPr>
          <w:p>
            <w:pPr>
              <w:spacing w:after="0"/>
              <w:rPr>
                <w:sz w:val="24"/>
                <w:szCs w:val="24"/>
                <w:color w:val="auto"/>
              </w:rPr>
            </w:pPr>
          </w:p>
        </w:tc>
        <w:tc>
          <w:tcPr>
            <w:tcW w:w="3140" w:type="dxa"/>
            <w:vAlign w:val="bottom"/>
            <w:tcBorders>
              <w:top w:val="single" w:sz="8" w:color="CFF0FC"/>
            </w:tcBorders>
          </w:tcPr>
          <w:p>
            <w:pPr>
              <w:jc w:val="right"/>
              <w:ind w:right="1860"/>
              <w:spacing w:after="0"/>
              <w:rPr>
                <w:sz w:val="20"/>
                <w:szCs w:val="20"/>
                <w:color w:val="auto"/>
              </w:rPr>
            </w:pPr>
            <w:r>
              <w:rPr>
                <w:rFonts w:ascii="Arial" w:cs="Arial" w:eastAsia="Arial" w:hAnsi="Arial"/>
                <w:sz w:val="16"/>
                <w:szCs w:val="16"/>
                <w:color w:val="auto"/>
              </w:rPr>
              <w:t>58</w:t>
            </w:r>
          </w:p>
        </w:tc>
        <w:tc>
          <w:tcPr>
            <w:tcW w:w="10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2"/>
        </w:trPr>
        <w:tc>
          <w:tcPr>
            <w:tcW w:w="45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-1013460</wp:posOffset>
            </wp:positionV>
            <wp:extent cx="6731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-996950</wp:posOffset>
            </wp:positionV>
            <wp:extent cx="6731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-1013460</wp:posOffset>
            </wp:positionV>
            <wp:extent cx="6731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-996950</wp:posOffset>
            </wp:positionV>
            <wp:extent cx="6731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0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SLB management is responsible for establishing and maintaining adequate internal control over financial reporting as defined in Rule 13a–15(f) of the Securities Exchange Act of 1934, as amended (the “Exchange Act”). SLB’s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color w:val="auto"/>
        </w:rPr>
        <w:t xml:space="preserve">SLB management assessed the effectiveness of its internal control over financial reporting as of December 31, 2024. In making this assessment, it used the criteria set forth in 2013 by the Committee of Sponsoring Organizations of the Treadway Commission in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Based on this assessment SLB’s management has concluded that, as of December 31, 2024, its internal control over financial reporting is effective based on those criteria.</w:t>
      </w:r>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effectiveness of SLB’s internal control over financial reporting as of December 31, 2024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of Schlumberger Limited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10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We have audited the accompanying consolidated balance sheet of Schlumberger Limited and its subsidiaries (the “Company”) as of December 31, 2024 and 2023, and the related consolidated statements of income, comprehensive income, stockholders’ equity and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COSO.</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10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10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10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 Tax Positions</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described in Note 13 to the consolidated financial statements, the Company’s tax filings are subject to regular audit by the tax authorities, and those audits may result in assessments for additional taxes that are resolved with the tax authorities or, potentially, through the courts. Tax liabilities are recorded based on estimates of additional taxes that will be due upon the conclusion of these audits.</w:t>
      </w:r>
    </w:p>
    <w:p>
      <w:pPr>
        <w:spacing w:after="0" w:line="147"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color w:val="auto"/>
        </w:rPr>
        <w:t>The principal considerations for our determination that performing procedures relating to uncertain tax positions is a critical audit matter are the significant judgment applied by management in determining these liabilities including a high degree of estimation uncertainty due to the uncertain and complex application of tax regulations, which in turn led to a high degree of auditor judgment, subjectivity, and effort in performing procedures to evaluate management’s estimates.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identification and recognition of uncertain tax positions. These procedures also included, among others (i) evaluating management’s process for determining the estimated liabilities for uncertain tax positions, (ii) testing the completeness and reasonableness of uncertain tax positions recorded in the consolidated financial statements, and (iii) evaluating assessments received from the relevant tax authorities. Professionals with specialized skill and knowledge were used to assist in evaluating the reasonableness of assumptions used by management, including management's assessment of whether tax positions are more likely than not of being sustained.</w:t>
      </w:r>
    </w:p>
    <w:p>
      <w:pPr>
        <w:spacing w:after="0" w:line="34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PricewaterhouseCoopers LLP</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Houston, Texas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January 22, 2025</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1952.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u w:val="single" w:color="auto"/>
          <w:color w:val="auto"/>
        </w:rPr>
        <w:t>Item 9. Changes in and Disagreements with Accountants on Accounting and Financial Disclosure.</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9A. Controls and Procedures.</w:t>
      </w:r>
    </w:p>
    <w:p>
      <w:pPr>
        <w:spacing w:after="0" w:line="10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SLB has carried out an evaluation under the supervision and with the participation of SLB’s management, including the Chief Executive Officer (“CEO”) and the Chief Financial Officer (“CFO”), of the effectiveness of SLB’s “disclosure controls and procedures” (as such term is defined in Rules 13a-15(e) and 15d-15(e) under the Exchange Act) as of the end of the period covered by this report. Based on this evaluation, the CEO and the CFO have concluded that, as of the end of the period covered by this report, SLB’s disclosure controls and procedures were effective to provide reasonable assurance that information required to be disclosed in the reports that SLB files or submits under the Exchange Act is recorded, processed, summarized, and reported within the time periods specified in the Securities and Exchange Commission’s rules and forms. SLB’s disclosure controls and procedures include controls and procedures designed so that information required to be disclosed in reports filed or submitted under the Exchange Act is accumulated and communicated to its management, including the CEO and the CFO, as appropriate, to allow timely decisions regarding required disclosure. There has been no change in SLB’s internal control over financial reporting that occurred during the fourth quarter of 2024 that has materially affected, or is reasonably likely to materially affect, SLB’s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9B. Other Information.</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2013, SLB completed the wind-down of its service operations in Iran. Prior to this, certain non-US subsidiaries provided oilfield services to the National Iranian Oil Company and certain of its affiliates (“NIOC”).</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SLB’s residual transactions or dealings with the government of Iran in 2024 consisted of payments of taxes and other typical governmental charges. Certain non-US subsidiaries of SLB maintained depository accounts at the Dubai branch of Bank Saderat Iran (“Saderat”), and at Bank Tejarat (“Tejarat”) in Tehran and in Kish for the deposit by NIOC of amounts owed to non-US subsidiaries of SLB for services rendered in Iran prior to the wind-down and for the maintenance of such amounts previously received. One non-US subsidiary also maintained an account at Tejarat for payment of local expenses such as taxes. SLB anticipates that it will discontinue dealings with Saderat and Tejarat following the receipt of all amounts owed to SLB for prior services rendered in Iran.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9C. Disclosure Regarding Foreign Jurisdictions that Prevent Inspections.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color w:val="auto"/>
        </w:rPr>
        <w:t>PART III</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10. Directors, Executive Officers and Corporate Governance.</w:t>
      </w:r>
    </w:p>
    <w:p>
      <w:pPr>
        <w:spacing w:after="0" w:line="10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See “Item 1. Business—Information About Our Executive Officers” of this Report for information regarding SLB’s executive officers. The information set forth under the captions “Election of Directors,” “Corporate Governance—Process for Selecting New Directors,” and “Corporate Governance—Board Committees” in SLB’s 2025 Proxy Statement is incorporated herein by reference. The information set forth under the caption “Stock Ownership Information—Delinquent Section 16(a) Reports” in SLB’s 2025 Proxy Statement is incorporated herein by reference to the extent any disclosure is required.</w:t>
      </w:r>
    </w:p>
    <w:p>
      <w:pPr>
        <w:spacing w:after="0" w:line="153"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SLB has a Code of Conduct that applies to all of its directors, officers and employees, including its principal executive, financial and accounting officers, or persons performing similar functions. SLB’s Code of Conduct is posted on its website at https://www.slb.com/about/who-we-are/our-code-of-conduct. SLB will provide, without charge, upon request, copies of our Code of Conduct. Requests for copies of our Code of Conduct should be sent in writing to SLB, Chief Legal Officer and Secretary, 5599 San Felipe, Houston, Texas 77056. SLB intends to disclose future amendments to the Code of Conduct and any grant of a waiver from a provision of the Code of Conduct requiring disclosure under applicable SEC rules at https://www.slb.com/about/who-we-are/our-code-of-conduct.</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SLB has a securities transactions policy governing the purchase, sale and other dispositions of its securities by directors, officers, and employees. SLB believes that its securities transactions policy is reasonably designed to promote compliance with insider trading laws, rules and regulations, and any applicable listing standards. A copy of SLB’s securities transactions policy is filed as Exhibit 19 to this Form 10-K.</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information regarding SLB’s directors: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36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Name</w:t>
            </w:r>
          </w:p>
        </w:tc>
        <w:tc>
          <w:tcPr>
            <w:tcW w:w="7600" w:type="dxa"/>
            <w:vAlign w:val="bottom"/>
            <w:tcBorders>
              <w:top w:val="single" w:sz="8" w:color="auto"/>
              <w:bottom w:val="single" w:sz="8" w:color="auto"/>
              <w:right w:val="single" w:sz="8" w:color="auto"/>
            </w:tcBorders>
          </w:tcPr>
          <w:p>
            <w:pPr>
              <w:spacing w:after="0"/>
              <w:rPr>
                <w:sz w:val="19"/>
                <w:szCs w:val="19"/>
                <w:color w:val="auto"/>
              </w:rPr>
            </w:pPr>
          </w:p>
        </w:tc>
      </w:tr>
      <w:tr>
        <w:trPr>
          <w:trHeight w:val="163"/>
        </w:trPr>
        <w:tc>
          <w:tcPr>
            <w:tcW w:w="3640" w:type="dxa"/>
            <w:vAlign w:val="bottom"/>
            <w:tcBorders>
              <w:left w:val="single" w:sz="8" w:color="auto"/>
              <w:bottom w:val="single" w:sz="8" w:color="auto"/>
              <w:right w:val="single" w:sz="8" w:color="auto"/>
            </w:tcBorders>
          </w:tcPr>
          <w:p>
            <w:pPr>
              <w:ind w:left="120"/>
              <w:spacing w:after="0" w:line="163" w:lineRule="exact"/>
              <w:rPr>
                <w:sz w:val="20"/>
                <w:szCs w:val="20"/>
                <w:color w:val="auto"/>
              </w:rPr>
            </w:pPr>
            <w:r>
              <w:rPr>
                <w:rFonts w:ascii="Arial" w:cs="Arial" w:eastAsia="Arial" w:hAnsi="Arial"/>
                <w:sz w:val="16"/>
                <w:szCs w:val="16"/>
                <w:color w:val="auto"/>
              </w:rPr>
              <w:t>Peter Coleman</w:t>
            </w:r>
          </w:p>
        </w:tc>
        <w:tc>
          <w:tcPr>
            <w:tcW w:w="7600" w:type="dxa"/>
            <w:vAlign w:val="bottom"/>
            <w:tcBorders>
              <w:bottom w:val="single" w:sz="8" w:color="auto"/>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Former Chief Executive Officer and Managing Director, Woodside Petroleum Ltd.</w:t>
            </w:r>
          </w:p>
        </w:tc>
      </w:tr>
      <w:tr>
        <w:trPr>
          <w:trHeight w:val="180"/>
        </w:trPr>
        <w:tc>
          <w:tcPr>
            <w:tcW w:w="364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Arial" w:cs="Arial" w:eastAsia="Arial" w:hAnsi="Arial"/>
                <w:sz w:val="16"/>
                <w:szCs w:val="16"/>
                <w:color w:val="auto"/>
              </w:rPr>
              <w:t>Patrick de La Chevardière</w:t>
            </w:r>
          </w:p>
        </w:tc>
        <w:tc>
          <w:tcPr>
            <w:tcW w:w="7600" w:type="dxa"/>
            <w:vAlign w:val="bottom"/>
            <w:tcBorders>
              <w:bottom w:val="single" w:sz="8" w:color="auto"/>
              <w:right w:val="single" w:sz="8" w:color="auto"/>
            </w:tcBorders>
          </w:tcPr>
          <w:p>
            <w:pPr>
              <w:ind w:left="80"/>
              <w:spacing w:after="0" w:line="180" w:lineRule="exact"/>
              <w:rPr>
                <w:sz w:val="20"/>
                <w:szCs w:val="20"/>
                <w:color w:val="auto"/>
              </w:rPr>
            </w:pPr>
            <w:r>
              <w:rPr>
                <w:rFonts w:ascii="Arial" w:cs="Arial" w:eastAsia="Arial" w:hAnsi="Arial"/>
                <w:sz w:val="16"/>
                <w:szCs w:val="16"/>
                <w:color w:val="auto"/>
              </w:rPr>
              <w:t>Former Chief Financial Officer, TotalEnergies S.A.</w:t>
            </w:r>
          </w:p>
        </w:tc>
      </w:tr>
      <w:tr>
        <w:trPr>
          <w:trHeight w:val="180"/>
        </w:trPr>
        <w:tc>
          <w:tcPr>
            <w:tcW w:w="364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Arial" w:cs="Arial" w:eastAsia="Arial" w:hAnsi="Arial"/>
                <w:sz w:val="16"/>
                <w:szCs w:val="16"/>
                <w:color w:val="auto"/>
              </w:rPr>
              <w:t>Miguel M. Galuccio</w:t>
            </w:r>
          </w:p>
        </w:tc>
        <w:tc>
          <w:tcPr>
            <w:tcW w:w="7600" w:type="dxa"/>
            <w:vAlign w:val="bottom"/>
            <w:tcBorders>
              <w:bottom w:val="single" w:sz="8" w:color="auto"/>
              <w:right w:val="single" w:sz="8" w:color="auto"/>
            </w:tcBorders>
          </w:tcPr>
          <w:p>
            <w:pPr>
              <w:ind w:left="80"/>
              <w:spacing w:after="0" w:line="180" w:lineRule="exact"/>
              <w:rPr>
                <w:sz w:val="20"/>
                <w:szCs w:val="20"/>
                <w:color w:val="auto"/>
              </w:rPr>
            </w:pPr>
            <w:r>
              <w:rPr>
                <w:rFonts w:ascii="Arial" w:cs="Arial" w:eastAsia="Arial" w:hAnsi="Arial"/>
                <w:sz w:val="16"/>
                <w:szCs w:val="16"/>
                <w:color w:val="auto"/>
              </w:rPr>
              <w:t>Chairman and Chief Executive Officer, Vista</w:t>
            </w:r>
          </w:p>
        </w:tc>
      </w:tr>
      <w:tr>
        <w:trPr>
          <w:trHeight w:val="180"/>
        </w:trPr>
        <w:tc>
          <w:tcPr>
            <w:tcW w:w="364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Arial" w:cs="Arial" w:eastAsia="Arial" w:hAnsi="Arial"/>
                <w:sz w:val="16"/>
                <w:szCs w:val="16"/>
                <w:color w:val="auto"/>
              </w:rPr>
              <w:t>James Hackett</w:t>
            </w:r>
          </w:p>
        </w:tc>
        <w:tc>
          <w:tcPr>
            <w:tcW w:w="7600" w:type="dxa"/>
            <w:vAlign w:val="bottom"/>
            <w:tcBorders>
              <w:bottom w:val="single" w:sz="8" w:color="auto"/>
              <w:right w:val="single" w:sz="8" w:color="auto"/>
            </w:tcBorders>
          </w:tcPr>
          <w:p>
            <w:pPr>
              <w:ind w:left="80"/>
              <w:spacing w:after="0" w:line="180" w:lineRule="exact"/>
              <w:rPr>
                <w:sz w:val="20"/>
                <w:szCs w:val="20"/>
                <w:color w:val="auto"/>
              </w:rPr>
            </w:pPr>
            <w:r>
              <w:rPr>
                <w:rFonts w:ascii="Arial" w:cs="Arial" w:eastAsia="Arial" w:hAnsi="Arial"/>
                <w:sz w:val="16"/>
                <w:szCs w:val="16"/>
                <w:color w:val="auto"/>
              </w:rPr>
              <w:t>President, Tessellation Services</w:t>
            </w:r>
          </w:p>
        </w:tc>
      </w:tr>
      <w:tr>
        <w:trPr>
          <w:trHeight w:val="180"/>
        </w:trPr>
        <w:tc>
          <w:tcPr>
            <w:tcW w:w="364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Arial" w:cs="Arial" w:eastAsia="Arial" w:hAnsi="Arial"/>
                <w:sz w:val="16"/>
                <w:szCs w:val="16"/>
                <w:color w:val="auto"/>
              </w:rPr>
              <w:t>Olivier Le Peuch</w:t>
            </w:r>
          </w:p>
        </w:tc>
        <w:tc>
          <w:tcPr>
            <w:tcW w:w="7600" w:type="dxa"/>
            <w:vAlign w:val="bottom"/>
            <w:tcBorders>
              <w:bottom w:val="single" w:sz="8" w:color="auto"/>
              <w:right w:val="single" w:sz="8" w:color="auto"/>
            </w:tcBorders>
          </w:tcPr>
          <w:p>
            <w:pPr>
              <w:ind w:left="80"/>
              <w:spacing w:after="0" w:line="180" w:lineRule="exact"/>
              <w:rPr>
                <w:sz w:val="20"/>
                <w:szCs w:val="20"/>
                <w:color w:val="auto"/>
              </w:rPr>
            </w:pPr>
            <w:r>
              <w:rPr>
                <w:rFonts w:ascii="Arial" w:cs="Arial" w:eastAsia="Arial" w:hAnsi="Arial"/>
                <w:sz w:val="16"/>
                <w:szCs w:val="16"/>
                <w:color w:val="auto"/>
              </w:rPr>
              <w:t>Chief Executive Officer, SLB</w:t>
            </w:r>
          </w:p>
        </w:tc>
      </w:tr>
      <w:tr>
        <w:trPr>
          <w:trHeight w:val="180"/>
        </w:trPr>
        <w:tc>
          <w:tcPr>
            <w:tcW w:w="364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Arial" w:cs="Arial" w:eastAsia="Arial" w:hAnsi="Arial"/>
                <w:sz w:val="16"/>
                <w:szCs w:val="16"/>
                <w:color w:val="auto"/>
              </w:rPr>
              <w:t>Samuel Leupold</w:t>
            </w:r>
          </w:p>
        </w:tc>
        <w:tc>
          <w:tcPr>
            <w:tcW w:w="7600" w:type="dxa"/>
            <w:vAlign w:val="bottom"/>
            <w:tcBorders>
              <w:bottom w:val="single" w:sz="8" w:color="auto"/>
              <w:right w:val="single" w:sz="8" w:color="auto"/>
            </w:tcBorders>
          </w:tcPr>
          <w:p>
            <w:pPr>
              <w:ind w:left="80"/>
              <w:spacing w:after="0" w:line="180" w:lineRule="exact"/>
              <w:rPr>
                <w:sz w:val="20"/>
                <w:szCs w:val="20"/>
                <w:color w:val="auto"/>
              </w:rPr>
            </w:pPr>
            <w:r>
              <w:rPr>
                <w:rFonts w:ascii="Arial" w:cs="Arial" w:eastAsia="Arial" w:hAnsi="Arial"/>
                <w:sz w:val="16"/>
                <w:szCs w:val="16"/>
                <w:color w:val="auto"/>
              </w:rPr>
              <w:t>Former Chief Executive Officer, Ørsted Wind Power A/S</w:t>
            </w:r>
          </w:p>
        </w:tc>
      </w:tr>
      <w:tr>
        <w:trPr>
          <w:trHeight w:val="180"/>
        </w:trPr>
        <w:tc>
          <w:tcPr>
            <w:tcW w:w="364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Arial" w:cs="Arial" w:eastAsia="Arial" w:hAnsi="Arial"/>
                <w:sz w:val="16"/>
                <w:szCs w:val="16"/>
                <w:color w:val="auto"/>
              </w:rPr>
              <w:t>Tatiana A. Mitrova</w:t>
            </w:r>
          </w:p>
        </w:tc>
        <w:tc>
          <w:tcPr>
            <w:tcW w:w="7600" w:type="dxa"/>
            <w:vAlign w:val="bottom"/>
            <w:tcBorders>
              <w:bottom w:val="single" w:sz="8" w:color="auto"/>
              <w:right w:val="single" w:sz="8" w:color="auto"/>
            </w:tcBorders>
          </w:tcPr>
          <w:p>
            <w:pPr>
              <w:ind w:left="80"/>
              <w:spacing w:after="0" w:line="180" w:lineRule="exact"/>
              <w:rPr>
                <w:sz w:val="20"/>
                <w:szCs w:val="20"/>
                <w:color w:val="auto"/>
              </w:rPr>
            </w:pPr>
            <w:r>
              <w:rPr>
                <w:rFonts w:ascii="Arial" w:cs="Arial" w:eastAsia="Arial" w:hAnsi="Arial"/>
                <w:sz w:val="16"/>
                <w:szCs w:val="16"/>
                <w:color w:val="auto"/>
              </w:rPr>
              <w:t>Director, New Energy Advancement Hub</w:t>
            </w:r>
          </w:p>
        </w:tc>
      </w:tr>
      <w:tr>
        <w:trPr>
          <w:trHeight w:val="180"/>
        </w:trPr>
        <w:tc>
          <w:tcPr>
            <w:tcW w:w="364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Arial" w:cs="Arial" w:eastAsia="Arial" w:hAnsi="Arial"/>
                <w:sz w:val="16"/>
                <w:szCs w:val="16"/>
                <w:color w:val="auto"/>
              </w:rPr>
              <w:t>Maria Moræus Hanssen</w:t>
            </w:r>
          </w:p>
        </w:tc>
        <w:tc>
          <w:tcPr>
            <w:tcW w:w="7600" w:type="dxa"/>
            <w:vAlign w:val="bottom"/>
            <w:tcBorders>
              <w:bottom w:val="single" w:sz="8" w:color="auto"/>
              <w:right w:val="single" w:sz="8" w:color="auto"/>
            </w:tcBorders>
          </w:tcPr>
          <w:p>
            <w:pPr>
              <w:ind w:left="80"/>
              <w:spacing w:after="0" w:line="180" w:lineRule="exact"/>
              <w:rPr>
                <w:sz w:val="20"/>
                <w:szCs w:val="20"/>
                <w:color w:val="auto"/>
              </w:rPr>
            </w:pPr>
            <w:r>
              <w:rPr>
                <w:rFonts w:ascii="Arial" w:cs="Arial" w:eastAsia="Arial" w:hAnsi="Arial"/>
                <w:sz w:val="16"/>
                <w:szCs w:val="16"/>
                <w:color w:val="auto"/>
              </w:rPr>
              <w:t>Former Deputy Chief Executive Officer &amp; Chief Operating Officer, Wintershall Dea GmbH</w:t>
            </w:r>
          </w:p>
        </w:tc>
      </w:tr>
      <w:tr>
        <w:trPr>
          <w:trHeight w:val="180"/>
        </w:trPr>
        <w:tc>
          <w:tcPr>
            <w:tcW w:w="364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Arial" w:cs="Arial" w:eastAsia="Arial" w:hAnsi="Arial"/>
                <w:sz w:val="16"/>
                <w:szCs w:val="16"/>
                <w:color w:val="auto"/>
              </w:rPr>
              <w:t>Vanitha Narayanan</w:t>
            </w:r>
          </w:p>
        </w:tc>
        <w:tc>
          <w:tcPr>
            <w:tcW w:w="7600" w:type="dxa"/>
            <w:vAlign w:val="bottom"/>
            <w:tcBorders>
              <w:bottom w:val="single" w:sz="8" w:color="auto"/>
              <w:right w:val="single" w:sz="8" w:color="auto"/>
            </w:tcBorders>
          </w:tcPr>
          <w:p>
            <w:pPr>
              <w:ind w:left="80"/>
              <w:spacing w:after="0" w:line="180" w:lineRule="exact"/>
              <w:rPr>
                <w:sz w:val="20"/>
                <w:szCs w:val="20"/>
                <w:color w:val="auto"/>
              </w:rPr>
            </w:pPr>
            <w:r>
              <w:rPr>
                <w:rFonts w:ascii="Arial" w:cs="Arial" w:eastAsia="Arial" w:hAnsi="Arial"/>
                <w:sz w:val="16"/>
                <w:szCs w:val="16"/>
                <w:color w:val="auto"/>
              </w:rPr>
              <w:t>Former Chairman and Managing Director, IBM India</w:t>
            </w:r>
          </w:p>
        </w:tc>
      </w:tr>
      <w:tr>
        <w:trPr>
          <w:trHeight w:val="180"/>
        </w:trPr>
        <w:tc>
          <w:tcPr>
            <w:tcW w:w="364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Arial" w:cs="Arial" w:eastAsia="Arial" w:hAnsi="Arial"/>
                <w:sz w:val="16"/>
                <w:szCs w:val="16"/>
                <w:color w:val="auto"/>
              </w:rPr>
              <w:t>Jeff W. Sheets</w:t>
            </w:r>
          </w:p>
        </w:tc>
        <w:tc>
          <w:tcPr>
            <w:tcW w:w="7600" w:type="dxa"/>
            <w:vAlign w:val="bottom"/>
            <w:tcBorders>
              <w:bottom w:val="single" w:sz="8" w:color="auto"/>
              <w:right w:val="single" w:sz="8" w:color="auto"/>
            </w:tcBorders>
          </w:tcPr>
          <w:p>
            <w:pPr>
              <w:ind w:left="80"/>
              <w:spacing w:after="0" w:line="180" w:lineRule="exact"/>
              <w:rPr>
                <w:sz w:val="20"/>
                <w:szCs w:val="20"/>
                <w:color w:val="auto"/>
              </w:rPr>
            </w:pPr>
            <w:r>
              <w:rPr>
                <w:rFonts w:ascii="Arial" w:cs="Arial" w:eastAsia="Arial" w:hAnsi="Arial"/>
                <w:sz w:val="16"/>
                <w:szCs w:val="16"/>
                <w:color w:val="auto"/>
              </w:rPr>
              <w:t>Former Chief Financial Officer, ConocoPhillips Company</w:t>
            </w:r>
          </w:p>
        </w:tc>
      </w:tr>
      <w:tr>
        <w:trPr>
          <w:trHeight w:val="180"/>
        </w:trPr>
        <w:tc>
          <w:tcPr>
            <w:tcW w:w="364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Arial" w:cs="Arial" w:eastAsia="Arial" w:hAnsi="Arial"/>
                <w:sz w:val="16"/>
                <w:szCs w:val="16"/>
                <w:color w:val="auto"/>
              </w:rPr>
              <w:t>Ulrich Spiesshofer</w:t>
            </w:r>
          </w:p>
        </w:tc>
        <w:tc>
          <w:tcPr>
            <w:tcW w:w="7600" w:type="dxa"/>
            <w:vAlign w:val="bottom"/>
            <w:tcBorders>
              <w:bottom w:val="single" w:sz="8" w:color="auto"/>
              <w:right w:val="single" w:sz="8" w:color="auto"/>
            </w:tcBorders>
          </w:tcPr>
          <w:p>
            <w:pPr>
              <w:ind w:left="80"/>
              <w:spacing w:after="0" w:line="180" w:lineRule="exact"/>
              <w:rPr>
                <w:sz w:val="20"/>
                <w:szCs w:val="20"/>
                <w:color w:val="auto"/>
              </w:rPr>
            </w:pPr>
            <w:r>
              <w:rPr>
                <w:rFonts w:ascii="Arial" w:cs="Arial" w:eastAsia="Arial" w:hAnsi="Arial"/>
                <w:sz w:val="16"/>
                <w:szCs w:val="16"/>
                <w:color w:val="auto"/>
              </w:rPr>
              <w:t>Senior Advisor, The Blackstone Group</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11. Executive Compensation.</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information set forth under the captions “Compensation Committee Report,” “Compensation Discussion and Analysis,” “Executive Compensation Tables,” “Pay vs. Performance Comparison,” and “Director Compensation” in SLB’s 2025 Proxy Statement is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12. Security Ownership of Certain Beneficial Owners and Management and Related Stockholder Matters.</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information under the captions “Stock Ownership Information—Security Ownership by Management and Our Board,” “Stock Ownership Information— Security Ownership by Certain Beneficial Owners,” and “Executive Compensation Tables—Equity Compensation Plan Information” in SLB’s 2025 Proxy Statement is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13. Certain Relationships and Related Transactions, and Director Independence.</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information under the captions “Corporate Governance—Director Independence” and “Corporate Governance—Certain Relationships and Related Person Transactions” in SLB’s 2025 Proxy Statement is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14. Principal Accounting Fees and Services.</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information under the caption “Ratification of Appointment of Independent Auditors for 2025” in SLB’s 2025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9"/>
        </w:trPr>
        <w:tc>
          <w:tcPr>
            <w:tcW w:w="7320" w:type="dxa"/>
            <w:vAlign w:val="bottom"/>
            <w:gridSpan w:val="9"/>
          </w:tcPr>
          <w:p>
            <w:pPr>
              <w:spacing w:after="0"/>
              <w:rPr>
                <w:sz w:val="20"/>
                <w:szCs w:val="20"/>
                <w:color w:val="auto"/>
              </w:rPr>
            </w:pPr>
            <w:r>
              <w:rPr>
                <w:rFonts w:ascii="Arial" w:cs="Arial" w:eastAsia="Arial" w:hAnsi="Arial"/>
                <w:sz w:val="16"/>
                <w:szCs w:val="16"/>
                <w:b w:val="1"/>
                <w:bCs w:val="1"/>
                <w:color w:val="auto"/>
              </w:rPr>
              <w:t>PART IV</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7320" w:type="dxa"/>
            <w:vAlign w:val="bottom"/>
            <w:gridSpan w:val="9"/>
          </w:tcPr>
          <w:p>
            <w:pPr>
              <w:spacing w:after="0"/>
              <w:rPr>
                <w:sz w:val="20"/>
                <w:szCs w:val="20"/>
                <w:color w:val="auto"/>
              </w:rPr>
            </w:pPr>
            <w:r>
              <w:rPr>
                <w:rFonts w:ascii="Arial" w:cs="Arial" w:eastAsia="Arial" w:hAnsi="Arial"/>
                <w:sz w:val="16"/>
                <w:szCs w:val="16"/>
                <w:b w:val="1"/>
                <w:bCs w:val="1"/>
                <w:color w:val="auto"/>
              </w:rPr>
              <w:t>Item 15. Exhibits and Financial Statement Schedules.</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auto"/>
            </w:tcBorders>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7320" w:type="dxa"/>
            <w:vAlign w:val="bottom"/>
            <w:gridSpan w:val="9"/>
          </w:tcPr>
          <w:p>
            <w:pPr>
              <w:spacing w:after="0"/>
              <w:rPr>
                <w:sz w:val="20"/>
                <w:szCs w:val="20"/>
                <w:color w:val="auto"/>
              </w:rPr>
            </w:pPr>
            <w:r>
              <w:rPr>
                <w:rFonts w:ascii="Arial" w:cs="Arial" w:eastAsia="Arial" w:hAnsi="Arial"/>
                <w:sz w:val="16"/>
                <w:szCs w:val="16"/>
                <w:color w:val="auto"/>
              </w:rPr>
              <w:t>(a)  The following documents are filed as part of this Report:</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7320" w:type="dxa"/>
            <w:vAlign w:val="bottom"/>
            <w:gridSpan w:val="9"/>
            <w:vMerge w:val="restart"/>
          </w:tcPr>
          <w:p>
            <w:pPr>
              <w:ind w:left="20"/>
              <w:spacing w:after="0"/>
              <w:rPr>
                <w:sz w:val="20"/>
                <w:szCs w:val="20"/>
                <w:color w:val="auto"/>
              </w:rPr>
            </w:pPr>
            <w:r>
              <w:rPr>
                <w:rFonts w:ascii="Arial" w:cs="Arial" w:eastAsia="Arial" w:hAnsi="Arial"/>
                <w:sz w:val="16"/>
                <w:szCs w:val="16"/>
                <w:color w:val="auto"/>
              </w:rPr>
              <w:t>(1)   Financial Statements</w:t>
            </w:r>
          </w:p>
        </w:tc>
        <w:tc>
          <w:tcPr>
            <w:tcW w:w="3780" w:type="dxa"/>
            <w:vAlign w:val="bottom"/>
          </w:tcPr>
          <w:p>
            <w:pPr>
              <w:jc w:val="center"/>
              <w:ind w:left="2980"/>
              <w:spacing w:after="0"/>
              <w:rPr>
                <w:sz w:val="20"/>
                <w:szCs w:val="20"/>
                <w:color w:val="auto"/>
              </w:rPr>
            </w:pPr>
            <w:r>
              <w:rPr>
                <w:rFonts w:ascii="Arial" w:cs="Arial" w:eastAsia="Arial" w:hAnsi="Arial"/>
                <w:sz w:val="16"/>
                <w:szCs w:val="16"/>
                <w:color w:val="auto"/>
                <w:w w:val="99"/>
              </w:rPr>
              <w:t>Page(s)</w:t>
            </w:r>
          </w:p>
        </w:tc>
        <w:tc>
          <w:tcPr>
            <w:tcW w:w="0" w:type="dxa"/>
            <w:vAlign w:val="bottom"/>
          </w:tcPr>
          <w:p>
            <w:pPr>
              <w:spacing w:after="0"/>
              <w:rPr>
                <w:sz w:val="1"/>
                <w:szCs w:val="1"/>
                <w:color w:val="auto"/>
              </w:rPr>
            </w:pPr>
          </w:p>
        </w:tc>
      </w:tr>
      <w:tr>
        <w:trPr>
          <w:trHeight w:val="162"/>
        </w:trPr>
        <w:tc>
          <w:tcPr>
            <w:tcW w:w="7320" w:type="dxa"/>
            <w:vAlign w:val="bottom"/>
            <w:gridSpan w:val="9"/>
            <w:vMerge w:val="continue"/>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6860" w:type="dxa"/>
            <w:vAlign w:val="bottom"/>
            <w:gridSpan w:val="8"/>
          </w:tcPr>
          <w:p>
            <w:pPr>
              <w:spacing w:after="0" w:line="174" w:lineRule="exact"/>
              <w:rPr>
                <w:sz w:val="20"/>
                <w:szCs w:val="20"/>
                <w:color w:val="auto"/>
              </w:rPr>
            </w:pPr>
            <w:r>
              <w:rPr>
                <w:rFonts w:ascii="Arial" w:cs="Arial" w:eastAsia="Arial" w:hAnsi="Arial"/>
                <w:sz w:val="16"/>
                <w:szCs w:val="16"/>
                <w:color w:val="0000FF"/>
              </w:rPr>
              <w:t>Consolidated Statement of Income for the three years ended December 31, 2024</w:t>
            </w:r>
          </w:p>
        </w:tc>
        <w:tc>
          <w:tcPr>
            <w:tcW w:w="3780" w:type="dxa"/>
            <w:vAlign w:val="bottom"/>
          </w:tcPr>
          <w:p>
            <w:pPr>
              <w:jc w:val="center"/>
              <w:ind w:left="3000"/>
              <w:spacing w:after="0" w:line="174"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80" w:type="dxa"/>
            <w:vAlign w:val="bottom"/>
            <w:vMerge w:val="restart"/>
          </w:tcPr>
          <w:p>
            <w:pPr>
              <w:jc w:val="center"/>
              <w:ind w:left="3000"/>
              <w:spacing w:after="0"/>
              <w:rPr>
                <w:sz w:val="20"/>
                <w:szCs w:val="20"/>
                <w:color w:val="auto"/>
              </w:rPr>
            </w:pPr>
            <w:r>
              <w:rPr>
                <w:rFonts w:ascii="Arial" w:cs="Arial" w:eastAsia="Arial" w:hAnsi="Arial"/>
                <w:sz w:val="16"/>
                <w:szCs w:val="16"/>
                <w:color w:val="auto"/>
              </w:rPr>
              <w:t>30</w:t>
            </w:r>
          </w:p>
        </w:tc>
        <w:tc>
          <w:tcPr>
            <w:tcW w:w="0" w:type="dxa"/>
            <w:vAlign w:val="bottom"/>
          </w:tcPr>
          <w:p>
            <w:pPr>
              <w:spacing w:after="0" w:line="20" w:lineRule="exact"/>
              <w:rPr>
                <w:sz w:val="1"/>
                <w:szCs w:val="1"/>
                <w:color w:val="auto"/>
              </w:rPr>
            </w:pPr>
          </w:p>
        </w:tc>
      </w:tr>
      <w:tr>
        <w:trPr>
          <w:trHeight w:val="166"/>
        </w:trPr>
        <w:tc>
          <w:tcPr>
            <w:tcW w:w="460" w:type="dxa"/>
            <w:vAlign w:val="bottom"/>
          </w:tcPr>
          <w:p>
            <w:pPr>
              <w:spacing w:after="0"/>
              <w:rPr>
                <w:sz w:val="14"/>
                <w:szCs w:val="14"/>
                <w:color w:val="auto"/>
              </w:rPr>
            </w:pPr>
          </w:p>
        </w:tc>
        <w:tc>
          <w:tcPr>
            <w:tcW w:w="6860" w:type="dxa"/>
            <w:vAlign w:val="bottom"/>
            <w:gridSpan w:val="8"/>
          </w:tcPr>
          <w:p>
            <w:pPr>
              <w:spacing w:after="0" w:line="167" w:lineRule="exact"/>
              <w:rPr>
                <w:sz w:val="20"/>
                <w:szCs w:val="20"/>
                <w:color w:val="auto"/>
              </w:rPr>
            </w:pPr>
            <w:r>
              <w:rPr>
                <w:rFonts w:ascii="Arial" w:cs="Arial" w:eastAsia="Arial" w:hAnsi="Arial"/>
                <w:sz w:val="16"/>
                <w:szCs w:val="16"/>
                <w:color w:val="0000FF"/>
                <w:w w:val="99"/>
              </w:rPr>
              <w:t>Consolidated Statement of Comprehensive Income for the three years ended December 31, 2024</w:t>
            </w:r>
          </w:p>
        </w:tc>
        <w:tc>
          <w:tcPr>
            <w:tcW w:w="3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780" w:type="dxa"/>
            <w:vAlign w:val="bottom"/>
            <w:vMerge w:val="restart"/>
          </w:tcPr>
          <w:p>
            <w:pPr>
              <w:jc w:val="center"/>
              <w:ind w:left="3000"/>
              <w:spacing w:after="0"/>
              <w:rPr>
                <w:sz w:val="20"/>
                <w:szCs w:val="20"/>
                <w:color w:val="auto"/>
              </w:rPr>
            </w:pPr>
            <w:r>
              <w:rPr>
                <w:rFonts w:ascii="Arial" w:cs="Arial" w:eastAsia="Arial" w:hAnsi="Arial"/>
                <w:sz w:val="16"/>
                <w:szCs w:val="16"/>
                <w:color w:val="auto"/>
              </w:rPr>
              <w:t>31</w:t>
            </w:r>
          </w:p>
        </w:tc>
        <w:tc>
          <w:tcPr>
            <w:tcW w:w="0" w:type="dxa"/>
            <w:vAlign w:val="bottom"/>
          </w:tcPr>
          <w:p>
            <w:pPr>
              <w:spacing w:after="0" w:line="20" w:lineRule="exact"/>
              <w:rPr>
                <w:sz w:val="1"/>
                <w:szCs w:val="1"/>
                <w:color w:val="auto"/>
              </w:rPr>
            </w:pPr>
          </w:p>
        </w:tc>
      </w:tr>
      <w:tr>
        <w:trPr>
          <w:trHeight w:val="166"/>
        </w:trPr>
        <w:tc>
          <w:tcPr>
            <w:tcW w:w="460" w:type="dxa"/>
            <w:vAlign w:val="bottom"/>
          </w:tcPr>
          <w:p>
            <w:pPr>
              <w:spacing w:after="0"/>
              <w:rPr>
                <w:sz w:val="14"/>
                <w:szCs w:val="14"/>
                <w:color w:val="auto"/>
              </w:rPr>
            </w:pPr>
          </w:p>
        </w:tc>
        <w:tc>
          <w:tcPr>
            <w:tcW w:w="6860" w:type="dxa"/>
            <w:vAlign w:val="bottom"/>
            <w:gridSpan w:val="8"/>
          </w:tcPr>
          <w:p>
            <w:pPr>
              <w:spacing w:after="0" w:line="167" w:lineRule="exact"/>
              <w:rPr>
                <w:sz w:val="20"/>
                <w:szCs w:val="20"/>
                <w:color w:val="auto"/>
              </w:rPr>
            </w:pPr>
            <w:r>
              <w:rPr>
                <w:rFonts w:ascii="Arial" w:cs="Arial" w:eastAsia="Arial" w:hAnsi="Arial"/>
                <w:sz w:val="16"/>
                <w:szCs w:val="16"/>
                <w:color w:val="0000FF"/>
              </w:rPr>
              <w:t>Consolidated Balance Sheet at December 31, 2024 and 2023</w:t>
            </w:r>
          </w:p>
        </w:tc>
        <w:tc>
          <w:tcPr>
            <w:tcW w:w="3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80" w:type="dxa"/>
            <w:vAlign w:val="bottom"/>
            <w:vMerge w:val="restart"/>
          </w:tcPr>
          <w:p>
            <w:pPr>
              <w:jc w:val="center"/>
              <w:ind w:left="3000"/>
              <w:spacing w:after="0"/>
              <w:rPr>
                <w:sz w:val="20"/>
                <w:szCs w:val="20"/>
                <w:color w:val="auto"/>
              </w:rPr>
            </w:pPr>
            <w:r>
              <w:rPr>
                <w:rFonts w:ascii="Arial" w:cs="Arial" w:eastAsia="Arial" w:hAnsi="Arial"/>
                <w:sz w:val="16"/>
                <w:szCs w:val="16"/>
                <w:color w:val="auto"/>
              </w:rPr>
              <w:t>32</w:t>
            </w:r>
          </w:p>
        </w:tc>
        <w:tc>
          <w:tcPr>
            <w:tcW w:w="0" w:type="dxa"/>
            <w:vAlign w:val="bottom"/>
          </w:tcPr>
          <w:p>
            <w:pPr>
              <w:spacing w:after="0" w:line="20" w:lineRule="exact"/>
              <w:rPr>
                <w:sz w:val="1"/>
                <w:szCs w:val="1"/>
                <w:color w:val="auto"/>
              </w:rPr>
            </w:pPr>
          </w:p>
        </w:tc>
      </w:tr>
      <w:tr>
        <w:trPr>
          <w:trHeight w:val="166"/>
        </w:trPr>
        <w:tc>
          <w:tcPr>
            <w:tcW w:w="460" w:type="dxa"/>
            <w:vAlign w:val="bottom"/>
          </w:tcPr>
          <w:p>
            <w:pPr>
              <w:spacing w:after="0"/>
              <w:rPr>
                <w:sz w:val="14"/>
                <w:szCs w:val="14"/>
                <w:color w:val="auto"/>
              </w:rPr>
            </w:pPr>
          </w:p>
        </w:tc>
        <w:tc>
          <w:tcPr>
            <w:tcW w:w="6860" w:type="dxa"/>
            <w:vAlign w:val="bottom"/>
            <w:gridSpan w:val="8"/>
          </w:tcPr>
          <w:p>
            <w:pPr>
              <w:spacing w:after="0" w:line="167" w:lineRule="exact"/>
              <w:rPr>
                <w:sz w:val="20"/>
                <w:szCs w:val="20"/>
                <w:color w:val="auto"/>
              </w:rPr>
            </w:pPr>
            <w:r>
              <w:rPr>
                <w:rFonts w:ascii="Arial" w:cs="Arial" w:eastAsia="Arial" w:hAnsi="Arial"/>
                <w:sz w:val="16"/>
                <w:szCs w:val="16"/>
                <w:color w:val="0000FF"/>
              </w:rPr>
              <w:t>Consolidated Statement of Cash Flows for the three years ended December 31, 2024</w:t>
            </w:r>
          </w:p>
        </w:tc>
        <w:tc>
          <w:tcPr>
            <w:tcW w:w="3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0000FF"/>
                <w:w w:val="93"/>
              </w:rPr>
              <w:t>31, 2024</w:t>
            </w:r>
          </w:p>
        </w:tc>
        <w:tc>
          <w:tcPr>
            <w:tcW w:w="240" w:type="dxa"/>
            <w:vAlign w:val="bottom"/>
            <w:vMerge w:val="restart"/>
          </w:tcPr>
          <w:p>
            <w:pPr>
              <w:spacing w:after="0" w:line="20" w:lineRule="exact"/>
              <w:rPr>
                <w:sz w:val="1"/>
                <w:szCs w:val="1"/>
                <w:color w:val="auto"/>
              </w:rPr>
            </w:pPr>
          </w:p>
        </w:tc>
        <w:tc>
          <w:tcPr>
            <w:tcW w:w="3780" w:type="dxa"/>
            <w:vAlign w:val="bottom"/>
            <w:vMerge w:val="restart"/>
          </w:tcPr>
          <w:p>
            <w:pPr>
              <w:jc w:val="center"/>
              <w:ind w:left="2980"/>
              <w:spacing w:after="0"/>
              <w:rPr>
                <w:sz w:val="20"/>
                <w:szCs w:val="20"/>
                <w:color w:val="auto"/>
              </w:rPr>
            </w:pPr>
            <w:r>
              <w:rPr>
                <w:rFonts w:ascii="Arial" w:cs="Arial" w:eastAsia="Arial" w:hAnsi="Arial"/>
                <w:sz w:val="16"/>
                <w:szCs w:val="16"/>
                <w:color w:val="auto"/>
              </w:rPr>
              <w:t>33 and 34</w:t>
            </w:r>
          </w:p>
        </w:tc>
        <w:tc>
          <w:tcPr>
            <w:tcW w:w="0" w:type="dxa"/>
            <w:vAlign w:val="bottom"/>
          </w:tcPr>
          <w:p>
            <w:pPr>
              <w:spacing w:after="0" w:line="20" w:lineRule="exact"/>
              <w:rPr>
                <w:sz w:val="1"/>
                <w:szCs w:val="1"/>
                <w:color w:val="auto"/>
              </w:rPr>
            </w:pPr>
          </w:p>
        </w:tc>
      </w:tr>
      <w:tr>
        <w:trPr>
          <w:trHeight w:val="166"/>
        </w:trPr>
        <w:tc>
          <w:tcPr>
            <w:tcW w:w="460" w:type="dxa"/>
            <w:vAlign w:val="bottom"/>
          </w:tcPr>
          <w:p>
            <w:pPr>
              <w:spacing w:after="0"/>
              <w:rPr>
                <w:sz w:val="14"/>
                <w:szCs w:val="14"/>
                <w:color w:val="auto"/>
              </w:rPr>
            </w:pPr>
          </w:p>
        </w:tc>
        <w:tc>
          <w:tcPr>
            <w:tcW w:w="6020" w:type="dxa"/>
            <w:vAlign w:val="bottom"/>
            <w:gridSpan w:val="6"/>
          </w:tcPr>
          <w:p>
            <w:pPr>
              <w:spacing w:after="0" w:line="167" w:lineRule="exact"/>
              <w:rPr>
                <w:sz w:val="20"/>
                <w:szCs w:val="20"/>
                <w:color w:val="auto"/>
              </w:rPr>
            </w:pPr>
            <w:r>
              <w:rPr>
                <w:rFonts w:ascii="Arial" w:cs="Arial" w:eastAsia="Arial" w:hAnsi="Arial"/>
                <w:sz w:val="16"/>
                <w:szCs w:val="16"/>
                <w:color w:val="0000FF"/>
              </w:rPr>
              <w:t>Consolidated Statement of Stockholders’ Equity for the three years ended December</w:t>
            </w:r>
          </w:p>
        </w:tc>
        <w:tc>
          <w:tcPr>
            <w:tcW w:w="6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3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780" w:type="dxa"/>
            <w:vAlign w:val="bottom"/>
            <w:vMerge w:val="restart"/>
          </w:tcPr>
          <w:p>
            <w:pPr>
              <w:jc w:val="center"/>
              <w:ind w:left="3000"/>
              <w:spacing w:after="0"/>
              <w:rPr>
                <w:sz w:val="20"/>
                <w:szCs w:val="20"/>
                <w:color w:val="auto"/>
              </w:rPr>
            </w:pPr>
            <w:r>
              <w:rPr>
                <w:rFonts w:ascii="Arial" w:cs="Arial" w:eastAsia="Arial" w:hAnsi="Arial"/>
                <w:sz w:val="16"/>
                <w:szCs w:val="16"/>
                <w:color w:val="auto"/>
              </w:rPr>
              <w:t>35 to 58</w:t>
            </w:r>
          </w:p>
        </w:tc>
        <w:tc>
          <w:tcPr>
            <w:tcW w:w="0" w:type="dxa"/>
            <w:vAlign w:val="bottom"/>
          </w:tcPr>
          <w:p>
            <w:pPr>
              <w:spacing w:after="0" w:line="20" w:lineRule="exact"/>
              <w:rPr>
                <w:sz w:val="1"/>
                <w:szCs w:val="1"/>
                <w:color w:val="auto"/>
              </w:rPr>
            </w:pPr>
          </w:p>
        </w:tc>
      </w:tr>
      <w:tr>
        <w:trPr>
          <w:trHeight w:val="166"/>
        </w:trPr>
        <w:tc>
          <w:tcPr>
            <w:tcW w:w="460" w:type="dxa"/>
            <w:vAlign w:val="bottom"/>
          </w:tcPr>
          <w:p>
            <w:pPr>
              <w:spacing w:after="0"/>
              <w:rPr>
                <w:sz w:val="14"/>
                <w:szCs w:val="14"/>
                <w:color w:val="auto"/>
              </w:rPr>
            </w:pPr>
          </w:p>
        </w:tc>
        <w:tc>
          <w:tcPr>
            <w:tcW w:w="6620" w:type="dxa"/>
            <w:vAlign w:val="bottom"/>
            <w:gridSpan w:val="7"/>
          </w:tcPr>
          <w:p>
            <w:pPr>
              <w:spacing w:after="0" w:line="167" w:lineRule="exact"/>
              <w:rPr>
                <w:sz w:val="20"/>
                <w:szCs w:val="20"/>
                <w:color w:val="auto"/>
              </w:rPr>
            </w:pPr>
            <w:r>
              <w:rPr>
                <w:rFonts w:ascii="Arial" w:cs="Arial" w:eastAsia="Arial" w:hAnsi="Arial"/>
                <w:sz w:val="16"/>
                <w:szCs w:val="16"/>
                <w:color w:val="0000FF"/>
              </w:rPr>
              <w:t>Notes to Consolidated Financial Statements</w:t>
            </w:r>
          </w:p>
        </w:tc>
        <w:tc>
          <w:tcPr>
            <w:tcW w:w="240" w:type="dxa"/>
            <w:vAlign w:val="bottom"/>
            <w:vMerge w:val="continue"/>
          </w:tcPr>
          <w:p>
            <w:pPr>
              <w:spacing w:after="0"/>
              <w:rPr>
                <w:sz w:val="14"/>
                <w:szCs w:val="14"/>
                <w:color w:val="auto"/>
              </w:rPr>
            </w:pPr>
          </w:p>
        </w:tc>
        <w:tc>
          <w:tcPr>
            <w:tcW w:w="3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3780" w:type="dxa"/>
            <w:vAlign w:val="bottom"/>
            <w:gridSpan w:val="7"/>
            <w:vMerge w:val="restart"/>
          </w:tcPr>
          <w:p>
            <w:pPr>
              <w:spacing w:after="0"/>
              <w:rPr>
                <w:sz w:val="20"/>
                <w:szCs w:val="20"/>
                <w:color w:val="auto"/>
              </w:rPr>
            </w:pPr>
            <w:r>
              <w:rPr>
                <w:rFonts w:ascii="Arial" w:cs="Arial" w:eastAsia="Arial" w:hAnsi="Arial"/>
                <w:sz w:val="16"/>
                <w:szCs w:val="16"/>
                <w:color w:val="0000FF"/>
              </w:rPr>
              <w:t xml:space="preserve">Accounting Firm </w:t>
            </w:r>
            <w:r>
              <w:rPr>
                <w:rFonts w:ascii="Arial" w:cs="Arial" w:eastAsia="Arial" w:hAnsi="Arial"/>
                <w:sz w:val="16"/>
                <w:szCs w:val="16"/>
                <w:color w:val="000000"/>
              </w:rPr>
              <w:t>(PCAOB ID 238)</w:t>
            </w:r>
          </w:p>
        </w:tc>
        <w:tc>
          <w:tcPr>
            <w:tcW w:w="3780" w:type="dxa"/>
            <w:vAlign w:val="bottom"/>
            <w:vMerge w:val="restart"/>
          </w:tcPr>
          <w:p>
            <w:pPr>
              <w:jc w:val="center"/>
              <w:ind w:left="3000"/>
              <w:spacing w:after="0"/>
              <w:rPr>
                <w:sz w:val="20"/>
                <w:szCs w:val="20"/>
                <w:color w:val="auto"/>
              </w:rPr>
            </w:pPr>
            <w:r>
              <w:rPr>
                <w:rFonts w:ascii="Arial" w:cs="Arial" w:eastAsia="Arial" w:hAnsi="Arial"/>
                <w:sz w:val="16"/>
                <w:szCs w:val="16"/>
                <w:color w:val="auto"/>
              </w:rPr>
              <w:t>60</w:t>
            </w:r>
          </w:p>
        </w:tc>
        <w:tc>
          <w:tcPr>
            <w:tcW w:w="0" w:type="dxa"/>
            <w:vAlign w:val="bottom"/>
          </w:tcPr>
          <w:p>
            <w:pPr>
              <w:spacing w:after="0" w:line="20" w:lineRule="exact"/>
              <w:rPr>
                <w:sz w:val="1"/>
                <w:szCs w:val="1"/>
                <w:color w:val="auto"/>
              </w:rPr>
            </w:pPr>
          </w:p>
        </w:tc>
      </w:tr>
      <w:tr>
        <w:trPr>
          <w:trHeight w:val="166"/>
        </w:trPr>
        <w:tc>
          <w:tcPr>
            <w:tcW w:w="460" w:type="dxa"/>
            <w:vAlign w:val="bottom"/>
          </w:tcPr>
          <w:p>
            <w:pPr>
              <w:spacing w:after="0"/>
              <w:rPr>
                <w:sz w:val="14"/>
                <w:szCs w:val="14"/>
                <w:color w:val="auto"/>
              </w:rPr>
            </w:pPr>
          </w:p>
        </w:tc>
        <w:tc>
          <w:tcPr>
            <w:tcW w:w="3080" w:type="dxa"/>
            <w:vAlign w:val="bottom"/>
          </w:tcPr>
          <w:p>
            <w:pPr>
              <w:spacing w:after="0" w:line="167" w:lineRule="exact"/>
              <w:rPr>
                <w:sz w:val="20"/>
                <w:szCs w:val="20"/>
                <w:color w:val="auto"/>
              </w:rPr>
            </w:pPr>
            <w:r>
              <w:rPr>
                <w:rFonts w:ascii="Arial" w:cs="Arial" w:eastAsia="Arial" w:hAnsi="Arial"/>
                <w:sz w:val="16"/>
                <w:szCs w:val="16"/>
                <w:color w:val="0000FF"/>
              </w:rPr>
              <w:t>Report of Independent Registered Public</w:t>
            </w:r>
          </w:p>
        </w:tc>
        <w:tc>
          <w:tcPr>
            <w:tcW w:w="3780" w:type="dxa"/>
            <w:vAlign w:val="bottom"/>
            <w:gridSpan w:val="7"/>
            <w:vMerge w:val="continue"/>
          </w:tcPr>
          <w:p>
            <w:pPr>
              <w:spacing w:after="0"/>
              <w:rPr>
                <w:sz w:val="14"/>
                <w:szCs w:val="14"/>
                <w:color w:val="auto"/>
              </w:rPr>
            </w:pPr>
          </w:p>
        </w:tc>
        <w:tc>
          <w:tcPr>
            <w:tcW w:w="3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Financial statements of companies accounted for under the equity method and unconsolidated subsidiaries have been omitted because they do not meet the materiality tests for assets or income.</w:t>
      </w:r>
    </w:p>
    <w:p>
      <w:pPr>
        <w:spacing w:after="0" w:line="134" w:lineRule="exact"/>
        <w:rPr>
          <w:sz w:val="20"/>
          <w:szCs w:val="20"/>
          <w:color w:val="auto"/>
        </w:rPr>
      </w:pPr>
    </w:p>
    <w:p>
      <w:pPr>
        <w:ind w:left="440" w:hanging="420"/>
        <w:spacing w:after="0"/>
        <w:tabs>
          <w:tab w:leader="none" w:pos="4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Financial Statement Schedules not required.</w:t>
      </w:r>
    </w:p>
    <w:p>
      <w:pPr>
        <w:spacing w:after="0" w:line="18" w:lineRule="exact"/>
        <w:rPr>
          <w:rFonts w:ascii="Arial" w:cs="Arial" w:eastAsia="Arial" w:hAnsi="Arial"/>
          <w:sz w:val="16"/>
          <w:szCs w:val="16"/>
          <w:color w:val="auto"/>
        </w:rPr>
      </w:pPr>
    </w:p>
    <w:p>
      <w:pPr>
        <w:ind w:left="440" w:hanging="420"/>
        <w:spacing w:after="0"/>
        <w:tabs>
          <w:tab w:leader="none" w:pos="4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Exhibits: See exhibits listed under Part (b) below.</w:t>
      </w:r>
    </w:p>
    <w:p>
      <w:pPr>
        <w:spacing w:after="0" w:line="199" w:lineRule="exact"/>
        <w:rPr>
          <w:rFonts w:ascii="Arial" w:cs="Arial" w:eastAsia="Arial" w:hAnsi="Arial"/>
          <w:sz w:val="16"/>
          <w:szCs w:val="16"/>
          <w:color w:val="auto"/>
        </w:rPr>
      </w:pPr>
    </w:p>
    <w:p>
      <w:pPr>
        <w:ind w:left="360" w:hanging="354"/>
        <w:spacing w:after="0"/>
        <w:tabs>
          <w:tab w:leader="none" w:pos="3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140" w:type="dxa"/>
            <w:vAlign w:val="bottom"/>
            <w:gridSpan w:val="20"/>
          </w:tcPr>
          <w:p>
            <w:pPr>
              <w:spacing w:after="0"/>
              <w:rPr>
                <w:sz w:val="20"/>
                <w:szCs w:val="20"/>
                <w:color w:val="auto"/>
              </w:rPr>
            </w:pPr>
            <w:r>
              <w:rPr>
                <w:rFonts w:ascii="Arial" w:cs="Arial" w:eastAsia="Arial" w:hAnsi="Arial"/>
                <w:sz w:val="16"/>
                <w:szCs w:val="16"/>
                <w:b w:val="1"/>
                <w:bCs w:val="1"/>
                <w:color w:val="auto"/>
              </w:rPr>
              <w:t>INDEX TO EXHIBITS</w:t>
            </w:r>
          </w:p>
        </w:tc>
        <w:tc>
          <w:tcPr>
            <w:tcW w:w="1100" w:type="dxa"/>
            <w:vAlign w:val="bottom"/>
          </w:tcPr>
          <w:p>
            <w:pPr>
              <w:spacing w:after="0"/>
              <w:rPr>
                <w:sz w:val="19"/>
                <w:szCs w:val="19"/>
                <w:color w:val="auto"/>
              </w:rPr>
            </w:pPr>
          </w:p>
        </w:tc>
      </w:tr>
      <w:tr>
        <w:trPr>
          <w:trHeight w:val="399"/>
        </w:trPr>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right"/>
              <w:ind w:right="280"/>
              <w:spacing w:after="0"/>
              <w:rPr>
                <w:sz w:val="20"/>
                <w:szCs w:val="20"/>
                <w:color w:val="auto"/>
              </w:rPr>
            </w:pPr>
            <w:r>
              <w:rPr>
                <w:rFonts w:ascii="Arial" w:cs="Arial" w:eastAsia="Arial" w:hAnsi="Arial"/>
                <w:sz w:val="16"/>
                <w:szCs w:val="16"/>
                <w:b w:val="1"/>
                <w:bCs w:val="1"/>
                <w:color w:val="auto"/>
              </w:rPr>
              <w:t>Exhibit</w:t>
            </w:r>
          </w:p>
        </w:tc>
      </w:tr>
      <w:tr>
        <w:trPr>
          <w:trHeight w:val="328"/>
        </w:trPr>
        <w:tc>
          <w:tcPr>
            <w:tcW w:w="80" w:type="dxa"/>
            <w:vAlign w:val="bottom"/>
          </w:tcPr>
          <w:p>
            <w:pPr>
              <w:spacing w:after="0"/>
              <w:rPr>
                <w:sz w:val="24"/>
                <w:szCs w:val="24"/>
                <w:color w:val="auto"/>
              </w:rPr>
            </w:pPr>
          </w:p>
        </w:tc>
        <w:tc>
          <w:tcPr>
            <w:tcW w:w="10060" w:type="dxa"/>
            <w:vAlign w:val="bottom"/>
            <w:gridSpan w:val="19"/>
          </w:tcPr>
          <w:p>
            <w:pPr>
              <w:spacing w:after="0"/>
              <w:rPr>
                <w:rFonts w:ascii="Arial" w:cs="Arial" w:eastAsia="Arial" w:hAnsi="Arial"/>
                <w:sz w:val="16"/>
                <w:szCs w:val="16"/>
                <w:color w:val="auto"/>
              </w:rPr>
            </w:pPr>
            <w:hyperlink r:id="rId505">
              <w:r>
                <w:rPr>
                  <w:rFonts w:ascii="Arial" w:cs="Arial" w:eastAsia="Arial" w:hAnsi="Arial"/>
                  <w:sz w:val="16"/>
                  <w:szCs w:val="16"/>
                  <w:color w:val="auto"/>
                </w:rPr>
                <w:t>Agreement and Plan of Merger among Schlumberger Limited, Sodium Holdco, Inc., Sodium Merger Sub, Inc., and ChampionX Corporation,</w:t>
              </w:r>
            </w:hyperlink>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66"/>
        </w:trPr>
        <w:tc>
          <w:tcPr>
            <w:tcW w:w="80" w:type="dxa"/>
            <w:vAlign w:val="bottom"/>
          </w:tcPr>
          <w:p>
            <w:pPr>
              <w:spacing w:after="0"/>
              <w:rPr>
                <w:sz w:val="14"/>
                <w:szCs w:val="14"/>
                <w:color w:val="auto"/>
              </w:rPr>
            </w:pPr>
          </w:p>
        </w:tc>
        <w:tc>
          <w:tcPr>
            <w:tcW w:w="9980" w:type="dxa"/>
            <w:vAlign w:val="bottom"/>
            <w:tcBorders>
              <w:top w:val="single" w:sz="8" w:color="0000EE"/>
            </w:tcBorders>
            <w:gridSpan w:val="18"/>
          </w:tcPr>
          <w:p>
            <w:pPr>
              <w:spacing w:after="0" w:line="167" w:lineRule="exact"/>
              <w:rPr>
                <w:rFonts w:ascii="Arial" w:cs="Arial" w:eastAsia="Arial" w:hAnsi="Arial"/>
                <w:sz w:val="16"/>
                <w:szCs w:val="16"/>
                <w:color w:val="auto"/>
              </w:rPr>
            </w:pPr>
            <w:hyperlink r:id="rId505">
              <w:r>
                <w:rPr>
                  <w:rFonts w:ascii="Arial" w:cs="Arial" w:eastAsia="Arial" w:hAnsi="Arial"/>
                  <w:sz w:val="16"/>
                  <w:szCs w:val="16"/>
                  <w:color w:val="auto"/>
                </w:rPr>
                <w:t>dated April 2, 2024 (incorporated by reference to Exhibit 2 to SLB’s Current Report on Form 8-K/A filed on April 2, 2024) (***)</w:t>
              </w:r>
            </w:hyperlink>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
        </w:trPr>
        <w:tc>
          <w:tcPr>
            <w:tcW w:w="8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53"/>
        </w:trPr>
        <w:tc>
          <w:tcPr>
            <w:tcW w:w="80" w:type="dxa"/>
            <w:vAlign w:val="bottom"/>
          </w:tcPr>
          <w:p>
            <w:pPr>
              <w:spacing w:after="0"/>
              <w:rPr>
                <w:sz w:val="24"/>
                <w:szCs w:val="24"/>
                <w:color w:val="auto"/>
              </w:rPr>
            </w:pPr>
          </w:p>
        </w:tc>
        <w:tc>
          <w:tcPr>
            <w:tcW w:w="10060" w:type="dxa"/>
            <w:vAlign w:val="bottom"/>
            <w:gridSpan w:val="19"/>
          </w:tcPr>
          <w:p>
            <w:pPr>
              <w:spacing w:after="0"/>
              <w:rPr>
                <w:rFonts w:ascii="Arial" w:cs="Arial" w:eastAsia="Arial" w:hAnsi="Arial"/>
                <w:sz w:val="16"/>
                <w:szCs w:val="16"/>
                <w:color w:val="auto"/>
              </w:rPr>
            </w:pPr>
            <w:hyperlink r:id="rId506">
              <w:r>
                <w:rPr>
                  <w:rFonts w:ascii="Arial" w:cs="Arial" w:eastAsia="Arial" w:hAnsi="Arial"/>
                  <w:sz w:val="16"/>
                  <w:szCs w:val="16"/>
                  <w:color w:val="auto"/>
                </w:rPr>
                <w:t>Articles of Incorporation of Schlumberger Limited (Schlumberger N.V.) (incorporated by reference to Exhibit 3.1 to SLB’s Current Report on</w:t>
              </w:r>
            </w:hyperlink>
          </w:p>
        </w:tc>
        <w:tc>
          <w:tcPr>
            <w:tcW w:w="11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166"/>
        </w:trPr>
        <w:tc>
          <w:tcPr>
            <w:tcW w:w="80" w:type="dxa"/>
            <w:vAlign w:val="bottom"/>
          </w:tcPr>
          <w:p>
            <w:pPr>
              <w:spacing w:after="0"/>
              <w:rPr>
                <w:sz w:val="14"/>
                <w:szCs w:val="14"/>
                <w:color w:val="auto"/>
              </w:rPr>
            </w:pPr>
          </w:p>
        </w:tc>
        <w:tc>
          <w:tcPr>
            <w:tcW w:w="2220" w:type="dxa"/>
            <w:vAlign w:val="bottom"/>
            <w:tcBorders>
              <w:top w:val="single" w:sz="8" w:color="0000EE"/>
              <w:bottom w:val="single" w:sz="8" w:color="0000EE"/>
            </w:tcBorders>
            <w:gridSpan w:val="2"/>
          </w:tcPr>
          <w:p>
            <w:pPr>
              <w:spacing w:after="0" w:line="167" w:lineRule="exact"/>
              <w:rPr>
                <w:rFonts w:ascii="Arial" w:cs="Arial" w:eastAsia="Arial" w:hAnsi="Arial"/>
                <w:sz w:val="16"/>
                <w:szCs w:val="16"/>
                <w:color w:val="auto"/>
                <w:w w:val="98"/>
              </w:rPr>
            </w:pPr>
            <w:hyperlink r:id="rId506">
              <w:r>
                <w:rPr>
                  <w:rFonts w:ascii="Arial" w:cs="Arial" w:eastAsia="Arial" w:hAnsi="Arial"/>
                  <w:sz w:val="16"/>
                  <w:szCs w:val="16"/>
                  <w:color w:val="auto"/>
                  <w:w w:val="98"/>
                </w:rPr>
                <w:t>Form 8-K filed on April 6, 2016)</w:t>
              </w:r>
            </w:hyperlink>
          </w:p>
        </w:tc>
        <w:tc>
          <w:tcPr>
            <w:tcW w:w="7660" w:type="dxa"/>
            <w:vAlign w:val="bottom"/>
            <w:tcBorders>
              <w:top w:val="single" w:sz="8" w:color="0000EE"/>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100" w:type="dxa"/>
            <w:vAlign w:val="bottom"/>
          </w:tcPr>
          <w:p>
            <w:pPr>
              <w:spacing w:after="0"/>
              <w:rPr>
                <w:sz w:val="14"/>
                <w:szCs w:val="14"/>
                <w:color w:val="auto"/>
              </w:rPr>
            </w:pPr>
          </w:p>
        </w:tc>
      </w:tr>
      <w:tr>
        <w:trPr>
          <w:trHeight w:val="353"/>
        </w:trPr>
        <w:tc>
          <w:tcPr>
            <w:tcW w:w="80" w:type="dxa"/>
            <w:vAlign w:val="bottom"/>
          </w:tcPr>
          <w:p>
            <w:pPr>
              <w:spacing w:after="0"/>
              <w:rPr>
                <w:sz w:val="24"/>
                <w:szCs w:val="24"/>
                <w:color w:val="auto"/>
              </w:rPr>
            </w:pPr>
          </w:p>
        </w:tc>
        <w:tc>
          <w:tcPr>
            <w:tcW w:w="10060" w:type="dxa"/>
            <w:vAlign w:val="bottom"/>
            <w:gridSpan w:val="19"/>
          </w:tcPr>
          <w:p>
            <w:pPr>
              <w:spacing w:after="0"/>
              <w:rPr>
                <w:rFonts w:ascii="Arial" w:cs="Arial" w:eastAsia="Arial" w:hAnsi="Arial"/>
                <w:sz w:val="16"/>
                <w:szCs w:val="16"/>
                <w:color w:val="auto"/>
              </w:rPr>
            </w:pPr>
            <w:hyperlink r:id="rId507">
              <w:r>
                <w:rPr>
                  <w:rFonts w:ascii="Arial" w:cs="Arial" w:eastAsia="Arial" w:hAnsi="Arial"/>
                  <w:sz w:val="16"/>
                  <w:szCs w:val="16"/>
                  <w:color w:val="auto"/>
                </w:rPr>
                <w:t>Amended and Restated By-Laws of Schlumberger Limited (Schlumberger N.V.) (incorporated by reference to Exhibit 3 to SLB’s Current</w:t>
              </w:r>
            </w:hyperlink>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166"/>
        </w:trPr>
        <w:tc>
          <w:tcPr>
            <w:tcW w:w="80" w:type="dxa"/>
            <w:vAlign w:val="bottom"/>
          </w:tcPr>
          <w:p>
            <w:pPr>
              <w:spacing w:after="0"/>
              <w:rPr>
                <w:sz w:val="14"/>
                <w:szCs w:val="14"/>
                <w:color w:val="auto"/>
              </w:rPr>
            </w:pPr>
          </w:p>
        </w:tc>
        <w:tc>
          <w:tcPr>
            <w:tcW w:w="3060" w:type="dxa"/>
            <w:vAlign w:val="bottom"/>
            <w:tcBorders>
              <w:top w:val="single" w:sz="8" w:color="0000EE"/>
              <w:bottom w:val="single" w:sz="8" w:color="0000EE"/>
            </w:tcBorders>
            <w:gridSpan w:val="4"/>
          </w:tcPr>
          <w:p>
            <w:pPr>
              <w:spacing w:after="0" w:line="167" w:lineRule="exact"/>
              <w:rPr>
                <w:rFonts w:ascii="Arial" w:cs="Arial" w:eastAsia="Arial" w:hAnsi="Arial"/>
                <w:sz w:val="16"/>
                <w:szCs w:val="16"/>
                <w:color w:val="auto"/>
                <w:w w:val="99"/>
              </w:rPr>
            </w:pPr>
            <w:hyperlink r:id="rId507">
              <w:r>
                <w:rPr>
                  <w:rFonts w:ascii="Arial" w:cs="Arial" w:eastAsia="Arial" w:hAnsi="Arial"/>
                  <w:sz w:val="16"/>
                  <w:szCs w:val="16"/>
                  <w:color w:val="auto"/>
                  <w:w w:val="99"/>
                </w:rPr>
                <w:t>Report on Form 8-K filed on April 21, 2023)</w:t>
              </w:r>
            </w:hyperlink>
          </w:p>
        </w:tc>
        <w:tc>
          <w:tcPr>
            <w:tcW w:w="6880" w:type="dxa"/>
            <w:vAlign w:val="bottom"/>
            <w:tcBorders>
              <w:top w:val="single" w:sz="8" w:color="0000EE"/>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100" w:type="dxa"/>
            <w:vAlign w:val="bottom"/>
          </w:tcPr>
          <w:p>
            <w:pPr>
              <w:spacing w:after="0"/>
              <w:rPr>
                <w:sz w:val="14"/>
                <w:szCs w:val="14"/>
                <w:color w:val="auto"/>
              </w:rPr>
            </w:pPr>
          </w:p>
        </w:tc>
      </w:tr>
      <w:tr>
        <w:trPr>
          <w:trHeight w:val="353"/>
        </w:trPr>
        <w:tc>
          <w:tcPr>
            <w:tcW w:w="80" w:type="dxa"/>
            <w:vAlign w:val="bottom"/>
          </w:tcPr>
          <w:p>
            <w:pPr>
              <w:spacing w:after="0"/>
              <w:rPr>
                <w:sz w:val="24"/>
                <w:szCs w:val="24"/>
                <w:color w:val="auto"/>
              </w:rPr>
            </w:pPr>
          </w:p>
        </w:tc>
        <w:tc>
          <w:tcPr>
            <w:tcW w:w="10060" w:type="dxa"/>
            <w:vAlign w:val="bottom"/>
            <w:gridSpan w:val="19"/>
          </w:tcPr>
          <w:p>
            <w:pPr>
              <w:spacing w:after="0"/>
              <w:rPr>
                <w:rFonts w:ascii="Arial" w:cs="Arial" w:eastAsia="Arial" w:hAnsi="Arial"/>
                <w:sz w:val="16"/>
                <w:szCs w:val="16"/>
                <w:color w:val="auto"/>
              </w:rPr>
            </w:pPr>
            <w:hyperlink r:id="rId508">
              <w:r>
                <w:rPr>
                  <w:rFonts w:ascii="Arial" w:cs="Arial" w:eastAsia="Arial" w:hAnsi="Arial"/>
                  <w:sz w:val="16"/>
                  <w:szCs w:val="16"/>
                  <w:color w:val="auto"/>
                </w:rPr>
                <w:t>Description of Common Stock of Schlumberger Limited (incorporated by reference to Exhibit 4.1 to SLB’s Annual Report on Form 10-K filed</w:t>
              </w:r>
            </w:hyperlink>
          </w:p>
        </w:tc>
        <w:tc>
          <w:tcPr>
            <w:tcW w:w="11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166"/>
        </w:trPr>
        <w:tc>
          <w:tcPr>
            <w:tcW w:w="80" w:type="dxa"/>
            <w:vAlign w:val="bottom"/>
          </w:tcPr>
          <w:p>
            <w:pPr>
              <w:spacing w:after="0"/>
              <w:rPr>
                <w:sz w:val="14"/>
                <w:szCs w:val="14"/>
                <w:color w:val="auto"/>
              </w:rPr>
            </w:pPr>
          </w:p>
        </w:tc>
        <w:tc>
          <w:tcPr>
            <w:tcW w:w="9840" w:type="dxa"/>
            <w:vAlign w:val="bottom"/>
            <w:tcBorders>
              <w:top w:val="single" w:sz="8" w:color="0000EE"/>
            </w:tcBorders>
            <w:gridSpan w:val="11"/>
          </w:tcPr>
          <w:p>
            <w:pPr>
              <w:spacing w:after="0" w:line="167" w:lineRule="exact"/>
              <w:rPr>
                <w:rFonts w:ascii="Arial" w:cs="Arial" w:eastAsia="Arial" w:hAnsi="Arial"/>
                <w:sz w:val="16"/>
                <w:szCs w:val="16"/>
                <w:color w:val="auto"/>
              </w:rPr>
            </w:pPr>
            <w:hyperlink r:id="rId508">
              <w:r>
                <w:rPr>
                  <w:rFonts w:ascii="Arial" w:cs="Arial" w:eastAsia="Arial" w:hAnsi="Arial"/>
                  <w:sz w:val="16"/>
                  <w:szCs w:val="16"/>
                  <w:color w:val="auto"/>
                </w:rPr>
                <w:t>on January 27, 2021)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1100" w:type="dxa"/>
            <w:vAlign w:val="bottom"/>
          </w:tcPr>
          <w:p>
            <w:pPr>
              <w:spacing w:after="0"/>
              <w:rPr>
                <w:sz w:val="14"/>
                <w:szCs w:val="14"/>
                <w:color w:val="auto"/>
              </w:rPr>
            </w:pPr>
          </w:p>
        </w:tc>
      </w:tr>
      <w:tr>
        <w:trPr>
          <w:trHeight w:val="20"/>
        </w:trPr>
        <w:tc>
          <w:tcPr>
            <w:tcW w:w="8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53"/>
        </w:trPr>
        <w:tc>
          <w:tcPr>
            <w:tcW w:w="80" w:type="dxa"/>
            <w:vAlign w:val="bottom"/>
          </w:tcPr>
          <w:p>
            <w:pPr>
              <w:spacing w:after="0"/>
              <w:rPr>
                <w:sz w:val="24"/>
                <w:szCs w:val="24"/>
                <w:color w:val="auto"/>
              </w:rPr>
            </w:pPr>
          </w:p>
        </w:tc>
        <w:tc>
          <w:tcPr>
            <w:tcW w:w="10060" w:type="dxa"/>
            <w:vAlign w:val="bottom"/>
            <w:gridSpan w:val="19"/>
          </w:tcPr>
          <w:p>
            <w:pPr>
              <w:spacing w:after="0"/>
              <w:rPr>
                <w:rFonts w:ascii="Arial" w:cs="Arial" w:eastAsia="Arial" w:hAnsi="Arial"/>
                <w:sz w:val="16"/>
                <w:szCs w:val="16"/>
                <w:color w:val="auto"/>
              </w:rPr>
            </w:pPr>
            <w:hyperlink r:id="rId509">
              <w:r>
                <w:rPr>
                  <w:rFonts w:ascii="Arial" w:cs="Arial" w:eastAsia="Arial" w:hAnsi="Arial"/>
                  <w:sz w:val="16"/>
                  <w:szCs w:val="16"/>
                  <w:color w:val="auto"/>
                </w:rPr>
                <w:t xml:space="preserve">Indenture dated as of December 3, 2013, by and among Schlumberger Investment </w:t>
              </w:r>
            </w:hyperlink>
            <w:r>
              <w:rPr>
                <w:rFonts w:ascii="Arial" w:cs="Arial" w:eastAsia="Arial" w:hAnsi="Arial"/>
                <w:sz w:val="16"/>
                <w:szCs w:val="16"/>
                <w:color w:val="auto"/>
              </w:rPr>
              <w:t>S.A., as issuer, Schlumberger Limited, as guarantor,</w:t>
            </w:r>
          </w:p>
        </w:tc>
        <w:tc>
          <w:tcPr>
            <w:tcW w:w="11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179"/>
        </w:trPr>
        <w:tc>
          <w:tcPr>
            <w:tcW w:w="80" w:type="dxa"/>
            <w:vAlign w:val="bottom"/>
          </w:tcPr>
          <w:p>
            <w:pPr>
              <w:spacing w:after="0"/>
              <w:rPr>
                <w:sz w:val="15"/>
                <w:szCs w:val="15"/>
                <w:color w:val="auto"/>
              </w:rPr>
            </w:pPr>
          </w:p>
        </w:tc>
        <w:tc>
          <w:tcPr>
            <w:tcW w:w="6160" w:type="dxa"/>
            <w:vAlign w:val="bottom"/>
            <w:tcBorders>
              <w:top w:val="single" w:sz="8" w:color="0000EE"/>
            </w:tcBorders>
            <w:gridSpan w:val="6"/>
          </w:tcPr>
          <w:p>
            <w:pPr>
              <w:spacing w:after="0" w:line="179" w:lineRule="exact"/>
              <w:rPr>
                <w:sz w:val="20"/>
                <w:szCs w:val="20"/>
                <w:color w:val="auto"/>
              </w:rPr>
            </w:pPr>
            <w:r>
              <w:rPr>
                <w:rFonts w:ascii="Arial" w:cs="Arial" w:eastAsia="Arial" w:hAnsi="Arial"/>
                <w:sz w:val="16"/>
                <w:szCs w:val="16"/>
                <w:color w:val="auto"/>
              </w:rPr>
              <w:t>and The Bank of New York Mellon, as trustee (incorporated by reference to Exhibit</w:t>
            </w:r>
          </w:p>
        </w:tc>
        <w:tc>
          <w:tcPr>
            <w:tcW w:w="3900" w:type="dxa"/>
            <w:vAlign w:val="bottom"/>
            <w:gridSpan w:val="13"/>
          </w:tcPr>
          <w:p>
            <w:pPr>
              <w:jc w:val="right"/>
              <w:ind w:right="200"/>
              <w:spacing w:after="0" w:line="179" w:lineRule="exact"/>
              <w:rPr>
                <w:sz w:val="20"/>
                <w:szCs w:val="20"/>
                <w:color w:val="auto"/>
              </w:rPr>
            </w:pPr>
            <w:r>
              <w:rPr>
                <w:rFonts w:ascii="Arial" w:cs="Arial" w:eastAsia="Arial" w:hAnsi="Arial"/>
                <w:sz w:val="16"/>
                <w:szCs w:val="16"/>
                <w:color w:val="auto"/>
              </w:rPr>
              <w:t>4.1 to SLB’s Current Report on Form 8-K filed on</w:t>
            </w:r>
          </w:p>
        </w:tc>
        <w:tc>
          <w:tcPr>
            <w:tcW w:w="1100" w:type="dxa"/>
            <w:vAlign w:val="bottom"/>
          </w:tcPr>
          <w:p>
            <w:pPr>
              <w:spacing w:after="0"/>
              <w:rPr>
                <w:sz w:val="15"/>
                <w:szCs w:val="15"/>
                <w:color w:val="auto"/>
              </w:rPr>
            </w:pPr>
          </w:p>
        </w:tc>
      </w:tr>
      <w:tr>
        <w:trPr>
          <w:trHeight w:val="211"/>
        </w:trPr>
        <w:tc>
          <w:tcPr>
            <w:tcW w:w="80" w:type="dxa"/>
            <w:vAlign w:val="bottom"/>
          </w:tcPr>
          <w:p>
            <w:pPr>
              <w:spacing w:after="0"/>
              <w:rPr>
                <w:sz w:val="18"/>
                <w:szCs w:val="18"/>
                <w:color w:val="auto"/>
              </w:rPr>
            </w:pPr>
          </w:p>
        </w:tc>
        <w:tc>
          <w:tcPr>
            <w:tcW w:w="10060" w:type="dxa"/>
            <w:vAlign w:val="bottom"/>
            <w:gridSpan w:val="19"/>
          </w:tcPr>
          <w:p>
            <w:pPr>
              <w:spacing w:after="0"/>
              <w:rPr>
                <w:sz w:val="20"/>
                <w:szCs w:val="20"/>
                <w:color w:val="auto"/>
              </w:rPr>
            </w:pPr>
            <w:r>
              <w:rPr>
                <w:rFonts w:ascii="Arial" w:cs="Arial" w:eastAsia="Arial" w:hAnsi="Arial"/>
                <w:sz w:val="16"/>
                <w:szCs w:val="16"/>
                <w:color w:val="auto"/>
              </w:rPr>
              <w:t>December 3, 2013)</w:t>
            </w:r>
          </w:p>
        </w:tc>
        <w:tc>
          <w:tcPr>
            <w:tcW w:w="1100" w:type="dxa"/>
            <w:vAlign w:val="bottom"/>
          </w:tcPr>
          <w:p>
            <w:pPr>
              <w:spacing w:after="0"/>
              <w:rPr>
                <w:sz w:val="18"/>
                <w:szCs w:val="18"/>
                <w:color w:val="auto"/>
              </w:rPr>
            </w:pPr>
          </w:p>
        </w:tc>
      </w:tr>
      <w:tr>
        <w:trPr>
          <w:trHeight w:val="336"/>
        </w:trPr>
        <w:tc>
          <w:tcPr>
            <w:tcW w:w="80" w:type="dxa"/>
            <w:vAlign w:val="bottom"/>
          </w:tcPr>
          <w:p>
            <w:pPr>
              <w:spacing w:after="0"/>
              <w:rPr>
                <w:sz w:val="24"/>
                <w:szCs w:val="24"/>
                <w:color w:val="auto"/>
              </w:rPr>
            </w:pPr>
          </w:p>
        </w:tc>
        <w:tc>
          <w:tcPr>
            <w:tcW w:w="10060" w:type="dxa"/>
            <w:vAlign w:val="bottom"/>
            <w:gridSpan w:val="19"/>
          </w:tcPr>
          <w:p>
            <w:pPr>
              <w:spacing w:after="0"/>
              <w:rPr>
                <w:rFonts w:ascii="Arial" w:cs="Arial" w:eastAsia="Arial" w:hAnsi="Arial"/>
                <w:sz w:val="16"/>
                <w:szCs w:val="16"/>
                <w:color w:val="auto"/>
              </w:rPr>
            </w:pPr>
            <w:hyperlink r:id="rId510">
              <w:r>
                <w:rPr>
                  <w:rFonts w:ascii="Arial" w:cs="Arial" w:eastAsia="Arial" w:hAnsi="Arial"/>
                  <w:sz w:val="16"/>
                  <w:szCs w:val="16"/>
                  <w:color w:val="auto"/>
                </w:rPr>
                <w:t xml:space="preserve">Second Supplemental Indenture dated as of June 26, 2020, by and among Schlumberger Investment </w:t>
              </w:r>
            </w:hyperlink>
            <w:r>
              <w:rPr>
                <w:rFonts w:ascii="Arial" w:cs="Arial" w:eastAsia="Arial" w:hAnsi="Arial"/>
                <w:sz w:val="16"/>
                <w:szCs w:val="16"/>
                <w:color w:val="auto"/>
              </w:rPr>
              <w:t>S.A., as issuer, Schlumberger</w:t>
            </w:r>
          </w:p>
        </w:tc>
        <w:tc>
          <w:tcPr>
            <w:tcW w:w="11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179"/>
        </w:trPr>
        <w:tc>
          <w:tcPr>
            <w:tcW w:w="80" w:type="dxa"/>
            <w:vAlign w:val="bottom"/>
          </w:tcPr>
          <w:p>
            <w:pPr>
              <w:spacing w:after="0"/>
              <w:rPr>
                <w:sz w:val="15"/>
                <w:szCs w:val="15"/>
                <w:color w:val="auto"/>
              </w:rPr>
            </w:pPr>
          </w:p>
        </w:tc>
        <w:tc>
          <w:tcPr>
            <w:tcW w:w="7740" w:type="dxa"/>
            <w:vAlign w:val="bottom"/>
            <w:tcBorders>
              <w:top w:val="single" w:sz="8" w:color="0000EE"/>
            </w:tcBorders>
            <w:gridSpan w:val="9"/>
          </w:tcPr>
          <w:p>
            <w:pPr>
              <w:spacing w:after="0" w:line="179" w:lineRule="exact"/>
              <w:rPr>
                <w:sz w:val="20"/>
                <w:szCs w:val="20"/>
                <w:color w:val="auto"/>
              </w:rPr>
            </w:pPr>
            <w:r>
              <w:rPr>
                <w:rFonts w:ascii="Arial" w:cs="Arial" w:eastAsia="Arial" w:hAnsi="Arial"/>
                <w:sz w:val="16"/>
                <w:szCs w:val="16"/>
                <w:color w:val="auto"/>
                <w:w w:val="97"/>
              </w:rPr>
              <w:t>Limited, as guarantor, and The Bank of New York Mellon, as trustee (including form of global notes representing</w:t>
            </w:r>
          </w:p>
        </w:tc>
        <w:tc>
          <w:tcPr>
            <w:tcW w:w="2320" w:type="dxa"/>
            <w:vAlign w:val="bottom"/>
            <w:gridSpan w:val="10"/>
          </w:tcPr>
          <w:p>
            <w:pPr>
              <w:jc w:val="right"/>
              <w:ind w:right="220"/>
              <w:spacing w:after="0" w:line="179" w:lineRule="exact"/>
              <w:rPr>
                <w:sz w:val="20"/>
                <w:szCs w:val="20"/>
                <w:color w:val="auto"/>
              </w:rPr>
            </w:pPr>
            <w:r>
              <w:rPr>
                <w:rFonts w:ascii="Arial" w:cs="Arial" w:eastAsia="Arial" w:hAnsi="Arial"/>
                <w:sz w:val="16"/>
                <w:szCs w:val="16"/>
                <w:color w:val="auto"/>
              </w:rPr>
              <w:t>2.650% Senior Notes due</w:t>
            </w:r>
          </w:p>
        </w:tc>
        <w:tc>
          <w:tcPr>
            <w:tcW w:w="1100" w:type="dxa"/>
            <w:vAlign w:val="bottom"/>
          </w:tcPr>
          <w:p>
            <w:pPr>
              <w:spacing w:after="0"/>
              <w:rPr>
                <w:sz w:val="15"/>
                <w:szCs w:val="15"/>
                <w:color w:val="auto"/>
              </w:rPr>
            </w:pPr>
          </w:p>
        </w:tc>
      </w:tr>
      <w:tr>
        <w:trPr>
          <w:trHeight w:val="211"/>
        </w:trPr>
        <w:tc>
          <w:tcPr>
            <w:tcW w:w="80" w:type="dxa"/>
            <w:vAlign w:val="bottom"/>
          </w:tcPr>
          <w:p>
            <w:pPr>
              <w:spacing w:after="0"/>
              <w:rPr>
                <w:sz w:val="18"/>
                <w:szCs w:val="18"/>
                <w:color w:val="auto"/>
              </w:rPr>
            </w:pPr>
          </w:p>
        </w:tc>
        <w:tc>
          <w:tcPr>
            <w:tcW w:w="10060" w:type="dxa"/>
            <w:vAlign w:val="bottom"/>
            <w:gridSpan w:val="19"/>
          </w:tcPr>
          <w:p>
            <w:pPr>
              <w:spacing w:after="0"/>
              <w:rPr>
                <w:sz w:val="20"/>
                <w:szCs w:val="20"/>
                <w:color w:val="auto"/>
              </w:rPr>
            </w:pPr>
            <w:r>
              <w:rPr>
                <w:rFonts w:ascii="Arial" w:cs="Arial" w:eastAsia="Arial" w:hAnsi="Arial"/>
                <w:sz w:val="16"/>
                <w:szCs w:val="16"/>
                <w:color w:val="auto"/>
              </w:rPr>
              <w:t>2030) (incorporated by reference to Exhibit 4.1 to SLB’s Current Report on Form 8-K filed on June 26, 2020)</w:t>
            </w:r>
          </w:p>
        </w:tc>
        <w:tc>
          <w:tcPr>
            <w:tcW w:w="1100" w:type="dxa"/>
            <w:vAlign w:val="bottom"/>
          </w:tcPr>
          <w:p>
            <w:pPr>
              <w:spacing w:after="0"/>
              <w:rPr>
                <w:sz w:val="18"/>
                <w:szCs w:val="18"/>
                <w:color w:val="auto"/>
              </w:rPr>
            </w:pPr>
          </w:p>
        </w:tc>
      </w:tr>
      <w:tr>
        <w:trPr>
          <w:trHeight w:val="349"/>
        </w:trPr>
        <w:tc>
          <w:tcPr>
            <w:tcW w:w="80" w:type="dxa"/>
            <w:vAlign w:val="bottom"/>
          </w:tcPr>
          <w:p>
            <w:pPr>
              <w:spacing w:after="0"/>
              <w:rPr>
                <w:sz w:val="24"/>
                <w:szCs w:val="24"/>
                <w:color w:val="auto"/>
              </w:rPr>
            </w:pPr>
          </w:p>
        </w:tc>
        <w:tc>
          <w:tcPr>
            <w:tcW w:w="10060" w:type="dxa"/>
            <w:vAlign w:val="bottom"/>
            <w:gridSpan w:val="19"/>
          </w:tcPr>
          <w:p>
            <w:pPr>
              <w:spacing w:after="0"/>
              <w:rPr>
                <w:rFonts w:ascii="Arial" w:cs="Arial" w:eastAsia="Arial" w:hAnsi="Arial"/>
                <w:sz w:val="16"/>
                <w:szCs w:val="16"/>
                <w:color w:val="auto"/>
              </w:rPr>
            </w:pPr>
            <w:hyperlink r:id="rId511">
              <w:r>
                <w:rPr>
                  <w:rFonts w:ascii="Arial" w:cs="Arial" w:eastAsia="Arial" w:hAnsi="Arial"/>
                  <w:sz w:val="16"/>
                  <w:szCs w:val="16"/>
                  <w:color w:val="auto"/>
                </w:rPr>
                <w:t>Third Supplemental Indenture dated as of May 15, 2023, by and among Schlumberger Investment S</w:t>
              </w:r>
            </w:hyperlink>
            <w:r>
              <w:rPr>
                <w:rFonts w:ascii="Times New Roman" w:cs="Times New Roman" w:eastAsia="Times New Roman" w:hAnsi="Times New Roman"/>
                <w:sz w:val="17"/>
                <w:szCs w:val="17"/>
                <w:color w:val="auto"/>
              </w:rPr>
              <w:t>.A.</w:t>
            </w:r>
            <w:r>
              <w:rPr>
                <w:rFonts w:ascii="Arial" w:cs="Arial" w:eastAsia="Arial" w:hAnsi="Arial"/>
                <w:sz w:val="16"/>
                <w:szCs w:val="16"/>
                <w:color w:val="auto"/>
              </w:rPr>
              <w:t>as issuer, Schlumberger Limited, as</w:t>
            </w:r>
          </w:p>
        </w:tc>
        <w:tc>
          <w:tcPr>
            <w:tcW w:w="11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0"/>
        </w:trPr>
        <w:tc>
          <w:tcPr>
            <w:tcW w:w="8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0"/>
        </w:trPr>
        <w:tc>
          <w:tcPr>
            <w:tcW w:w="80" w:type="dxa"/>
            <w:vAlign w:val="bottom"/>
          </w:tcPr>
          <w:p>
            <w:pPr>
              <w:spacing w:after="0"/>
              <w:rPr>
                <w:sz w:val="15"/>
                <w:szCs w:val="15"/>
                <w:color w:val="auto"/>
              </w:rPr>
            </w:pPr>
          </w:p>
        </w:tc>
        <w:tc>
          <w:tcPr>
            <w:tcW w:w="10060" w:type="dxa"/>
            <w:vAlign w:val="bottom"/>
            <w:gridSpan w:val="19"/>
          </w:tcPr>
          <w:p>
            <w:pPr>
              <w:spacing w:after="0" w:line="180" w:lineRule="exact"/>
              <w:rPr>
                <w:rFonts w:ascii="Arial" w:cs="Arial" w:eastAsia="Arial" w:hAnsi="Arial"/>
                <w:sz w:val="16"/>
                <w:szCs w:val="16"/>
                <w:color w:val="auto"/>
              </w:rPr>
            </w:pPr>
            <w:hyperlink r:id="rId511">
              <w:r>
                <w:rPr>
                  <w:rFonts w:ascii="Arial" w:cs="Arial" w:eastAsia="Arial" w:hAnsi="Arial"/>
                  <w:sz w:val="16"/>
                  <w:szCs w:val="16"/>
                  <w:color w:val="auto"/>
                </w:rPr>
                <w:t xml:space="preserve">guarantor, and The Bank of New York Mellon, as trustee </w:t>
              </w:r>
              <w:r>
                <w:rPr>
                  <w:rFonts w:ascii="Arial" w:cs="Arial" w:eastAsia="Arial" w:hAnsi="Arial"/>
                  <w:sz w:val="16"/>
                  <w:szCs w:val="16"/>
                  <w:color w:val="404040"/>
                </w:rPr>
                <w:t>(including form of global notes representing 4.500% Senior Notes due 2028 and</w:t>
              </w:r>
            </w:hyperlink>
          </w:p>
        </w:tc>
        <w:tc>
          <w:tcPr>
            <w:tcW w:w="1100" w:type="dxa"/>
            <w:vAlign w:val="bottom"/>
          </w:tcPr>
          <w:p>
            <w:pPr>
              <w:spacing w:after="0"/>
              <w:rPr>
                <w:sz w:val="15"/>
                <w:szCs w:val="15"/>
                <w:color w:val="auto"/>
              </w:rPr>
            </w:pPr>
          </w:p>
        </w:tc>
      </w:tr>
      <w:tr>
        <w:trPr>
          <w:trHeight w:val="166"/>
        </w:trPr>
        <w:tc>
          <w:tcPr>
            <w:tcW w:w="80" w:type="dxa"/>
            <w:vAlign w:val="bottom"/>
          </w:tcPr>
          <w:p>
            <w:pPr>
              <w:spacing w:after="0"/>
              <w:rPr>
                <w:sz w:val="14"/>
                <w:szCs w:val="14"/>
                <w:color w:val="auto"/>
              </w:rPr>
            </w:pPr>
          </w:p>
        </w:tc>
        <w:tc>
          <w:tcPr>
            <w:tcW w:w="4120" w:type="dxa"/>
            <w:vAlign w:val="bottom"/>
            <w:tcBorders>
              <w:bottom w:val="single" w:sz="8" w:color="0000EE"/>
            </w:tcBorders>
            <w:gridSpan w:val="5"/>
          </w:tcPr>
          <w:p>
            <w:pPr>
              <w:spacing w:after="0" w:line="167" w:lineRule="exact"/>
              <w:rPr>
                <w:rFonts w:ascii="Arial" w:cs="Arial" w:eastAsia="Arial" w:hAnsi="Arial"/>
                <w:sz w:val="16"/>
                <w:szCs w:val="16"/>
                <w:color w:val="404040"/>
              </w:rPr>
            </w:pPr>
            <w:hyperlink r:id="rId511">
              <w:r>
                <w:rPr>
                  <w:rFonts w:ascii="Arial" w:cs="Arial" w:eastAsia="Arial" w:hAnsi="Arial"/>
                  <w:sz w:val="16"/>
                  <w:szCs w:val="16"/>
                  <w:color w:val="404040"/>
                </w:rPr>
                <w:t>form of global notes representing 4.850% Senior Notes</w:t>
              </w:r>
            </w:hyperlink>
          </w:p>
        </w:tc>
        <w:tc>
          <w:tcPr>
            <w:tcW w:w="5800" w:type="dxa"/>
            <w:vAlign w:val="bottom"/>
            <w:tcBorders>
              <w:top w:val="single" w:sz="8" w:color="0000EE"/>
              <w:bottom w:val="single" w:sz="8" w:color="0000EE"/>
            </w:tcBorders>
            <w:gridSpan w:val="10"/>
          </w:tcPr>
          <w:p>
            <w:pPr>
              <w:jc w:val="right"/>
              <w:ind w:right="80"/>
              <w:spacing w:after="0" w:line="167" w:lineRule="exact"/>
              <w:rPr>
                <w:rFonts w:ascii="Arial" w:cs="Arial" w:eastAsia="Arial" w:hAnsi="Arial"/>
                <w:sz w:val="16"/>
                <w:szCs w:val="16"/>
                <w:color w:val="404040"/>
              </w:rPr>
            </w:pPr>
            <w:hyperlink r:id="rId511">
              <w:r>
                <w:rPr>
                  <w:rFonts w:ascii="Arial" w:cs="Arial" w:eastAsia="Arial" w:hAnsi="Arial"/>
                  <w:sz w:val="16"/>
                  <w:szCs w:val="16"/>
                  <w:color w:val="404040"/>
                </w:rPr>
                <w:t>due 2033) (incorporated by reference to Exhibit 4.1 to SLB’s Current Report on</w:t>
              </w:r>
            </w:hyperlink>
          </w:p>
        </w:tc>
        <w:tc>
          <w:tcPr>
            <w:tcW w:w="40" w:type="dxa"/>
            <w:vAlign w:val="bottom"/>
            <w:tcBorders>
              <w:bottom w:val="single" w:sz="8" w:color="0000EE"/>
            </w:tcBorders>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80" w:type="dxa"/>
            <w:vAlign w:val="bottom"/>
          </w:tcPr>
          <w:p>
            <w:pPr>
              <w:spacing w:after="0"/>
              <w:rPr>
                <w:sz w:val="14"/>
                <w:szCs w:val="14"/>
                <w:color w:val="auto"/>
              </w:rPr>
            </w:pPr>
          </w:p>
        </w:tc>
        <w:tc>
          <w:tcPr>
            <w:tcW w:w="2300" w:type="dxa"/>
            <w:vAlign w:val="bottom"/>
            <w:tcBorders>
              <w:bottom w:val="single" w:sz="8" w:color="0000EE"/>
            </w:tcBorders>
            <w:gridSpan w:val="3"/>
          </w:tcPr>
          <w:p>
            <w:pPr>
              <w:spacing w:after="0" w:line="167" w:lineRule="exact"/>
              <w:rPr>
                <w:rFonts w:ascii="Arial" w:cs="Arial" w:eastAsia="Arial" w:hAnsi="Arial"/>
                <w:sz w:val="16"/>
                <w:szCs w:val="16"/>
                <w:color w:val="404040"/>
                <w:w w:val="99"/>
              </w:rPr>
            </w:pPr>
            <w:hyperlink r:id="rId511">
              <w:r>
                <w:rPr>
                  <w:rFonts w:ascii="Arial" w:cs="Arial" w:eastAsia="Arial" w:hAnsi="Arial"/>
                  <w:sz w:val="16"/>
                  <w:szCs w:val="16"/>
                  <w:color w:val="404040"/>
                  <w:w w:val="99"/>
                </w:rPr>
                <w:t>Form 8-K filed on May 15, 2023)</w:t>
              </w:r>
            </w:hyperlink>
          </w:p>
        </w:tc>
        <w:tc>
          <w:tcPr>
            <w:tcW w:w="7660" w:type="dxa"/>
            <w:vAlign w:val="bottom"/>
            <w:gridSpan w:val="14"/>
          </w:tcPr>
          <w:p>
            <w:pPr>
              <w:spacing w:after="0"/>
              <w:rPr>
                <w:sz w:val="14"/>
                <w:szCs w:val="14"/>
                <w:color w:val="auto"/>
              </w:rPr>
            </w:pPr>
          </w:p>
        </w:tc>
        <w:tc>
          <w:tcPr>
            <w:tcW w:w="100" w:type="dxa"/>
            <w:vAlign w:val="bottom"/>
            <w:gridSpan w:val="2"/>
          </w:tcPr>
          <w:p>
            <w:pPr>
              <w:spacing w:after="0"/>
              <w:rPr>
                <w:sz w:val="14"/>
                <w:szCs w:val="14"/>
                <w:color w:val="auto"/>
              </w:rPr>
            </w:pPr>
          </w:p>
        </w:tc>
        <w:tc>
          <w:tcPr>
            <w:tcW w:w="1100" w:type="dxa"/>
            <w:vAlign w:val="bottom"/>
          </w:tcPr>
          <w:p>
            <w:pPr>
              <w:spacing w:after="0"/>
              <w:rPr>
                <w:sz w:val="14"/>
                <w:szCs w:val="14"/>
                <w:color w:val="auto"/>
              </w:rPr>
            </w:pPr>
          </w:p>
        </w:tc>
      </w:tr>
      <w:tr>
        <w:trPr>
          <w:trHeight w:val="353"/>
        </w:trPr>
        <w:tc>
          <w:tcPr>
            <w:tcW w:w="80" w:type="dxa"/>
            <w:vAlign w:val="bottom"/>
          </w:tcPr>
          <w:p>
            <w:pPr>
              <w:spacing w:after="0"/>
              <w:rPr>
                <w:sz w:val="24"/>
                <w:szCs w:val="24"/>
                <w:color w:val="auto"/>
              </w:rPr>
            </w:pPr>
          </w:p>
        </w:tc>
        <w:tc>
          <w:tcPr>
            <w:tcW w:w="10060" w:type="dxa"/>
            <w:vAlign w:val="bottom"/>
            <w:gridSpan w:val="19"/>
          </w:tcPr>
          <w:p>
            <w:pPr>
              <w:spacing w:after="0"/>
              <w:rPr>
                <w:rFonts w:ascii="Arial" w:cs="Arial" w:eastAsia="Arial" w:hAnsi="Arial"/>
                <w:sz w:val="16"/>
                <w:szCs w:val="16"/>
                <w:color w:val="auto"/>
              </w:rPr>
            </w:pPr>
            <w:hyperlink r:id="rId512">
              <w:r>
                <w:rPr>
                  <w:rFonts w:ascii="Arial" w:cs="Arial" w:eastAsia="Arial" w:hAnsi="Arial"/>
                  <w:sz w:val="16"/>
                  <w:szCs w:val="16"/>
                  <w:color w:val="auto"/>
                </w:rPr>
                <w:t>Fourth Supplemental Indenture dated as of May 29, 2024, by and among Schlumberger Investment S.A., as issuer, Schlumberger Limited,</w:t>
              </w:r>
            </w:hyperlink>
          </w:p>
        </w:tc>
        <w:tc>
          <w:tcPr>
            <w:tcW w:w="11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166"/>
        </w:trPr>
        <w:tc>
          <w:tcPr>
            <w:tcW w:w="80" w:type="dxa"/>
            <w:vAlign w:val="bottom"/>
          </w:tcPr>
          <w:p>
            <w:pPr>
              <w:spacing w:after="0"/>
              <w:rPr>
                <w:sz w:val="14"/>
                <w:szCs w:val="14"/>
                <w:color w:val="auto"/>
              </w:rPr>
            </w:pPr>
          </w:p>
        </w:tc>
        <w:tc>
          <w:tcPr>
            <w:tcW w:w="9900" w:type="dxa"/>
            <w:vAlign w:val="bottom"/>
            <w:tcBorders>
              <w:top w:val="single" w:sz="8" w:color="0000EE"/>
            </w:tcBorders>
            <w:gridSpan w:val="14"/>
          </w:tcPr>
          <w:p>
            <w:pPr>
              <w:spacing w:after="0" w:line="167" w:lineRule="exact"/>
              <w:rPr>
                <w:rFonts w:ascii="Arial" w:cs="Arial" w:eastAsia="Arial" w:hAnsi="Arial"/>
                <w:sz w:val="16"/>
                <w:szCs w:val="16"/>
                <w:color w:val="auto"/>
              </w:rPr>
            </w:pPr>
            <w:hyperlink r:id="rId512">
              <w:r>
                <w:rPr>
                  <w:rFonts w:ascii="Arial" w:cs="Arial" w:eastAsia="Arial" w:hAnsi="Arial"/>
                  <w:sz w:val="16"/>
                  <w:szCs w:val="16"/>
                  <w:color w:val="auto"/>
                </w:rPr>
                <w:t>as guarantor, and The Bank of New York Mellon, as trustee (including form of global notes representing 5.000% Senior Notes due 2034)</w:t>
              </w:r>
            </w:hyperlink>
          </w:p>
        </w:tc>
        <w:tc>
          <w:tcPr>
            <w:tcW w:w="160" w:type="dxa"/>
            <w:vAlign w:val="bottom"/>
            <w:gridSpan w:val="5"/>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80" w:type="dxa"/>
            <w:vAlign w:val="bottom"/>
          </w:tcPr>
          <w:p>
            <w:pPr>
              <w:spacing w:after="0"/>
              <w:rPr>
                <w:sz w:val="14"/>
                <w:szCs w:val="14"/>
                <w:color w:val="auto"/>
              </w:rPr>
            </w:pPr>
          </w:p>
        </w:tc>
        <w:tc>
          <w:tcPr>
            <w:tcW w:w="7140" w:type="dxa"/>
            <w:vAlign w:val="bottom"/>
            <w:tcBorders>
              <w:top w:val="single" w:sz="8" w:color="0000EE"/>
              <w:bottom w:val="single" w:sz="8" w:color="0000EE"/>
            </w:tcBorders>
            <w:gridSpan w:val="8"/>
          </w:tcPr>
          <w:p>
            <w:pPr>
              <w:spacing w:after="0" w:line="167" w:lineRule="exact"/>
              <w:rPr>
                <w:rFonts w:ascii="Arial" w:cs="Arial" w:eastAsia="Arial" w:hAnsi="Arial"/>
                <w:sz w:val="16"/>
                <w:szCs w:val="16"/>
                <w:color w:val="auto"/>
                <w:w w:val="99"/>
              </w:rPr>
            </w:pPr>
            <w:hyperlink r:id="rId512">
              <w:r>
                <w:rPr>
                  <w:rFonts w:ascii="Arial" w:cs="Arial" w:eastAsia="Arial" w:hAnsi="Arial"/>
                  <w:sz w:val="16"/>
                  <w:szCs w:val="16"/>
                  <w:color w:val="auto"/>
                  <w:w w:val="99"/>
                </w:rPr>
                <w:t>(incorporated by reference to Exhibit 4.1 to SLB’s Current Report on Form 8-K filed on May 29, 2024)</w:t>
              </w:r>
            </w:hyperlink>
          </w:p>
        </w:tc>
        <w:tc>
          <w:tcPr>
            <w:tcW w:w="2720" w:type="dxa"/>
            <w:vAlign w:val="bottom"/>
            <w:tcBorders>
              <w:top w:val="single" w:sz="8" w:color="0000EE"/>
            </w:tcBorders>
            <w:gridSpan w:val="4"/>
          </w:tcPr>
          <w:p>
            <w:pPr>
              <w:spacing w:after="0"/>
              <w:rPr>
                <w:sz w:val="14"/>
                <w:szCs w:val="14"/>
                <w:color w:val="auto"/>
              </w:rPr>
            </w:pPr>
          </w:p>
        </w:tc>
        <w:tc>
          <w:tcPr>
            <w:tcW w:w="200" w:type="dxa"/>
            <w:vAlign w:val="bottom"/>
            <w:gridSpan w:val="7"/>
          </w:tcPr>
          <w:p>
            <w:pPr>
              <w:spacing w:after="0"/>
              <w:rPr>
                <w:sz w:val="14"/>
                <w:szCs w:val="14"/>
                <w:color w:val="auto"/>
              </w:rPr>
            </w:pPr>
          </w:p>
        </w:tc>
        <w:tc>
          <w:tcPr>
            <w:tcW w:w="1100" w:type="dxa"/>
            <w:vAlign w:val="bottom"/>
          </w:tcPr>
          <w:p>
            <w:pPr>
              <w:spacing w:after="0"/>
              <w:rPr>
                <w:sz w:val="14"/>
                <w:szCs w:val="14"/>
                <w:color w:val="auto"/>
              </w:rPr>
            </w:pPr>
          </w:p>
        </w:tc>
      </w:tr>
      <w:tr>
        <w:trPr>
          <w:trHeight w:val="602"/>
        </w:trPr>
        <w:tc>
          <w:tcPr>
            <w:tcW w:w="6240" w:type="dxa"/>
            <w:vAlign w:val="bottom"/>
            <w:gridSpan w:val="7"/>
          </w:tcPr>
          <w:p>
            <w:pPr>
              <w:jc w:val="right"/>
              <w:ind w:right="440"/>
              <w:spacing w:after="0"/>
              <w:rPr>
                <w:sz w:val="20"/>
                <w:szCs w:val="20"/>
                <w:color w:val="auto"/>
              </w:rPr>
            </w:pPr>
            <w:r>
              <w:rPr>
                <w:rFonts w:ascii="Arial" w:cs="Arial" w:eastAsia="Arial" w:hAnsi="Arial"/>
                <w:sz w:val="16"/>
                <w:szCs w:val="16"/>
                <w:color w:val="auto"/>
              </w:rPr>
              <w:t>64</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742"/>
        </w:trPr>
        <w:tc>
          <w:tcPr>
            <w:tcW w:w="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64" w:name="page65"/>
    <w:bookmarkEnd w:id="64"/>
    <w:p>
      <w:pPr>
        <w:spacing w:after="0" w:line="186" w:lineRule="exact"/>
        <w:rPr>
          <w:sz w:val="20"/>
          <w:szCs w:val="20"/>
          <w:color w:val="auto"/>
        </w:rPr>
      </w:pPr>
    </w:p>
    <w:p>
      <w:pPr>
        <w:jc w:val="both"/>
        <w:ind w:right="20"/>
        <w:spacing w:after="0" w:line="260" w:lineRule="auto"/>
        <w:rPr>
          <w:rFonts w:ascii="Arial" w:cs="Arial" w:eastAsia="Arial" w:hAnsi="Arial"/>
          <w:sz w:val="16"/>
          <w:szCs w:val="16"/>
          <w:color w:val="auto"/>
        </w:rPr>
      </w:pPr>
      <w:hyperlink r:id="rId515">
        <w:r>
          <w:rPr>
            <w:rFonts w:ascii="Arial" w:cs="Arial" w:eastAsia="Arial" w:hAnsi="Arial"/>
            <w:sz w:val="16"/>
            <w:szCs w:val="16"/>
            <w:color w:val="auto"/>
          </w:rPr>
          <w:t xml:space="preserve">Officers’ Certificate dated as of August 11, 2020, executed by Schlumberger Investment </w:t>
        </w:r>
      </w:hyperlink>
      <w:r>
        <w:rPr>
          <w:rFonts w:ascii="Arial" w:cs="Arial" w:eastAsia="Arial" w:hAnsi="Arial"/>
          <w:sz w:val="16"/>
          <w:szCs w:val="16"/>
          <w:color w:val="auto"/>
        </w:rPr>
        <w:t>S.A., as issuer, and Schlumberger Limited, as guarantor (including form of global notes representing 2.650% Senior Notes due 2030) (incorporated by reference to Exhibit 4.1 to SLB’s Current Report on Form 8-K filed on August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418084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6">
                      <a:extLst>
                        <a:ext uri="{28A0092B-C50C-407E-A947-70E740481C1C}"/>
                      </a:extLst>
                    </a:blip>
                    <a:srcRect/>
                    <a:stretch>
                      <a:fillRect/>
                    </a:stretch>
                  </pic:blipFill>
                  <pic:spPr bwMode="auto">
                    <a:xfrm>
                      <a:off x="0" y="0"/>
                      <a:ext cx="4180840" cy="8255"/>
                    </a:xfrm>
                    <a:prstGeom prst="rect">
                      <a:avLst/>
                    </a:prstGeom>
                    <a:noFill/>
                  </pic:spPr>
                </pic:pic>
              </a:graphicData>
            </a:graphic>
          </wp:anchor>
        </w:drawing>
      </w:r>
    </w:p>
    <w:p>
      <w:pPr>
        <w:spacing w:after="0" w:line="127" w:lineRule="exact"/>
        <w:rPr>
          <w:sz w:val="20"/>
          <w:szCs w:val="20"/>
          <w:color w:val="auto"/>
        </w:rPr>
      </w:pPr>
    </w:p>
    <w:p>
      <w:pPr>
        <w:spacing w:after="0"/>
        <w:rPr>
          <w:rFonts w:ascii="Arial" w:cs="Arial" w:eastAsia="Arial" w:hAnsi="Arial"/>
          <w:sz w:val="16"/>
          <w:szCs w:val="16"/>
          <w:color w:val="auto"/>
        </w:rPr>
      </w:pPr>
      <w:hyperlink r:id="rId517">
        <w:r>
          <w:rPr>
            <w:rFonts w:ascii="Arial" w:cs="Arial" w:eastAsia="Arial" w:hAnsi="Arial"/>
            <w:sz w:val="16"/>
            <w:szCs w:val="16"/>
            <w:color w:val="auto"/>
          </w:rPr>
          <w:t>Indenture dated as of September 18, 2020, by and among Schlumberger Finance Canada Ltd., as issuer, Schlumberger Limited, as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25030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8">
                      <a:extLst>
                        <a:ext uri="{28A0092B-C50C-407E-A947-70E740481C1C}"/>
                      </a:extLst>
                    </a:blip>
                    <a:srcRect/>
                    <a:stretch>
                      <a:fillRect/>
                    </a:stretch>
                  </pic:blipFill>
                  <pic:spPr bwMode="auto">
                    <a:xfrm>
                      <a:off x="0" y="0"/>
                      <a:ext cx="6250305" cy="8255"/>
                    </a:xfrm>
                    <a:prstGeom prst="rect">
                      <a:avLst/>
                    </a:prstGeom>
                    <a:noFill/>
                  </pic:spPr>
                </pic:pic>
              </a:graphicData>
            </a:graphic>
          </wp:anchor>
        </w:drawing>
      </w:r>
    </w:p>
    <w:p>
      <w:pPr>
        <w:spacing w:after="0"/>
        <w:rPr>
          <w:rFonts w:ascii="Arial" w:cs="Arial" w:eastAsia="Arial" w:hAnsi="Arial"/>
          <w:sz w:val="16"/>
          <w:szCs w:val="16"/>
          <w:color w:val="auto"/>
        </w:rPr>
      </w:pPr>
      <w:hyperlink r:id="rId517">
        <w:r>
          <w:rPr>
            <w:rFonts w:ascii="Arial" w:cs="Arial" w:eastAsia="Arial" w:hAnsi="Arial"/>
            <w:sz w:val="16"/>
            <w:szCs w:val="16"/>
            <w:color w:val="auto"/>
          </w:rPr>
          <w:t>guarantor, and The Bank of New York Mellon, as trustee (incorporated by reference to Exhibit 4.1 to SLB’s Current Report on Form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624713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9">
                      <a:extLst>
                        <a:ext uri="{28A0092B-C50C-407E-A947-70E740481C1C}"/>
                      </a:extLst>
                    </a:blip>
                    <a:srcRect/>
                    <a:stretch>
                      <a:fillRect/>
                    </a:stretch>
                  </pic:blipFill>
                  <pic:spPr bwMode="auto">
                    <a:xfrm>
                      <a:off x="0" y="0"/>
                      <a:ext cx="6247130" cy="8255"/>
                    </a:xfrm>
                    <a:prstGeom prst="rect">
                      <a:avLst/>
                    </a:prstGeom>
                    <a:noFill/>
                  </pic:spPr>
                </pic:pic>
              </a:graphicData>
            </a:graphic>
          </wp:anchor>
        </w:drawing>
      </w:r>
    </w:p>
    <w:p>
      <w:pPr>
        <w:spacing w:after="0"/>
        <w:rPr>
          <w:rFonts w:ascii="Arial" w:cs="Arial" w:eastAsia="Arial" w:hAnsi="Arial"/>
          <w:sz w:val="16"/>
          <w:szCs w:val="16"/>
          <w:color w:val="auto"/>
        </w:rPr>
      </w:pPr>
      <w:hyperlink r:id="rId517">
        <w:r>
          <w:rPr>
            <w:rFonts w:ascii="Arial" w:cs="Arial" w:eastAsia="Arial" w:hAnsi="Arial"/>
            <w:sz w:val="16"/>
            <w:szCs w:val="16"/>
            <w:color w:val="auto"/>
          </w:rPr>
          <w:t>filed on September 18,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130810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0">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153" w:lineRule="exact"/>
        <w:rPr>
          <w:sz w:val="20"/>
          <w:szCs w:val="20"/>
          <w:color w:val="auto"/>
        </w:rPr>
      </w:pPr>
    </w:p>
    <w:p>
      <w:pPr>
        <w:spacing w:after="0"/>
        <w:rPr>
          <w:rFonts w:ascii="Arial" w:cs="Arial" w:eastAsia="Arial" w:hAnsi="Arial"/>
          <w:sz w:val="16"/>
          <w:szCs w:val="16"/>
          <w:color w:val="auto"/>
        </w:rPr>
      </w:pPr>
      <w:hyperlink r:id="rId521">
        <w:r>
          <w:rPr>
            <w:rFonts w:ascii="Arial" w:cs="Arial" w:eastAsia="Arial" w:hAnsi="Arial"/>
            <w:sz w:val="16"/>
            <w:szCs w:val="16"/>
            <w:color w:val="auto"/>
          </w:rPr>
          <w:t>First Supplemental Indenture dated as of September 18, 2020, by and among Schlumberger Finance Canada Ltd., as issuer,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24967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2">
                      <a:extLst>
                        <a:ext uri="{28A0092B-C50C-407E-A947-70E740481C1C}"/>
                      </a:extLst>
                    </a:blip>
                    <a:srcRect/>
                    <a:stretch>
                      <a:fillRect/>
                    </a:stretch>
                  </pic:blipFill>
                  <pic:spPr bwMode="auto">
                    <a:xfrm>
                      <a:off x="0" y="0"/>
                      <a:ext cx="6249670" cy="8255"/>
                    </a:xfrm>
                    <a:prstGeom prst="rect">
                      <a:avLst/>
                    </a:prstGeom>
                    <a:noFill/>
                  </pic:spPr>
                </pic:pic>
              </a:graphicData>
            </a:graphic>
          </wp:anchor>
        </w:drawing>
      </w:r>
    </w:p>
    <w:p>
      <w:pPr>
        <w:spacing w:after="0"/>
        <w:rPr>
          <w:rFonts w:ascii="Arial" w:cs="Arial" w:eastAsia="Arial" w:hAnsi="Arial"/>
          <w:sz w:val="16"/>
          <w:szCs w:val="16"/>
          <w:color w:val="auto"/>
        </w:rPr>
      </w:pPr>
      <w:hyperlink r:id="rId521">
        <w:r>
          <w:rPr>
            <w:rFonts w:ascii="Arial" w:cs="Arial" w:eastAsia="Arial" w:hAnsi="Arial"/>
            <w:sz w:val="16"/>
            <w:szCs w:val="16"/>
            <w:color w:val="auto"/>
          </w:rPr>
          <w:t>Schlumberger Limited, as guarantor, and The Bank of New York Mellon, as trustee (including form of global notes representing 1.400%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624967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3">
                      <a:extLst>
                        <a:ext uri="{28A0092B-C50C-407E-A947-70E740481C1C}"/>
                      </a:extLst>
                    </a:blip>
                    <a:srcRect/>
                    <a:stretch>
                      <a:fillRect/>
                    </a:stretch>
                  </pic:blipFill>
                  <pic:spPr bwMode="auto">
                    <a:xfrm>
                      <a:off x="0" y="0"/>
                      <a:ext cx="6249670" cy="8255"/>
                    </a:xfrm>
                    <a:prstGeom prst="rect">
                      <a:avLst/>
                    </a:prstGeom>
                    <a:noFill/>
                  </pic:spPr>
                </pic:pic>
              </a:graphicData>
            </a:graphic>
          </wp:anchor>
        </w:drawing>
      </w:r>
    </w:p>
    <w:p>
      <w:pPr>
        <w:spacing w:after="0"/>
        <w:rPr>
          <w:rFonts w:ascii="Arial" w:cs="Arial" w:eastAsia="Arial" w:hAnsi="Arial"/>
          <w:sz w:val="16"/>
          <w:szCs w:val="16"/>
          <w:color w:val="auto"/>
        </w:rPr>
      </w:pPr>
      <w:hyperlink r:id="rId521">
        <w:r>
          <w:rPr>
            <w:rFonts w:ascii="Arial" w:cs="Arial" w:eastAsia="Arial" w:hAnsi="Arial"/>
            <w:sz w:val="16"/>
            <w:szCs w:val="16"/>
            <w:color w:val="auto"/>
          </w:rPr>
          <w:t>Senior Notes due 2025) (incorporated by reference to Exhibit 4.2 to SLB’s Current Report on Form 8-K filed on September 18,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593725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4">
                      <a:extLst>
                        <a:ext uri="{28A0092B-C50C-407E-A947-70E740481C1C}"/>
                      </a:extLst>
                    </a:blip>
                    <a:srcRect/>
                    <a:stretch>
                      <a:fillRect/>
                    </a:stretch>
                  </pic:blipFill>
                  <pic:spPr bwMode="auto">
                    <a:xfrm>
                      <a:off x="0" y="0"/>
                      <a:ext cx="5937250" cy="8255"/>
                    </a:xfrm>
                    <a:prstGeom prst="rect">
                      <a:avLst/>
                    </a:prstGeom>
                    <a:noFill/>
                  </pic:spPr>
                </pic:pic>
              </a:graphicData>
            </a:graphic>
          </wp:anchor>
        </w:drawing>
      </w:r>
    </w:p>
    <w:p>
      <w:pPr>
        <w:spacing w:after="0" w:line="153" w:lineRule="exact"/>
        <w:rPr>
          <w:sz w:val="20"/>
          <w:szCs w:val="20"/>
          <w:color w:val="auto"/>
        </w:rPr>
      </w:pPr>
    </w:p>
    <w:p>
      <w:pPr>
        <w:jc w:val="both"/>
        <w:ind w:right="20"/>
        <w:spacing w:after="0" w:line="260" w:lineRule="auto"/>
        <w:rPr>
          <w:rFonts w:ascii="Arial" w:cs="Arial" w:eastAsia="Arial" w:hAnsi="Arial"/>
          <w:sz w:val="16"/>
          <w:szCs w:val="16"/>
          <w:color w:val="auto"/>
        </w:rPr>
      </w:pPr>
      <w:hyperlink r:id="rId525">
        <w:r>
          <w:rPr>
            <w:rFonts w:ascii="Arial" w:cs="Arial" w:eastAsia="Arial" w:hAnsi="Arial"/>
            <w:sz w:val="16"/>
            <w:szCs w:val="16"/>
            <w:color w:val="auto"/>
          </w:rPr>
          <w:t>Schlumberger Limited Supplementary Benefit Plan, as amended and restated effective November 1, 2020 and conformed to include</w:t>
        </w:r>
      </w:hyperlink>
      <w:r>
        <w:rPr>
          <w:rFonts w:ascii="Arial" w:cs="Arial" w:eastAsia="Arial" w:hAnsi="Arial"/>
          <w:sz w:val="16"/>
          <w:szCs w:val="16"/>
          <w:color w:val="auto"/>
        </w:rPr>
        <w:t xml:space="preserve"> </w:t>
      </w:r>
      <w:hyperlink r:id="rId525">
        <w:r>
          <w:rPr>
            <w:rFonts w:ascii="Arial" w:cs="Arial" w:eastAsia="Arial" w:hAnsi="Arial"/>
            <w:sz w:val="16"/>
            <w:szCs w:val="16"/>
            <w:color w:val="auto"/>
          </w:rPr>
          <w:t>amendments effective through January 1, 2023 (incorporated by reference to Exhibit 10.1 to SLB’s Quarterly Report on Form 10-Q for the</w:t>
        </w:r>
      </w:hyperlink>
      <w:r>
        <w:rPr>
          <w:rFonts w:ascii="Arial" w:cs="Arial" w:eastAsia="Arial" w:hAnsi="Arial"/>
          <w:sz w:val="16"/>
          <w:szCs w:val="16"/>
          <w:color w:val="auto"/>
        </w:rPr>
        <w:t xml:space="preserve"> </w:t>
      </w:r>
      <w:hyperlink r:id="rId525">
        <w:r>
          <w:rPr>
            <w:rFonts w:ascii="Arial" w:cs="Arial" w:eastAsia="Arial" w:hAnsi="Arial"/>
            <w:sz w:val="16"/>
            <w:szCs w:val="16"/>
            <w:color w:val="auto"/>
          </w:rPr>
          <w:t>quarter ended September 30, 2023) (+)</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625284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6">
                      <a:extLst>
                        <a:ext uri="{28A0092B-C50C-407E-A947-70E740481C1C}"/>
                      </a:extLst>
                    </a:blip>
                    <a:srcRect/>
                    <a:stretch>
                      <a:fillRect/>
                    </a:stretch>
                  </pic:blipFill>
                  <pic:spPr bwMode="auto">
                    <a:xfrm>
                      <a:off x="0" y="0"/>
                      <a:ext cx="62528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-150495</wp:posOffset>
            </wp:positionV>
            <wp:extent cx="625284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7">
                      <a:extLst>
                        <a:ext uri="{28A0092B-C50C-407E-A947-70E740481C1C}"/>
                      </a:extLst>
                    </a:blip>
                    <a:srcRect/>
                    <a:stretch>
                      <a:fillRect/>
                    </a:stretch>
                  </pic:blipFill>
                  <pic:spPr bwMode="auto">
                    <a:xfrm>
                      <a:off x="0" y="0"/>
                      <a:ext cx="62528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76784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8">
                      <a:extLst>
                        <a:ext uri="{28A0092B-C50C-407E-A947-70E740481C1C}"/>
                      </a:extLst>
                    </a:blip>
                    <a:srcRect/>
                    <a:stretch>
                      <a:fillRect/>
                    </a:stretch>
                  </pic:blipFill>
                  <pic:spPr bwMode="auto">
                    <a:xfrm>
                      <a:off x="0" y="0"/>
                      <a:ext cx="1767840" cy="8255"/>
                    </a:xfrm>
                    <a:prstGeom prst="rect">
                      <a:avLst/>
                    </a:prstGeom>
                    <a:noFill/>
                  </pic:spPr>
                </pic:pic>
              </a:graphicData>
            </a:graphic>
          </wp:anchor>
        </w:drawing>
      </w:r>
    </w:p>
    <w:p>
      <w:pPr>
        <w:spacing w:after="0" w:line="127" w:lineRule="exact"/>
        <w:rPr>
          <w:rFonts w:ascii="Arial" w:cs="Arial" w:eastAsia="Arial" w:hAnsi="Arial"/>
          <w:sz w:val="16"/>
          <w:szCs w:val="16"/>
          <w:color w:val="auto"/>
        </w:rPr>
      </w:pPr>
    </w:p>
    <w:p>
      <w:pPr>
        <w:jc w:val="both"/>
        <w:ind w:right="20"/>
        <w:spacing w:after="0" w:line="277" w:lineRule="auto"/>
        <w:rPr>
          <w:rFonts w:ascii="Arial" w:cs="Arial" w:eastAsia="Arial" w:hAnsi="Arial"/>
          <w:sz w:val="16"/>
          <w:szCs w:val="16"/>
          <w:color w:val="auto"/>
        </w:rPr>
      </w:pPr>
      <w:hyperlink r:id="rId529">
        <w:r>
          <w:rPr>
            <w:rFonts w:ascii="Arial" w:cs="Arial" w:eastAsia="Arial" w:hAnsi="Arial"/>
            <w:sz w:val="16"/>
            <w:szCs w:val="16"/>
            <w:color w:val="auto"/>
          </w:rPr>
          <w:t>Schlumberger Limited Restoration Savings Plan, as amended and restated effective January 1, 2023 (incorporated by reference to Exhibit</w:t>
        </w:r>
      </w:hyperlink>
      <w:r>
        <w:rPr>
          <w:rFonts w:ascii="Arial" w:cs="Arial" w:eastAsia="Arial" w:hAnsi="Arial"/>
          <w:sz w:val="16"/>
          <w:szCs w:val="16"/>
          <w:color w:val="auto"/>
        </w:rPr>
        <w:t xml:space="preserve"> </w:t>
      </w:r>
      <w:hyperlink r:id="rId529">
        <w:r>
          <w:rPr>
            <w:rFonts w:ascii="Arial" w:cs="Arial" w:eastAsia="Arial" w:hAnsi="Arial"/>
            <w:sz w:val="16"/>
            <w:szCs w:val="16"/>
            <w:color w:val="auto"/>
          </w:rPr>
          <w:t>10.2 to SLB’s Quarterly Report on Form 10-Q for the quarter ended September 30, 2023)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25284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0">
                      <a:extLst>
                        <a:ext uri="{28A0092B-C50C-407E-A947-70E740481C1C}"/>
                      </a:extLst>
                    </a:blip>
                    <a:srcRect/>
                    <a:stretch>
                      <a:fillRect/>
                    </a:stretch>
                  </pic:blipFill>
                  <pic:spPr bwMode="auto">
                    <a:xfrm>
                      <a:off x="0" y="0"/>
                      <a:ext cx="62528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415226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1">
                      <a:extLst>
                        <a:ext uri="{28A0092B-C50C-407E-A947-70E740481C1C}"/>
                      </a:extLst>
                    </a:blip>
                    <a:srcRect/>
                    <a:stretch>
                      <a:fillRect/>
                    </a:stretch>
                  </pic:blipFill>
                  <pic:spPr bwMode="auto">
                    <a:xfrm>
                      <a:off x="0" y="0"/>
                      <a:ext cx="4152265" cy="8255"/>
                    </a:xfrm>
                    <a:prstGeom prst="rect">
                      <a:avLst/>
                    </a:prstGeom>
                    <a:noFill/>
                  </pic:spPr>
                </pic:pic>
              </a:graphicData>
            </a:graphic>
          </wp:anchor>
        </w:drawing>
      </w:r>
    </w:p>
    <w:p>
      <w:pPr>
        <w:spacing w:after="0" w:line="141" w:lineRule="exact"/>
        <w:rPr>
          <w:sz w:val="20"/>
          <w:szCs w:val="20"/>
          <w:color w:val="auto"/>
        </w:rPr>
      </w:pPr>
    </w:p>
    <w:p>
      <w:pPr>
        <w:jc w:val="both"/>
        <w:ind w:right="20"/>
        <w:spacing w:after="0" w:line="260" w:lineRule="auto"/>
        <w:rPr>
          <w:rFonts w:ascii="Arial" w:cs="Arial" w:eastAsia="Arial" w:hAnsi="Arial"/>
          <w:sz w:val="16"/>
          <w:szCs w:val="16"/>
          <w:color w:val="auto"/>
        </w:rPr>
      </w:pPr>
      <w:hyperlink r:id="rId532">
        <w:r>
          <w:rPr>
            <w:rFonts w:ascii="Arial" w:cs="Arial" w:eastAsia="Arial" w:hAnsi="Arial"/>
            <w:sz w:val="16"/>
            <w:szCs w:val="16"/>
            <w:color w:val="auto"/>
          </w:rPr>
          <w:t>Schlumberger Technology Corporation Supplementary Benefit Plan, as established effective January 1, 1995 and conformed to include</w:t>
        </w:r>
      </w:hyperlink>
      <w:r>
        <w:rPr>
          <w:rFonts w:ascii="Arial" w:cs="Arial" w:eastAsia="Arial" w:hAnsi="Arial"/>
          <w:sz w:val="16"/>
          <w:szCs w:val="16"/>
          <w:color w:val="auto"/>
        </w:rPr>
        <w:t xml:space="preserve"> </w:t>
      </w:r>
      <w:hyperlink r:id="rId532">
        <w:r>
          <w:rPr>
            <w:rFonts w:ascii="Arial" w:cs="Arial" w:eastAsia="Arial" w:hAnsi="Arial"/>
            <w:sz w:val="16"/>
            <w:szCs w:val="16"/>
            <w:color w:val="auto"/>
          </w:rPr>
          <w:t>amendments through January 1, 2023 (incorporated by reference to Exhibit 10.3 to SLB’s Annual Report on Form 10-K for the year ended</w:t>
        </w:r>
      </w:hyperlink>
      <w:r>
        <w:rPr>
          <w:rFonts w:ascii="Arial" w:cs="Arial" w:eastAsia="Arial" w:hAnsi="Arial"/>
          <w:sz w:val="16"/>
          <w:szCs w:val="16"/>
          <w:color w:val="auto"/>
        </w:rPr>
        <w:t xml:space="preserve"> </w:t>
      </w:r>
      <w:hyperlink r:id="rId532">
        <w:r>
          <w:rPr>
            <w:rFonts w:ascii="Arial" w:cs="Arial" w:eastAsia="Arial" w:hAnsi="Arial"/>
            <w:sz w:val="16"/>
            <w:szCs w:val="16"/>
            <w:color w:val="auto"/>
          </w:rPr>
          <w:t>December 31, 2023) (+)</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624776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3">
                      <a:extLst>
                        <a:ext uri="{28A0092B-C50C-407E-A947-70E740481C1C}"/>
                      </a:extLst>
                    </a:blip>
                    <a:srcRect/>
                    <a:stretch>
                      <a:fillRect/>
                    </a:stretch>
                  </pic:blipFill>
                  <pic:spPr bwMode="auto">
                    <a:xfrm>
                      <a:off x="0" y="0"/>
                      <a:ext cx="62477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-150495</wp:posOffset>
            </wp:positionV>
            <wp:extent cx="625284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4">
                      <a:extLst>
                        <a:ext uri="{28A0092B-C50C-407E-A947-70E740481C1C}"/>
                      </a:extLst>
                    </a:blip>
                    <a:srcRect/>
                    <a:stretch>
                      <a:fillRect/>
                    </a:stretch>
                  </pic:blipFill>
                  <pic:spPr bwMode="auto">
                    <a:xfrm>
                      <a:off x="0" y="0"/>
                      <a:ext cx="62528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07950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5">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spacing w:after="0" w:line="154" w:lineRule="exact"/>
        <w:rPr>
          <w:rFonts w:ascii="Arial" w:cs="Arial" w:eastAsia="Arial" w:hAnsi="Arial"/>
          <w:sz w:val="16"/>
          <w:szCs w:val="16"/>
          <w:color w:val="auto"/>
        </w:rPr>
      </w:pPr>
    </w:p>
    <w:p>
      <w:pPr>
        <w:ind w:right="20"/>
        <w:spacing w:after="0" w:line="277" w:lineRule="auto"/>
        <w:rPr>
          <w:rFonts w:ascii="Arial" w:cs="Arial" w:eastAsia="Arial" w:hAnsi="Arial"/>
          <w:sz w:val="16"/>
          <w:szCs w:val="16"/>
          <w:color w:val="auto"/>
        </w:rPr>
      </w:pPr>
      <w:hyperlink r:id="rId536">
        <w:r>
          <w:rPr>
            <w:rFonts w:ascii="Arial" w:cs="Arial" w:eastAsia="Arial" w:hAnsi="Arial"/>
            <w:sz w:val="16"/>
            <w:szCs w:val="16"/>
            <w:color w:val="auto"/>
          </w:rPr>
          <w:t>2010 Omnibus Stock Incentive Plan, as amended and restated as of July 19, 2017 (incorporated by reference to Exhibit 10.8 to SLB’s</w:t>
        </w:r>
      </w:hyperlink>
      <w:r>
        <w:rPr>
          <w:rFonts w:ascii="Arial" w:cs="Arial" w:eastAsia="Arial" w:hAnsi="Arial"/>
          <w:sz w:val="16"/>
          <w:szCs w:val="16"/>
          <w:color w:val="auto"/>
        </w:rPr>
        <w:t xml:space="preserve"> </w:t>
      </w:r>
      <w:hyperlink r:id="rId536">
        <w:r>
          <w:rPr>
            <w:rFonts w:ascii="Arial" w:cs="Arial" w:eastAsia="Arial" w:hAnsi="Arial"/>
            <w:sz w:val="16"/>
            <w:szCs w:val="16"/>
            <w:color w:val="auto"/>
          </w:rPr>
          <w:t>Annual Report on Form 10-K for the year ended December 31, 2018)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25030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7">
                      <a:extLst>
                        <a:ext uri="{28A0092B-C50C-407E-A947-70E740481C1C}"/>
                      </a:extLst>
                    </a:blip>
                    <a:srcRect/>
                    <a:stretch>
                      <a:fillRect/>
                    </a:stretch>
                  </pic:blipFill>
                  <pic:spPr bwMode="auto">
                    <a:xfrm>
                      <a:off x="0" y="0"/>
                      <a:ext cx="62503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32562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8">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41" w:lineRule="exact"/>
        <w:rPr>
          <w:sz w:val="20"/>
          <w:szCs w:val="20"/>
          <w:color w:val="auto"/>
        </w:rPr>
      </w:pPr>
    </w:p>
    <w:p>
      <w:pPr>
        <w:jc w:val="both"/>
        <w:ind w:right="20"/>
        <w:spacing w:after="0" w:line="277" w:lineRule="auto"/>
        <w:rPr>
          <w:rFonts w:ascii="Arial" w:cs="Arial" w:eastAsia="Arial" w:hAnsi="Arial"/>
          <w:sz w:val="16"/>
          <w:szCs w:val="16"/>
          <w:color w:val="auto"/>
        </w:rPr>
      </w:pPr>
      <w:hyperlink r:id="rId539">
        <w:r>
          <w:rPr>
            <w:rFonts w:ascii="Arial" w:cs="Arial" w:eastAsia="Arial" w:hAnsi="Arial"/>
            <w:sz w:val="16"/>
            <w:szCs w:val="16"/>
            <w:color w:val="auto"/>
          </w:rPr>
          <w:t>Form of Option Agreement (Employees in France), Incentive Stock Option, under SLB’s 2010 Omnibus Stock Incentive Plan (incorporated</w:t>
        </w:r>
      </w:hyperlink>
      <w:r>
        <w:rPr>
          <w:rFonts w:ascii="Arial" w:cs="Arial" w:eastAsia="Arial" w:hAnsi="Arial"/>
          <w:sz w:val="16"/>
          <w:szCs w:val="16"/>
          <w:color w:val="auto"/>
        </w:rPr>
        <w:t xml:space="preserve"> </w:t>
      </w:r>
      <w:hyperlink r:id="rId539">
        <w:r>
          <w:rPr>
            <w:rFonts w:ascii="Arial" w:cs="Arial" w:eastAsia="Arial" w:hAnsi="Arial"/>
            <w:sz w:val="16"/>
            <w:szCs w:val="16"/>
            <w:color w:val="auto"/>
          </w:rPr>
          <w:t>by reference to Exhibit 10.10 to SLB’s Quarterly Report on Form 10-Q for the quarter ended June 30, 2013)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24967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0">
                      <a:extLst>
                        <a:ext uri="{28A0092B-C50C-407E-A947-70E740481C1C}"/>
                      </a:extLst>
                    </a:blip>
                    <a:srcRect/>
                    <a:stretch>
                      <a:fillRect/>
                    </a:stretch>
                  </pic:blipFill>
                  <pic:spPr bwMode="auto">
                    <a:xfrm>
                      <a:off x="0" y="0"/>
                      <a:ext cx="62496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497014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1">
                      <a:extLst>
                        <a:ext uri="{28A0092B-C50C-407E-A947-70E740481C1C}"/>
                      </a:extLst>
                    </a:blip>
                    <a:srcRect/>
                    <a:stretch>
                      <a:fillRect/>
                    </a:stretch>
                  </pic:blipFill>
                  <pic:spPr bwMode="auto">
                    <a:xfrm>
                      <a:off x="0" y="0"/>
                      <a:ext cx="4970145" cy="8255"/>
                    </a:xfrm>
                    <a:prstGeom prst="rect">
                      <a:avLst/>
                    </a:prstGeom>
                    <a:noFill/>
                  </pic:spPr>
                </pic:pic>
              </a:graphicData>
            </a:graphic>
          </wp:anchor>
        </w:drawing>
      </w:r>
    </w:p>
    <w:p>
      <w:pPr>
        <w:spacing w:after="0" w:line="114" w:lineRule="exact"/>
        <w:rPr>
          <w:sz w:val="20"/>
          <w:szCs w:val="20"/>
          <w:color w:val="auto"/>
        </w:rPr>
      </w:pPr>
    </w:p>
    <w:p>
      <w:pPr>
        <w:jc w:val="both"/>
        <w:ind w:right="20"/>
        <w:spacing w:after="0" w:line="277" w:lineRule="auto"/>
        <w:rPr>
          <w:rFonts w:ascii="Arial" w:cs="Arial" w:eastAsia="Arial" w:hAnsi="Arial"/>
          <w:sz w:val="16"/>
          <w:szCs w:val="16"/>
          <w:color w:val="auto"/>
        </w:rPr>
      </w:pPr>
      <w:hyperlink r:id="rId542">
        <w:r>
          <w:rPr>
            <w:rFonts w:ascii="Arial" w:cs="Arial" w:eastAsia="Arial" w:hAnsi="Arial"/>
            <w:sz w:val="16"/>
            <w:szCs w:val="16"/>
            <w:color w:val="auto"/>
          </w:rPr>
          <w:t>Form of Option Agreement (Employees in France), Non-Qualified Stock Option, under SLB’s 2010 Omnibus Stock Incentive Plan</w:t>
        </w:r>
      </w:hyperlink>
      <w:r>
        <w:rPr>
          <w:rFonts w:ascii="Arial" w:cs="Arial" w:eastAsia="Arial" w:hAnsi="Arial"/>
          <w:sz w:val="16"/>
          <w:szCs w:val="16"/>
          <w:color w:val="auto"/>
        </w:rPr>
        <w:t xml:space="preserve"> </w:t>
      </w:r>
      <w:hyperlink r:id="rId542">
        <w:r>
          <w:rPr>
            <w:rFonts w:ascii="Arial" w:cs="Arial" w:eastAsia="Arial" w:hAnsi="Arial"/>
            <w:sz w:val="16"/>
            <w:szCs w:val="16"/>
            <w:color w:val="auto"/>
          </w:rPr>
          <w:t>(incorporated by reference to Exhibit 10.11 to SLB’s Quarterly Report on Form 10-Q for the quarter ended June 30, 2013)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25221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3">
                      <a:extLst>
                        <a:ext uri="{28A0092B-C50C-407E-A947-70E740481C1C}"/>
                      </a:extLst>
                    </a:blip>
                    <a:srcRect/>
                    <a:stretch>
                      <a:fillRect/>
                    </a:stretch>
                  </pic:blipFill>
                  <pic:spPr bwMode="auto">
                    <a:xfrm>
                      <a:off x="0" y="0"/>
                      <a:ext cx="62522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5596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4">
                      <a:extLst>
                        <a:ext uri="{28A0092B-C50C-407E-A947-70E740481C1C}"/>
                      </a:extLst>
                    </a:blip>
                    <a:srcRect/>
                    <a:stretch>
                      <a:fillRect/>
                    </a:stretch>
                  </pic:blipFill>
                  <pic:spPr bwMode="auto">
                    <a:xfrm>
                      <a:off x="0" y="0"/>
                      <a:ext cx="5596255" cy="8255"/>
                    </a:xfrm>
                    <a:prstGeom prst="rect">
                      <a:avLst/>
                    </a:prstGeom>
                    <a:noFill/>
                  </pic:spPr>
                </pic:pic>
              </a:graphicData>
            </a:graphic>
          </wp:anchor>
        </w:drawing>
      </w:r>
    </w:p>
    <w:p>
      <w:pPr>
        <w:spacing w:after="0" w:line="114" w:lineRule="exact"/>
        <w:rPr>
          <w:sz w:val="20"/>
          <w:szCs w:val="20"/>
          <w:color w:val="auto"/>
        </w:rPr>
      </w:pPr>
    </w:p>
    <w:p>
      <w:pPr>
        <w:jc w:val="both"/>
        <w:ind w:right="20"/>
        <w:spacing w:after="0" w:line="277" w:lineRule="auto"/>
        <w:rPr>
          <w:rFonts w:ascii="Arial" w:cs="Arial" w:eastAsia="Arial" w:hAnsi="Arial"/>
          <w:sz w:val="16"/>
          <w:szCs w:val="16"/>
          <w:color w:val="auto"/>
        </w:rPr>
      </w:pPr>
      <w:hyperlink r:id="rId545">
        <w:r>
          <w:rPr>
            <w:rFonts w:ascii="Arial" w:cs="Arial" w:eastAsia="Arial" w:hAnsi="Arial"/>
            <w:sz w:val="16"/>
            <w:szCs w:val="16"/>
            <w:color w:val="auto"/>
          </w:rPr>
          <w:t>2018 Rules of SLB’s 2010, 2013 and 2017 Omnibus Incentive Plans for Employees in France (incorporated by reference to Appendix B to</w:t>
        </w:r>
      </w:hyperlink>
      <w:r>
        <w:rPr>
          <w:rFonts w:ascii="Arial" w:cs="Arial" w:eastAsia="Arial" w:hAnsi="Arial"/>
          <w:sz w:val="16"/>
          <w:szCs w:val="16"/>
          <w:color w:val="auto"/>
        </w:rPr>
        <w:t xml:space="preserve"> </w:t>
      </w:r>
      <w:hyperlink r:id="rId545">
        <w:r>
          <w:rPr>
            <w:rFonts w:ascii="Arial" w:cs="Arial" w:eastAsia="Arial" w:hAnsi="Arial"/>
            <w:sz w:val="16"/>
            <w:szCs w:val="16"/>
            <w:color w:val="auto"/>
          </w:rPr>
          <w:t>SLB’s Definitive Proxy Statement on Schedule 14A filed with the SEC on March 2, 2018)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25030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6">
                      <a:extLst>
                        <a:ext uri="{28A0092B-C50C-407E-A947-70E740481C1C}"/>
                      </a:extLst>
                    </a:blip>
                    <a:srcRect/>
                    <a:stretch>
                      <a:fillRect/>
                    </a:stretch>
                  </pic:blipFill>
                  <pic:spPr bwMode="auto">
                    <a:xfrm>
                      <a:off x="0" y="0"/>
                      <a:ext cx="62503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412432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7">
                      <a:extLst>
                        <a:ext uri="{28A0092B-C50C-407E-A947-70E740481C1C}"/>
                      </a:extLst>
                    </a:blip>
                    <a:srcRect/>
                    <a:stretch>
                      <a:fillRect/>
                    </a:stretch>
                  </pic:blipFill>
                  <pic:spPr bwMode="auto">
                    <a:xfrm>
                      <a:off x="0" y="0"/>
                      <a:ext cx="4124325" cy="8255"/>
                    </a:xfrm>
                    <a:prstGeom prst="rect">
                      <a:avLst/>
                    </a:prstGeom>
                    <a:noFill/>
                  </pic:spPr>
                </pic:pic>
              </a:graphicData>
            </a:graphic>
          </wp:anchor>
        </w:drawing>
      </w:r>
    </w:p>
    <w:p>
      <w:pPr>
        <w:spacing w:after="0" w:line="114" w:lineRule="exact"/>
        <w:rPr>
          <w:sz w:val="20"/>
          <w:szCs w:val="20"/>
          <w:color w:val="auto"/>
        </w:rPr>
      </w:pPr>
    </w:p>
    <w:p>
      <w:pPr>
        <w:ind w:right="20"/>
        <w:spacing w:after="0" w:line="277" w:lineRule="auto"/>
        <w:rPr>
          <w:rFonts w:ascii="Arial" w:cs="Arial" w:eastAsia="Arial" w:hAnsi="Arial"/>
          <w:sz w:val="16"/>
          <w:szCs w:val="16"/>
          <w:color w:val="auto"/>
        </w:rPr>
      </w:pPr>
      <w:hyperlink r:id="rId548">
        <w:r>
          <w:rPr>
            <w:rFonts w:ascii="Arial" w:cs="Arial" w:eastAsia="Arial" w:hAnsi="Arial"/>
            <w:sz w:val="16"/>
            <w:szCs w:val="16"/>
            <w:color w:val="auto"/>
          </w:rPr>
          <w:t>2013 Omnibus Stock Incentive Plan, as amended and restated as of July 19, 2017 (incorporated by reference to Exhibit 10.15 to SLB’s</w:t>
        </w:r>
      </w:hyperlink>
      <w:r>
        <w:rPr>
          <w:rFonts w:ascii="Arial" w:cs="Arial" w:eastAsia="Arial" w:hAnsi="Arial"/>
          <w:sz w:val="16"/>
          <w:szCs w:val="16"/>
          <w:color w:val="auto"/>
        </w:rPr>
        <w:t xml:space="preserve"> </w:t>
      </w:r>
      <w:hyperlink r:id="rId548">
        <w:r>
          <w:rPr>
            <w:rFonts w:ascii="Arial" w:cs="Arial" w:eastAsia="Arial" w:hAnsi="Arial"/>
            <w:sz w:val="16"/>
            <w:szCs w:val="16"/>
            <w:color w:val="auto"/>
          </w:rPr>
          <w:t>Annual Report on Form 10-K for the year ended December 31, 2018)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24776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9">
                      <a:extLst>
                        <a:ext uri="{28A0092B-C50C-407E-A947-70E740481C1C}"/>
                      </a:extLst>
                    </a:blip>
                    <a:srcRect/>
                    <a:stretch>
                      <a:fillRect/>
                    </a:stretch>
                  </pic:blipFill>
                  <pic:spPr bwMode="auto">
                    <a:xfrm>
                      <a:off x="0" y="0"/>
                      <a:ext cx="62477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32562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0">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14" w:lineRule="exact"/>
        <w:rPr>
          <w:sz w:val="20"/>
          <w:szCs w:val="20"/>
          <w:color w:val="auto"/>
        </w:rPr>
      </w:pPr>
    </w:p>
    <w:p>
      <w:pPr>
        <w:jc w:val="both"/>
        <w:ind w:right="20"/>
        <w:spacing w:after="0" w:line="277" w:lineRule="auto"/>
        <w:rPr>
          <w:rFonts w:ascii="Arial" w:cs="Arial" w:eastAsia="Arial" w:hAnsi="Arial"/>
          <w:sz w:val="16"/>
          <w:szCs w:val="16"/>
          <w:color w:val="auto"/>
        </w:rPr>
      </w:pPr>
      <w:hyperlink r:id="rId551">
        <w:r>
          <w:rPr>
            <w:rFonts w:ascii="Arial" w:cs="Arial" w:eastAsia="Arial" w:hAnsi="Arial"/>
            <w:sz w:val="16"/>
            <w:szCs w:val="16"/>
            <w:color w:val="auto"/>
          </w:rPr>
          <w:t>Form of Option Agreement, Incentive Stock Option, under SLB’s 2013 Omnibus Stock Incentive Plan (incorporated by reference to Exhibit</w:t>
        </w:r>
      </w:hyperlink>
      <w:r>
        <w:rPr>
          <w:rFonts w:ascii="Arial" w:cs="Arial" w:eastAsia="Arial" w:hAnsi="Arial"/>
          <w:sz w:val="16"/>
          <w:szCs w:val="16"/>
          <w:color w:val="auto"/>
        </w:rPr>
        <w:t xml:space="preserve"> </w:t>
      </w:r>
      <w:hyperlink r:id="rId551">
        <w:r>
          <w:rPr>
            <w:rFonts w:ascii="Arial" w:cs="Arial" w:eastAsia="Arial" w:hAnsi="Arial"/>
            <w:sz w:val="16"/>
            <w:szCs w:val="16"/>
            <w:color w:val="auto"/>
          </w:rPr>
          <w:t>10.1 to the SLB’s Quarterly Report on Form 10-Q for the quarter ended June 30, 2015)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24713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2">
                      <a:extLst>
                        <a:ext uri="{28A0092B-C50C-407E-A947-70E740481C1C}"/>
                      </a:extLst>
                    </a:blip>
                    <a:srcRect/>
                    <a:stretch>
                      <a:fillRect/>
                    </a:stretch>
                  </pic:blipFill>
                  <pic:spPr bwMode="auto">
                    <a:xfrm>
                      <a:off x="0" y="0"/>
                      <a:ext cx="62471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404558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3">
                      <a:extLst>
                        <a:ext uri="{28A0092B-C50C-407E-A947-70E740481C1C}"/>
                      </a:extLst>
                    </a:blip>
                    <a:srcRect/>
                    <a:stretch>
                      <a:fillRect/>
                    </a:stretch>
                  </pic:blipFill>
                  <pic:spPr bwMode="auto">
                    <a:xfrm>
                      <a:off x="0" y="0"/>
                      <a:ext cx="4045585" cy="8255"/>
                    </a:xfrm>
                    <a:prstGeom prst="rect">
                      <a:avLst/>
                    </a:prstGeom>
                    <a:noFill/>
                  </pic:spPr>
                </pic:pic>
              </a:graphicData>
            </a:graphic>
          </wp:anchor>
        </w:drawing>
      </w:r>
    </w:p>
    <w:p>
      <w:pPr>
        <w:spacing w:after="0" w:line="114" w:lineRule="exact"/>
        <w:rPr>
          <w:sz w:val="20"/>
          <w:szCs w:val="20"/>
          <w:color w:val="auto"/>
        </w:rPr>
      </w:pPr>
    </w:p>
    <w:p>
      <w:pPr>
        <w:jc w:val="both"/>
        <w:ind w:right="20"/>
        <w:spacing w:after="0" w:line="277" w:lineRule="auto"/>
        <w:rPr>
          <w:rFonts w:ascii="Arial" w:cs="Arial" w:eastAsia="Arial" w:hAnsi="Arial"/>
          <w:sz w:val="16"/>
          <w:szCs w:val="16"/>
          <w:color w:val="auto"/>
        </w:rPr>
      </w:pPr>
      <w:hyperlink r:id="rId554">
        <w:r>
          <w:rPr>
            <w:rFonts w:ascii="Arial" w:cs="Arial" w:eastAsia="Arial" w:hAnsi="Arial"/>
            <w:sz w:val="16"/>
            <w:szCs w:val="16"/>
            <w:color w:val="auto"/>
          </w:rPr>
          <w:t>Form of Restricted Stock Unit Award Agreement under SLB’s 2013 Omnibus Stock Incentive Plan (ratable vesting) (incorporated by</w:t>
        </w:r>
      </w:hyperlink>
      <w:r>
        <w:rPr>
          <w:rFonts w:ascii="Arial" w:cs="Arial" w:eastAsia="Arial" w:hAnsi="Arial"/>
          <w:sz w:val="16"/>
          <w:szCs w:val="16"/>
          <w:color w:val="auto"/>
        </w:rPr>
        <w:t xml:space="preserve"> </w:t>
      </w:r>
      <w:hyperlink r:id="rId554">
        <w:r>
          <w:rPr>
            <w:rFonts w:ascii="Arial" w:cs="Arial" w:eastAsia="Arial" w:hAnsi="Arial"/>
            <w:sz w:val="16"/>
            <w:szCs w:val="16"/>
            <w:color w:val="auto"/>
          </w:rPr>
          <w:t>reference to Exhibit 10.15 to SLB’s Annual Report on Form 10-K filed on January 27, 2021)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25221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5">
                      <a:extLst>
                        <a:ext uri="{28A0092B-C50C-407E-A947-70E740481C1C}"/>
                      </a:extLst>
                    </a:blip>
                    <a:srcRect/>
                    <a:stretch>
                      <a:fillRect/>
                    </a:stretch>
                  </pic:blipFill>
                  <pic:spPr bwMode="auto">
                    <a:xfrm>
                      <a:off x="0" y="0"/>
                      <a:ext cx="62522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424307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6">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114" w:lineRule="exact"/>
        <w:rPr>
          <w:sz w:val="20"/>
          <w:szCs w:val="20"/>
          <w:color w:val="auto"/>
        </w:rPr>
      </w:pPr>
    </w:p>
    <w:p>
      <w:pPr>
        <w:jc w:val="both"/>
        <w:spacing w:after="0" w:line="277" w:lineRule="auto"/>
        <w:rPr>
          <w:rFonts w:ascii="Arial" w:cs="Arial" w:eastAsia="Arial" w:hAnsi="Arial"/>
          <w:sz w:val="16"/>
          <w:szCs w:val="16"/>
          <w:color w:val="auto"/>
        </w:rPr>
      </w:pPr>
      <w:hyperlink r:id="rId557">
        <w:r>
          <w:rPr>
            <w:rFonts w:ascii="Arial" w:cs="Arial" w:eastAsia="Arial" w:hAnsi="Arial"/>
            <w:sz w:val="16"/>
            <w:szCs w:val="16"/>
            <w:color w:val="auto"/>
          </w:rPr>
          <w:t>Form of Restricted Stock Unit Award Agreement under SLB’s 2017 Omnibus Stock Incentive Plan (incorporated by reference to Exhibit</w:t>
        </w:r>
      </w:hyperlink>
      <w:r>
        <w:rPr>
          <w:rFonts w:ascii="Arial" w:cs="Arial" w:eastAsia="Arial" w:hAnsi="Arial"/>
          <w:sz w:val="16"/>
          <w:szCs w:val="16"/>
          <w:color w:val="auto"/>
        </w:rPr>
        <w:t xml:space="preserve"> </w:t>
      </w:r>
      <w:hyperlink r:id="rId557">
        <w:r>
          <w:rPr>
            <w:rFonts w:ascii="Arial" w:cs="Arial" w:eastAsia="Arial" w:hAnsi="Arial"/>
            <w:sz w:val="16"/>
            <w:szCs w:val="16"/>
            <w:color w:val="auto"/>
          </w:rPr>
          <w:t>10.4 to SLB’s Quarterly Report on Form 10-Q for the quarter ended March 31, 2017)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25538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8">
                      <a:extLst>
                        <a:ext uri="{28A0092B-C50C-407E-A947-70E740481C1C}"/>
                      </a:extLst>
                    </a:blip>
                    <a:srcRect/>
                    <a:stretch>
                      <a:fillRect/>
                    </a:stretch>
                  </pic:blipFill>
                  <pic:spPr bwMode="auto">
                    <a:xfrm>
                      <a:off x="0" y="0"/>
                      <a:ext cx="62553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393827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9">
                      <a:extLst>
                        <a:ext uri="{28A0092B-C50C-407E-A947-70E740481C1C}"/>
                      </a:extLst>
                    </a:blip>
                    <a:srcRect/>
                    <a:stretch>
                      <a:fillRect/>
                    </a:stretch>
                  </pic:blipFill>
                  <pic:spPr bwMode="auto">
                    <a:xfrm>
                      <a:off x="0" y="0"/>
                      <a:ext cx="3938270" cy="8255"/>
                    </a:xfrm>
                    <a:prstGeom prst="rect">
                      <a:avLst/>
                    </a:prstGeom>
                    <a:noFill/>
                  </pic:spPr>
                </pic:pic>
              </a:graphicData>
            </a:graphic>
          </wp:anchor>
        </w:drawing>
      </w:r>
    </w:p>
    <w:p>
      <w:pPr>
        <w:spacing w:after="0" w:line="114" w:lineRule="exact"/>
        <w:rPr>
          <w:sz w:val="20"/>
          <w:szCs w:val="20"/>
          <w:color w:val="auto"/>
        </w:rPr>
      </w:pPr>
    </w:p>
    <w:p>
      <w:pPr>
        <w:jc w:val="both"/>
        <w:ind w:right="20"/>
        <w:spacing w:after="0" w:line="260" w:lineRule="auto"/>
        <w:rPr>
          <w:rFonts w:ascii="Arial" w:cs="Arial" w:eastAsia="Arial" w:hAnsi="Arial"/>
          <w:sz w:val="16"/>
          <w:szCs w:val="16"/>
          <w:color w:val="auto"/>
        </w:rPr>
      </w:pPr>
      <w:hyperlink r:id="rId560">
        <w:r>
          <w:rPr>
            <w:rFonts w:ascii="Arial" w:cs="Arial" w:eastAsia="Arial" w:hAnsi="Arial"/>
            <w:sz w:val="16"/>
            <w:szCs w:val="16"/>
            <w:color w:val="auto"/>
          </w:rPr>
          <w:t>Addendum to Restricted Stock Unit Award Agreements, Performance Share Unit Agreements, Incentive Stock Option Agreements, and</w:t>
        </w:r>
      </w:hyperlink>
      <w:r>
        <w:rPr>
          <w:rFonts w:ascii="Arial" w:cs="Arial" w:eastAsia="Arial" w:hAnsi="Arial"/>
          <w:sz w:val="16"/>
          <w:szCs w:val="16"/>
          <w:color w:val="auto"/>
        </w:rPr>
        <w:t xml:space="preserve"> </w:t>
      </w:r>
      <w:hyperlink r:id="rId560">
        <w:r>
          <w:rPr>
            <w:rFonts w:ascii="Arial" w:cs="Arial" w:eastAsia="Arial" w:hAnsi="Arial"/>
            <w:sz w:val="16"/>
            <w:szCs w:val="16"/>
            <w:color w:val="auto"/>
          </w:rPr>
          <w:t>Non-Qualified Stock Option Agreements Issued Prior to July 19, 2017 (incorporated by reference to Exhibit 10.27 to SLB’s Annual Report</w:t>
        </w:r>
      </w:hyperlink>
      <w:r>
        <w:rPr>
          <w:rFonts w:ascii="Arial" w:cs="Arial" w:eastAsia="Arial" w:hAnsi="Arial"/>
          <w:sz w:val="16"/>
          <w:szCs w:val="16"/>
          <w:color w:val="auto"/>
        </w:rPr>
        <w:t xml:space="preserve"> </w:t>
      </w:r>
      <w:hyperlink r:id="rId560">
        <w:r>
          <w:rPr>
            <w:rFonts w:ascii="Arial" w:cs="Arial" w:eastAsia="Arial" w:hAnsi="Arial"/>
            <w:sz w:val="16"/>
            <w:szCs w:val="16"/>
            <w:color w:val="auto"/>
          </w:rPr>
          <w:t>on Form 10-K for the year ended December 31, 2018) (+)</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624713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1">
                      <a:extLst>
                        <a:ext uri="{28A0092B-C50C-407E-A947-70E740481C1C}"/>
                      </a:extLst>
                    </a:blip>
                    <a:srcRect/>
                    <a:stretch>
                      <a:fillRect/>
                    </a:stretch>
                  </pic:blipFill>
                  <pic:spPr bwMode="auto">
                    <a:xfrm>
                      <a:off x="0" y="0"/>
                      <a:ext cx="62471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-150495</wp:posOffset>
            </wp:positionV>
            <wp:extent cx="624713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2">
                      <a:extLst>
                        <a:ext uri="{28A0092B-C50C-407E-A947-70E740481C1C}"/>
                      </a:extLst>
                    </a:blip>
                    <a:srcRect/>
                    <a:stretch>
                      <a:fillRect/>
                    </a:stretch>
                  </pic:blipFill>
                  <pic:spPr bwMode="auto">
                    <a:xfrm>
                      <a:off x="0" y="0"/>
                      <a:ext cx="62471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257937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3">
                      <a:extLst>
                        <a:ext uri="{28A0092B-C50C-407E-A947-70E740481C1C}"/>
                      </a:extLst>
                    </a:blip>
                    <a:srcRect/>
                    <a:stretch>
                      <a:fillRect/>
                    </a:stretch>
                  </pic:blipFill>
                  <pic:spPr bwMode="auto">
                    <a:xfrm>
                      <a:off x="0" y="0"/>
                      <a:ext cx="2579370" cy="8255"/>
                    </a:xfrm>
                    <a:prstGeom prst="rect">
                      <a:avLst/>
                    </a:prstGeom>
                    <a:noFill/>
                  </pic:spPr>
                </pic:pic>
              </a:graphicData>
            </a:graphic>
          </wp:anchor>
        </w:drawing>
      </w:r>
    </w:p>
    <w:p>
      <w:pPr>
        <w:spacing w:after="0" w:line="127" w:lineRule="exact"/>
        <w:rPr>
          <w:rFonts w:ascii="Arial" w:cs="Arial" w:eastAsia="Arial" w:hAnsi="Arial"/>
          <w:sz w:val="16"/>
          <w:szCs w:val="16"/>
          <w:color w:val="auto"/>
        </w:rPr>
      </w:pPr>
    </w:p>
    <w:p>
      <w:pPr>
        <w:jc w:val="both"/>
        <w:ind w:right="20"/>
        <w:spacing w:after="0" w:line="260" w:lineRule="auto"/>
        <w:rPr>
          <w:rFonts w:ascii="Arial" w:cs="Arial" w:eastAsia="Arial" w:hAnsi="Arial"/>
          <w:sz w:val="16"/>
          <w:szCs w:val="16"/>
          <w:color w:val="auto"/>
        </w:rPr>
      </w:pPr>
      <w:hyperlink r:id="rId564">
        <w:r>
          <w:rPr>
            <w:rFonts w:ascii="Arial" w:cs="Arial" w:eastAsia="Arial" w:hAnsi="Arial"/>
            <w:sz w:val="16"/>
            <w:szCs w:val="16"/>
            <w:color w:val="auto"/>
          </w:rPr>
          <w:t>Form of Performance Share Unit Award Agreement (Based on Free Cash Flow Margin Performance) under SLB’s 2017 Omnibus Stock</w:t>
        </w:r>
      </w:hyperlink>
      <w:r>
        <w:rPr>
          <w:rFonts w:ascii="Arial" w:cs="Arial" w:eastAsia="Arial" w:hAnsi="Arial"/>
          <w:sz w:val="16"/>
          <w:szCs w:val="16"/>
          <w:color w:val="auto"/>
        </w:rPr>
        <w:t xml:space="preserve"> </w:t>
      </w:r>
      <w:hyperlink r:id="rId564">
        <w:r>
          <w:rPr>
            <w:rFonts w:ascii="Arial" w:cs="Arial" w:eastAsia="Arial" w:hAnsi="Arial"/>
            <w:sz w:val="16"/>
            <w:szCs w:val="16"/>
            <w:color w:val="auto"/>
          </w:rPr>
          <w:t>Incentive Plan (incorporated by reference to Exhibit 10.3 to SLB’s Quarterly Report on Form 10-Q for the quarter ended March 31, 2022)</w:t>
        </w:r>
      </w:hyperlink>
      <w:r>
        <w:rPr>
          <w:rFonts w:ascii="Arial" w:cs="Arial" w:eastAsia="Arial" w:hAnsi="Arial"/>
          <w:sz w:val="16"/>
          <w:szCs w:val="16"/>
          <w:color w:val="auto"/>
        </w:rPr>
        <w:t xml:space="preserve"> </w:t>
      </w:r>
      <w:hyperlink r:id="rId564">
        <w:r>
          <w:rPr>
            <w:rFonts w:ascii="Arial" w:cs="Arial" w:eastAsia="Arial" w:hAnsi="Arial"/>
            <w:sz w:val="16"/>
            <w:szCs w:val="16"/>
            <w:color w:val="auto"/>
          </w:rPr>
          <w:t>(+)</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624903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5">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-150495</wp:posOffset>
            </wp:positionV>
            <wp:extent cx="624713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6">
                      <a:extLst>
                        <a:ext uri="{28A0092B-C50C-407E-A947-70E740481C1C}"/>
                      </a:extLst>
                    </a:blip>
                    <a:srcRect/>
                    <a:stretch>
                      <a:fillRect/>
                    </a:stretch>
                  </pic:blipFill>
                  <pic:spPr bwMode="auto">
                    <a:xfrm>
                      <a:off x="0" y="0"/>
                      <a:ext cx="62471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2700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7">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340" w:lineRule="exact"/>
        <w:rPr>
          <w:rFonts w:ascii="Arial" w:cs="Arial" w:eastAsia="Arial" w:hAnsi="Arial"/>
          <w:sz w:val="16"/>
          <w:szCs w:val="16"/>
          <w:color w:val="auto"/>
        </w:rPr>
      </w:pPr>
    </w:p>
    <w:p>
      <w:pPr>
        <w:ind w:left="5460"/>
        <w:spacing w:after="0"/>
        <w:rPr>
          <w:sz w:val="20"/>
          <w:szCs w:val="20"/>
          <w:color w:val="auto"/>
        </w:rPr>
      </w:pPr>
      <w:r>
        <w:rPr>
          <w:rFonts w:ascii="Arial" w:cs="Arial" w:eastAsia="Arial" w:hAnsi="Arial"/>
          <w:sz w:val="16"/>
          <w:szCs w:val="16"/>
          <w:color w:val="auto"/>
        </w:rPr>
        <w:t>65</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-59055</wp:posOffset>
            </wp:positionH>
            <wp:positionV relativeFrom="paragraph">
              <wp:posOffset>471170</wp:posOffset>
            </wp:positionV>
            <wp:extent cx="715962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rPr>
          <w:sz w:val="20"/>
          <w:szCs w:val="20"/>
          <w:color w:val="auto"/>
        </w:rPr>
      </w:pPr>
      <w:r>
        <w:rPr>
          <w:rFonts w:ascii="Arial" w:cs="Arial" w:eastAsia="Arial" w:hAnsi="Arial"/>
          <w:sz w:val="16"/>
          <w:szCs w:val="16"/>
          <w:b w:val="1"/>
          <w:bCs w:val="1"/>
          <w:color w:val="auto"/>
        </w:rPr>
        <w:t>Exhibit</w:t>
      </w:r>
    </w:p>
    <w:p>
      <w:pPr>
        <w:spacing w:after="0" w:line="18"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4.6</w:t>
      </w:r>
    </w:p>
    <w:p>
      <w:pPr>
        <w:spacing w:after="0" w:line="200" w:lineRule="exact"/>
        <w:rPr>
          <w:rFonts w:ascii="Arial" w:cs="Arial" w:eastAsia="Arial" w:hAnsi="Arial"/>
          <w:sz w:val="16"/>
          <w:szCs w:val="16"/>
          <w:color w:val="auto"/>
        </w:rPr>
      </w:pPr>
    </w:p>
    <w:p>
      <w:pPr>
        <w:spacing w:after="0" w:line="345"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4.7</w:t>
      </w: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4.8</w:t>
      </w: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10.1</w:t>
      </w: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10.2</w:t>
      </w:r>
    </w:p>
    <w:p>
      <w:pPr>
        <w:spacing w:after="0" w:line="200" w:lineRule="exact"/>
        <w:rPr>
          <w:rFonts w:ascii="Arial" w:cs="Arial" w:eastAsia="Arial" w:hAnsi="Arial"/>
          <w:sz w:val="16"/>
          <w:szCs w:val="16"/>
          <w:color w:val="auto"/>
        </w:rPr>
      </w:pPr>
    </w:p>
    <w:p>
      <w:pPr>
        <w:spacing w:after="0" w:line="202"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10.3</w:t>
      </w:r>
    </w:p>
    <w:p>
      <w:pPr>
        <w:spacing w:after="0" w:line="200" w:lineRule="exact"/>
        <w:rPr>
          <w:rFonts w:ascii="Arial" w:cs="Arial" w:eastAsia="Arial" w:hAnsi="Arial"/>
          <w:sz w:val="16"/>
          <w:szCs w:val="16"/>
          <w:color w:val="auto"/>
        </w:rPr>
      </w:pPr>
    </w:p>
    <w:p>
      <w:pPr>
        <w:spacing w:after="0" w:line="388"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10.4</w:t>
      </w:r>
    </w:p>
    <w:p>
      <w:pPr>
        <w:spacing w:after="0" w:line="200" w:lineRule="exact"/>
        <w:rPr>
          <w:rFonts w:ascii="Arial" w:cs="Arial" w:eastAsia="Arial" w:hAnsi="Arial"/>
          <w:sz w:val="16"/>
          <w:szCs w:val="16"/>
          <w:color w:val="auto"/>
        </w:rPr>
      </w:pPr>
    </w:p>
    <w:p>
      <w:pPr>
        <w:spacing w:after="0" w:line="202"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10.5</w:t>
      </w:r>
    </w:p>
    <w:p>
      <w:pPr>
        <w:spacing w:after="0" w:line="375"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10.6</w:t>
      </w:r>
    </w:p>
    <w:p>
      <w:pPr>
        <w:spacing w:after="0" w:line="375"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10.7</w:t>
      </w:r>
    </w:p>
    <w:p>
      <w:pPr>
        <w:spacing w:after="0" w:line="375"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10.8</w:t>
      </w:r>
    </w:p>
    <w:p>
      <w:pPr>
        <w:spacing w:after="0" w:line="375"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10.9</w:t>
      </w:r>
    </w:p>
    <w:p>
      <w:pPr>
        <w:spacing w:after="0" w:line="375"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10.10</w:t>
      </w:r>
    </w:p>
    <w:p>
      <w:pPr>
        <w:spacing w:after="0" w:line="375"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10.11</w:t>
      </w:r>
    </w:p>
    <w:p>
      <w:pPr>
        <w:spacing w:after="0" w:line="375"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10.12</w:t>
      </w: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10.13</w:t>
      </w:r>
    </w:p>
    <w:p>
      <w:pPr>
        <w:sectPr>
          <w:pgSz w:w="11900" w:h="16838" w:orient="portrait"/>
          <w:cols w:equalWidth="0" w:num="2">
            <w:col w:w="9860" w:space="400"/>
            <w:col w:w="820"/>
          </w:cols>
          <w:pgMar w:left="400" w:top="977" w:right="419" w:bottom="1440" w:gutter="0" w:footer="0" w:header="0"/>
        </w:sectPr>
      </w:pPr>
    </w:p>
    <w:bookmarkStart w:id="65" w:name="page66"/>
    <w:bookmarkEnd w:id="65"/>
    <w:p>
      <w:pPr>
        <w:spacing w:after="0" w:line="186" w:lineRule="exact"/>
        <w:rPr>
          <w:sz w:val="20"/>
          <w:szCs w:val="20"/>
          <w:color w:val="auto"/>
        </w:rPr>
      </w:pPr>
    </w:p>
    <w:p>
      <w:pPr>
        <w:jc w:val="both"/>
        <w:spacing w:after="0" w:line="260" w:lineRule="auto"/>
        <w:rPr>
          <w:rFonts w:ascii="Arial" w:cs="Arial" w:eastAsia="Arial" w:hAnsi="Arial"/>
          <w:sz w:val="16"/>
          <w:szCs w:val="16"/>
          <w:color w:val="auto"/>
        </w:rPr>
      </w:pPr>
      <w:hyperlink r:id="rId569">
        <w:r>
          <w:rPr>
            <w:rFonts w:ascii="Arial" w:cs="Arial" w:eastAsia="Arial" w:hAnsi="Arial"/>
            <w:sz w:val="16"/>
            <w:szCs w:val="16"/>
            <w:color w:val="auto"/>
          </w:rPr>
          <w:t>Form of Performance Share Unit Award Agreement (Based on Return on Capital Employed Performance) under SLB’s 2017 Omnibus</w:t>
        </w:r>
      </w:hyperlink>
      <w:r>
        <w:rPr>
          <w:rFonts w:ascii="Arial" w:cs="Arial" w:eastAsia="Arial" w:hAnsi="Arial"/>
          <w:sz w:val="16"/>
          <w:szCs w:val="16"/>
          <w:color w:val="auto"/>
        </w:rPr>
        <w:t xml:space="preserve"> </w:t>
      </w:r>
      <w:hyperlink r:id="rId569">
        <w:r>
          <w:rPr>
            <w:rFonts w:ascii="Arial" w:cs="Arial" w:eastAsia="Arial" w:hAnsi="Arial"/>
            <w:sz w:val="16"/>
            <w:szCs w:val="16"/>
            <w:color w:val="auto"/>
          </w:rPr>
          <w:t>Stock Incentive Plan (incorporated by reference to Exhibit 10.4 to SLB’s Quarterly Report on Form 10-Q for the quarter ended March 31,</w:t>
        </w:r>
      </w:hyperlink>
      <w:r>
        <w:rPr>
          <w:rFonts w:ascii="Arial" w:cs="Arial" w:eastAsia="Arial" w:hAnsi="Arial"/>
          <w:sz w:val="16"/>
          <w:szCs w:val="16"/>
          <w:color w:val="auto"/>
        </w:rPr>
        <w:t xml:space="preserve"> </w:t>
      </w:r>
      <w:hyperlink r:id="rId569">
        <w:r>
          <w:rPr>
            <w:rFonts w:ascii="Arial" w:cs="Arial" w:eastAsia="Arial" w:hAnsi="Arial"/>
            <w:sz w:val="16"/>
            <w:szCs w:val="16"/>
            <w:color w:val="auto"/>
          </w:rPr>
          <w:t>2022) (+)</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624967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0">
                      <a:extLst>
                        <a:ext uri="{28A0092B-C50C-407E-A947-70E740481C1C}"/>
                      </a:extLst>
                    </a:blip>
                    <a:srcRect/>
                    <a:stretch>
                      <a:fillRect/>
                    </a:stretch>
                  </pic:blipFill>
                  <pic:spPr bwMode="auto">
                    <a:xfrm>
                      <a:off x="0" y="0"/>
                      <a:ext cx="62496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-150495</wp:posOffset>
            </wp:positionV>
            <wp:extent cx="624967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1">
                      <a:extLst>
                        <a:ext uri="{28A0092B-C50C-407E-A947-70E740481C1C}"/>
                      </a:extLst>
                    </a:blip>
                    <a:srcRect/>
                    <a:stretch>
                      <a:fillRect/>
                    </a:stretch>
                  </pic:blipFill>
                  <pic:spPr bwMode="auto">
                    <a:xfrm>
                      <a:off x="0" y="0"/>
                      <a:ext cx="62496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41402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2">
                      <a:extLst>
                        <a:ext uri="{28A0092B-C50C-407E-A947-70E740481C1C}"/>
                      </a:extLst>
                    </a:blip>
                    <a:srcRect/>
                    <a:stretch>
                      <a:fillRect/>
                    </a:stretch>
                  </pic:blipFill>
                  <pic:spPr bwMode="auto">
                    <a:xfrm>
                      <a:off x="0" y="0"/>
                      <a:ext cx="414020" cy="8255"/>
                    </a:xfrm>
                    <a:prstGeom prst="rect">
                      <a:avLst/>
                    </a:prstGeom>
                    <a:noFill/>
                  </pic:spPr>
                </pic:pic>
              </a:graphicData>
            </a:graphic>
          </wp:anchor>
        </w:drawing>
      </w:r>
    </w:p>
    <w:p>
      <w:pPr>
        <w:spacing w:after="0" w:line="127"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hyperlink r:id="rId573">
        <w:r>
          <w:rPr>
            <w:rFonts w:ascii="Arial" w:cs="Arial" w:eastAsia="Arial" w:hAnsi="Arial"/>
            <w:sz w:val="16"/>
            <w:szCs w:val="16"/>
            <w:color w:val="auto"/>
          </w:rPr>
          <w:t>Form of Performance Share Unit Award Agreement (Based on Relative TSR Performance) under SLB’s 2017 Omnibus Stock Incentive</w:t>
        </w:r>
      </w:hyperlink>
      <w:r>
        <w:rPr>
          <w:rFonts w:ascii="Arial" w:cs="Arial" w:eastAsia="Arial" w:hAnsi="Arial"/>
          <w:sz w:val="16"/>
          <w:szCs w:val="16"/>
          <w:color w:val="auto"/>
        </w:rPr>
        <w:t xml:space="preserve"> </w:t>
      </w:r>
      <w:hyperlink r:id="rId573">
        <w:r>
          <w:rPr>
            <w:rFonts w:ascii="Arial" w:cs="Arial" w:eastAsia="Arial" w:hAnsi="Arial"/>
            <w:sz w:val="16"/>
            <w:szCs w:val="16"/>
            <w:color w:val="auto"/>
          </w:rPr>
          <w:t>Plan (incorporated by reference to Exhibit 10.5 to SLB’s Quarterly Report on Form 10-Q for the quarter ended March 31, 2022)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25221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4">
                      <a:extLst>
                        <a:ext uri="{28A0092B-C50C-407E-A947-70E740481C1C}"/>
                      </a:extLst>
                    </a:blip>
                    <a:srcRect/>
                    <a:stretch>
                      <a:fillRect/>
                    </a:stretch>
                  </pic:blipFill>
                  <pic:spPr bwMode="auto">
                    <a:xfrm>
                      <a:off x="0" y="0"/>
                      <a:ext cx="62522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583247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5">
                      <a:extLst>
                        <a:ext uri="{28A0092B-C50C-407E-A947-70E740481C1C}"/>
                      </a:extLst>
                    </a:blip>
                    <a:srcRect/>
                    <a:stretch>
                      <a:fillRect/>
                    </a:stretch>
                  </pic:blipFill>
                  <pic:spPr bwMode="auto">
                    <a:xfrm>
                      <a:off x="0" y="0"/>
                      <a:ext cx="5832475" cy="8255"/>
                    </a:xfrm>
                    <a:prstGeom prst="rect">
                      <a:avLst/>
                    </a:prstGeom>
                    <a:noFill/>
                  </pic:spPr>
                </pic:pic>
              </a:graphicData>
            </a:graphic>
          </wp:anchor>
        </w:drawing>
      </w:r>
    </w:p>
    <w:p>
      <w:pPr>
        <w:spacing w:after="0" w:line="114" w:lineRule="exact"/>
        <w:rPr>
          <w:sz w:val="20"/>
          <w:szCs w:val="20"/>
          <w:color w:val="auto"/>
        </w:rPr>
      </w:pPr>
    </w:p>
    <w:p>
      <w:pPr>
        <w:jc w:val="both"/>
        <w:spacing w:after="0" w:line="277" w:lineRule="auto"/>
        <w:rPr>
          <w:rFonts w:ascii="Arial" w:cs="Arial" w:eastAsia="Arial" w:hAnsi="Arial"/>
          <w:sz w:val="16"/>
          <w:szCs w:val="16"/>
          <w:color w:val="auto"/>
        </w:rPr>
      </w:pPr>
      <w:hyperlink r:id="rId576">
        <w:r>
          <w:rPr>
            <w:rFonts w:ascii="Arial" w:cs="Arial" w:eastAsia="Arial" w:hAnsi="Arial"/>
            <w:sz w:val="16"/>
            <w:szCs w:val="16"/>
            <w:color w:val="auto"/>
          </w:rPr>
          <w:t>2017 Omnibus Stock Incentive Plan, as amended and restated effective January 21, 2021 (incorporated by reference to Exhibit 10.1 to</w:t>
        </w:r>
      </w:hyperlink>
      <w:r>
        <w:rPr>
          <w:rFonts w:ascii="Arial" w:cs="Arial" w:eastAsia="Arial" w:hAnsi="Arial"/>
          <w:sz w:val="16"/>
          <w:szCs w:val="16"/>
          <w:color w:val="auto"/>
        </w:rPr>
        <w:t xml:space="preserve"> </w:t>
      </w:r>
      <w:hyperlink r:id="rId576">
        <w:r>
          <w:rPr>
            <w:rFonts w:ascii="Arial" w:cs="Arial" w:eastAsia="Arial" w:hAnsi="Arial"/>
            <w:sz w:val="16"/>
            <w:szCs w:val="16"/>
            <w:color w:val="auto"/>
          </w:rPr>
          <w:t>SLB’s Current Report on Form 8-K filed on April 7, 2021)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25284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7">
                      <a:extLst>
                        <a:ext uri="{28A0092B-C50C-407E-A947-70E740481C1C}"/>
                      </a:extLst>
                    </a:blip>
                    <a:srcRect/>
                    <a:stretch>
                      <a:fillRect/>
                    </a:stretch>
                  </pic:blipFill>
                  <pic:spPr bwMode="auto">
                    <a:xfrm>
                      <a:off x="0" y="0"/>
                      <a:ext cx="62528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26974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8">
                      <a:extLst>
                        <a:ext uri="{28A0092B-C50C-407E-A947-70E740481C1C}"/>
                      </a:extLst>
                    </a:blip>
                    <a:srcRect/>
                    <a:stretch>
                      <a:fillRect/>
                    </a:stretch>
                  </pic:blipFill>
                  <pic:spPr bwMode="auto">
                    <a:xfrm>
                      <a:off x="0" y="0"/>
                      <a:ext cx="2697480" cy="8255"/>
                    </a:xfrm>
                    <a:prstGeom prst="rect">
                      <a:avLst/>
                    </a:prstGeom>
                    <a:noFill/>
                  </pic:spPr>
                </pic:pic>
              </a:graphicData>
            </a:graphic>
          </wp:anchor>
        </w:drawing>
      </w:r>
    </w:p>
    <w:p>
      <w:pPr>
        <w:spacing w:after="0" w:line="114" w:lineRule="exact"/>
        <w:rPr>
          <w:sz w:val="20"/>
          <w:szCs w:val="20"/>
          <w:color w:val="auto"/>
        </w:rPr>
      </w:pPr>
    </w:p>
    <w:p>
      <w:pPr>
        <w:jc w:val="both"/>
        <w:spacing w:after="0" w:line="277" w:lineRule="auto"/>
        <w:rPr>
          <w:rFonts w:ascii="Arial" w:cs="Arial" w:eastAsia="Arial" w:hAnsi="Arial"/>
          <w:sz w:val="16"/>
          <w:szCs w:val="16"/>
          <w:color w:val="auto"/>
        </w:rPr>
      </w:pPr>
      <w:hyperlink r:id="rId579">
        <w:r>
          <w:rPr>
            <w:rFonts w:ascii="Arial" w:cs="Arial" w:eastAsia="Arial" w:hAnsi="Arial"/>
            <w:sz w:val="16"/>
            <w:szCs w:val="16"/>
            <w:color w:val="auto"/>
          </w:rPr>
          <w:t>Discounted Stock Purchase Plan, as amended and restated effective July 1, 2022 (incorporated by reference to Exhibit 10.1 to SLB’s</w:t>
        </w:r>
      </w:hyperlink>
      <w:r>
        <w:rPr>
          <w:rFonts w:ascii="Arial" w:cs="Arial" w:eastAsia="Arial" w:hAnsi="Arial"/>
          <w:sz w:val="16"/>
          <w:szCs w:val="16"/>
          <w:color w:val="auto"/>
        </w:rPr>
        <w:t xml:space="preserve"> </w:t>
      </w:r>
      <w:hyperlink r:id="rId579">
        <w:r>
          <w:rPr>
            <w:rFonts w:ascii="Arial" w:cs="Arial" w:eastAsia="Arial" w:hAnsi="Arial"/>
            <w:sz w:val="16"/>
            <w:szCs w:val="16"/>
            <w:color w:val="auto"/>
          </w:rPr>
          <w:t>Current Report on Form 10-Q filed on July 27, 2022)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24713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0">
                      <a:extLst>
                        <a:ext uri="{28A0092B-C50C-407E-A947-70E740481C1C}"/>
                      </a:extLst>
                    </a:blip>
                    <a:srcRect/>
                    <a:stretch>
                      <a:fillRect/>
                    </a:stretch>
                  </pic:blipFill>
                  <pic:spPr bwMode="auto">
                    <a:xfrm>
                      <a:off x="0" y="0"/>
                      <a:ext cx="62471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250571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1">
                      <a:extLst>
                        <a:ext uri="{28A0092B-C50C-407E-A947-70E740481C1C}"/>
                      </a:extLst>
                    </a:blip>
                    <a:srcRect/>
                    <a:stretch>
                      <a:fillRect/>
                    </a:stretch>
                  </pic:blipFill>
                  <pic:spPr bwMode="auto">
                    <a:xfrm>
                      <a:off x="0" y="0"/>
                      <a:ext cx="2505710" cy="8255"/>
                    </a:xfrm>
                    <a:prstGeom prst="rect">
                      <a:avLst/>
                    </a:prstGeom>
                    <a:noFill/>
                  </pic:spPr>
                </pic:pic>
              </a:graphicData>
            </a:graphic>
          </wp:anchor>
        </w:drawing>
      </w:r>
    </w:p>
    <w:p>
      <w:pPr>
        <w:spacing w:after="0" w:line="114" w:lineRule="exact"/>
        <w:rPr>
          <w:sz w:val="20"/>
          <w:szCs w:val="20"/>
          <w:color w:val="auto"/>
        </w:rPr>
      </w:pPr>
    </w:p>
    <w:p>
      <w:pPr>
        <w:spacing w:after="0" w:line="277" w:lineRule="auto"/>
        <w:rPr>
          <w:rFonts w:ascii="Arial" w:cs="Arial" w:eastAsia="Arial" w:hAnsi="Arial"/>
          <w:sz w:val="16"/>
          <w:szCs w:val="16"/>
          <w:color w:val="auto"/>
        </w:rPr>
      </w:pPr>
      <w:hyperlink r:id="rId582">
        <w:r>
          <w:rPr>
            <w:rFonts w:ascii="Arial" w:cs="Arial" w:eastAsia="Arial" w:hAnsi="Arial"/>
            <w:sz w:val="16"/>
            <w:szCs w:val="16"/>
            <w:color w:val="auto"/>
          </w:rPr>
          <w:t>2004 Stock and Deferral Plan for Non-Employee Directors, as amended and restated effective January 21, 2021 (incorporated by reference</w:t>
        </w:r>
      </w:hyperlink>
      <w:r>
        <w:rPr>
          <w:rFonts w:ascii="Arial" w:cs="Arial" w:eastAsia="Arial" w:hAnsi="Arial"/>
          <w:sz w:val="16"/>
          <w:szCs w:val="16"/>
          <w:color w:val="auto"/>
        </w:rPr>
        <w:t xml:space="preserve"> </w:t>
      </w:r>
      <w:hyperlink r:id="rId582">
        <w:r>
          <w:rPr>
            <w:rFonts w:ascii="Arial" w:cs="Arial" w:eastAsia="Arial" w:hAnsi="Arial"/>
            <w:sz w:val="16"/>
            <w:szCs w:val="16"/>
            <w:color w:val="auto"/>
          </w:rPr>
          <w:t>to Exhibit 10.3 to SLB’s Current Report on Form 8-K filed on April 7, 2021)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24713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3">
                      <a:extLst>
                        <a:ext uri="{28A0092B-C50C-407E-A947-70E740481C1C}"/>
                      </a:extLst>
                    </a:blip>
                    <a:srcRect/>
                    <a:stretch>
                      <a:fillRect/>
                    </a:stretch>
                  </pic:blipFill>
                  <pic:spPr bwMode="auto">
                    <a:xfrm>
                      <a:off x="0" y="0"/>
                      <a:ext cx="62471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348170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4">
                      <a:extLst>
                        <a:ext uri="{28A0092B-C50C-407E-A947-70E740481C1C}"/>
                      </a:extLst>
                    </a:blip>
                    <a:srcRect/>
                    <a:stretch>
                      <a:fillRect/>
                    </a:stretch>
                  </pic:blipFill>
                  <pic:spPr bwMode="auto">
                    <a:xfrm>
                      <a:off x="0" y="0"/>
                      <a:ext cx="3481705" cy="8255"/>
                    </a:xfrm>
                    <a:prstGeom prst="rect">
                      <a:avLst/>
                    </a:prstGeom>
                    <a:noFill/>
                  </pic:spPr>
                </pic:pic>
              </a:graphicData>
            </a:graphic>
          </wp:anchor>
        </w:drawing>
      </w:r>
    </w:p>
    <w:p>
      <w:pPr>
        <w:spacing w:after="0" w:line="114" w:lineRule="exact"/>
        <w:rPr>
          <w:sz w:val="20"/>
          <w:szCs w:val="20"/>
          <w:color w:val="auto"/>
        </w:rPr>
      </w:pPr>
    </w:p>
    <w:p>
      <w:pPr>
        <w:spacing w:after="0" w:line="277" w:lineRule="auto"/>
        <w:rPr>
          <w:rFonts w:ascii="Arial" w:cs="Arial" w:eastAsia="Arial" w:hAnsi="Arial"/>
          <w:sz w:val="16"/>
          <w:szCs w:val="16"/>
          <w:color w:val="auto"/>
        </w:rPr>
      </w:pPr>
      <w:hyperlink r:id="rId585">
        <w:r>
          <w:rPr>
            <w:rFonts w:ascii="Arial" w:cs="Arial" w:eastAsia="Arial" w:hAnsi="Arial"/>
            <w:sz w:val="16"/>
            <w:szCs w:val="16"/>
            <w:color w:val="auto"/>
          </w:rPr>
          <w:t>Form of Indemnification Agreement (incorporated by reference to Exhibit 10.19 to SLB’s Annual Report on Form 10-K for the year ended</w:t>
        </w:r>
      </w:hyperlink>
      <w:r>
        <w:rPr>
          <w:rFonts w:ascii="Arial" w:cs="Arial" w:eastAsia="Arial" w:hAnsi="Arial"/>
          <w:sz w:val="16"/>
          <w:szCs w:val="16"/>
          <w:color w:val="auto"/>
        </w:rPr>
        <w:t xml:space="preserve"> </w:t>
      </w:r>
      <w:hyperlink r:id="rId585">
        <w:r>
          <w:rPr>
            <w:rFonts w:ascii="Arial" w:cs="Arial" w:eastAsia="Arial" w:hAnsi="Arial"/>
            <w:sz w:val="16"/>
            <w:szCs w:val="16"/>
            <w:color w:val="auto"/>
          </w:rPr>
          <w:t>December 31, 2023)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24713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6">
                      <a:extLst>
                        <a:ext uri="{28A0092B-C50C-407E-A947-70E740481C1C}"/>
                      </a:extLst>
                    </a:blip>
                    <a:srcRect/>
                    <a:stretch>
                      <a:fillRect/>
                    </a:stretch>
                  </pic:blipFill>
                  <pic:spPr bwMode="auto">
                    <a:xfrm>
                      <a:off x="0" y="0"/>
                      <a:ext cx="62471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107950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7">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Securities Transactions Policy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48780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8">
                      <a:extLst>
                        <a:ext uri="{28A0092B-C50C-407E-A947-70E740481C1C}"/>
                      </a:extLst>
                    </a:blip>
                    <a:srcRect/>
                    <a:stretch>
                      <a:fillRect/>
                    </a:stretch>
                  </pic:blipFill>
                  <pic:spPr bwMode="auto">
                    <a:xfrm>
                      <a:off x="0" y="0"/>
                      <a:ext cx="148780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Significant Subsidiaries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18364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9">
                      <a:extLst>
                        <a:ext uri="{28A0092B-C50C-407E-A947-70E740481C1C}"/>
                      </a:extLst>
                    </a:blip>
                    <a:srcRect/>
                    <a:stretch>
                      <a:fillRect/>
                    </a:stretch>
                  </pic:blipFill>
                  <pic:spPr bwMode="auto">
                    <a:xfrm>
                      <a:off x="0" y="0"/>
                      <a:ext cx="118364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Issuers of Registered Guaranteed Debt Securities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37363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0">
                      <a:extLst>
                        <a:ext uri="{28A0092B-C50C-407E-A947-70E740481C1C}"/>
                      </a:extLst>
                    </a:blip>
                    <a:srcRect/>
                    <a:stretch>
                      <a:fillRect/>
                    </a:stretch>
                  </pic:blipFill>
                  <pic:spPr bwMode="auto">
                    <a:xfrm>
                      <a:off x="0" y="0"/>
                      <a:ext cx="237363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Consent of Independent Registered Public Accounting Firm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802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1">
                      <a:extLst>
                        <a:ext uri="{28A0092B-C50C-407E-A947-70E740481C1C}"/>
                      </a:extLst>
                    </a:blip>
                    <a:srcRect/>
                    <a:stretch>
                      <a:fillRect/>
                    </a:stretch>
                  </pic:blipFill>
                  <pic:spPr bwMode="auto">
                    <a:xfrm>
                      <a:off x="0" y="0"/>
                      <a:ext cx="280225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Powers of Attorney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9187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2">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Certification of Chief Executive Officer pursuant to Rule 13a-14(a) as adopted pursuant to Section 302 of the Sarbanes-Oxley Act of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25030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3">
                      <a:extLst>
                        <a:ext uri="{28A0092B-C50C-407E-A947-70E740481C1C}"/>
                      </a:extLst>
                    </a:blip>
                    <a:srcRect/>
                    <a:stretch>
                      <a:fillRect/>
                    </a:stretch>
                  </pic:blipFill>
                  <pic:spPr bwMode="auto">
                    <a:xfrm>
                      <a:off x="0" y="0"/>
                      <a:ext cx="62503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1066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4">
                      <a:extLst>
                        <a:ext uri="{28A0092B-C50C-407E-A947-70E740481C1C}"/>
                      </a:extLst>
                    </a:blip>
                    <a:srcRect/>
                    <a:stretch>
                      <a:fillRect/>
                    </a:stretch>
                  </pic:blipFill>
                  <pic:spPr bwMode="auto">
                    <a:xfrm>
                      <a:off x="0" y="0"/>
                      <a:ext cx="106680" cy="8255"/>
                    </a:xfrm>
                    <a:prstGeom prst="rect">
                      <a:avLst/>
                    </a:prstGeom>
                    <a:noFill/>
                  </pic:spPr>
                </pic:pic>
              </a:graphicData>
            </a:graphic>
          </wp:anchor>
        </w:drawing>
      </w:r>
    </w:p>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Certification of Chief Financial Officer pursuant to Rule 13a-14(a) as adopted pursuant to Section 302 of the Sarbanes-Oxley Act of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25030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5">
                      <a:extLst>
                        <a:ext uri="{28A0092B-C50C-407E-A947-70E740481C1C}"/>
                      </a:extLst>
                    </a:blip>
                    <a:srcRect/>
                    <a:stretch>
                      <a:fillRect/>
                    </a:stretch>
                  </pic:blipFill>
                  <pic:spPr bwMode="auto">
                    <a:xfrm>
                      <a:off x="0" y="0"/>
                      <a:ext cx="62503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1066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6">
                      <a:extLst>
                        <a:ext uri="{28A0092B-C50C-407E-A947-70E740481C1C}"/>
                      </a:extLst>
                    </a:blip>
                    <a:srcRect/>
                    <a:stretch>
                      <a:fillRect/>
                    </a:stretch>
                  </pic:blipFill>
                  <pic:spPr bwMode="auto">
                    <a:xfrm>
                      <a:off x="0" y="0"/>
                      <a:ext cx="106680" cy="8255"/>
                    </a:xfrm>
                    <a:prstGeom prst="rect">
                      <a:avLst/>
                    </a:prstGeom>
                    <a:noFill/>
                  </pic:spPr>
                </pic:pic>
              </a:graphicData>
            </a:graphic>
          </wp:anchor>
        </w:drawing>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Certification of Chief Executive Officer pursuant to 18 U.S.C. Section 1350, as adopted pursuant to Section 906 of the Sarbanes-Oxley Act of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25284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7">
                      <a:extLst>
                        <a:ext uri="{28A0092B-C50C-407E-A947-70E740481C1C}"/>
                      </a:extLst>
                    </a:blip>
                    <a:srcRect/>
                    <a:stretch>
                      <a:fillRect/>
                    </a:stretch>
                  </pic:blipFill>
                  <pic:spPr bwMode="auto">
                    <a:xfrm>
                      <a:off x="0" y="0"/>
                      <a:ext cx="62528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5130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8">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Certification of Chief Financial Officer pursuant to 18 U.S.C. Section 1350, as adopted pursuant to Section 906 of the Sarbanes-Oxley Act of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25284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9">
                      <a:extLst>
                        <a:ext uri="{28A0092B-C50C-407E-A947-70E740481C1C}"/>
                      </a:extLst>
                    </a:blip>
                    <a:srcRect/>
                    <a:stretch>
                      <a:fillRect/>
                    </a:stretch>
                  </pic:blipFill>
                  <pic:spPr bwMode="auto">
                    <a:xfrm>
                      <a:off x="0" y="0"/>
                      <a:ext cx="62528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5130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0">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Mine Safety Disclosure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17221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1">
                      <a:extLst>
                        <a:ext uri="{28A0092B-C50C-407E-A947-70E740481C1C}"/>
                      </a:extLst>
                    </a:blip>
                    <a:srcRect/>
                    <a:stretch>
                      <a:fillRect/>
                    </a:stretch>
                  </pic:blipFill>
                  <pic:spPr bwMode="auto">
                    <a:xfrm>
                      <a:off x="0" y="0"/>
                      <a:ext cx="1172210" cy="8255"/>
                    </a:xfrm>
                    <a:prstGeom prst="rect">
                      <a:avLst/>
                    </a:prstGeom>
                    <a:noFill/>
                  </pic:spPr>
                </pic:pic>
              </a:graphicData>
            </a:graphic>
          </wp:anchor>
        </w:drawing>
      </w:r>
    </w:p>
    <w:p>
      <w:pPr>
        <w:spacing w:after="0" w:line="169" w:lineRule="exact"/>
        <w:rPr>
          <w:sz w:val="20"/>
          <w:szCs w:val="20"/>
          <w:color w:val="auto"/>
        </w:rPr>
      </w:pPr>
    </w:p>
    <w:p>
      <w:pPr>
        <w:ind w:right="340"/>
        <w:spacing w:after="0" w:line="277" w:lineRule="auto"/>
        <w:rPr>
          <w:rFonts w:ascii="Arial" w:cs="Arial" w:eastAsia="Arial" w:hAnsi="Arial"/>
          <w:sz w:val="16"/>
          <w:szCs w:val="16"/>
          <w:color w:val="auto"/>
        </w:rPr>
      </w:pPr>
      <w:hyperlink r:id="rId602">
        <w:r>
          <w:rPr>
            <w:rFonts w:ascii="Arial" w:cs="Arial" w:eastAsia="Arial" w:hAnsi="Arial"/>
            <w:sz w:val="16"/>
            <w:szCs w:val="16"/>
            <w:color w:val="auto"/>
          </w:rPr>
          <w:t>Policy for Recovery of Performance-Based Incentive Compensation from Executive Officers (incorporated by reference to Exhibit 97 to</w:t>
        </w:r>
      </w:hyperlink>
      <w:r>
        <w:rPr>
          <w:rFonts w:ascii="Arial" w:cs="Arial" w:eastAsia="Arial" w:hAnsi="Arial"/>
          <w:sz w:val="16"/>
          <w:szCs w:val="16"/>
          <w:color w:val="auto"/>
        </w:rPr>
        <w:t xml:space="preserve"> </w:t>
      </w:r>
      <w:hyperlink r:id="rId602">
        <w:r>
          <w:rPr>
            <w:rFonts w:ascii="Arial" w:cs="Arial" w:eastAsia="Arial" w:hAnsi="Arial"/>
            <w:sz w:val="16"/>
            <w:szCs w:val="16"/>
            <w:color w:val="auto"/>
          </w:rPr>
          <w:t>SLB’s Annual Report on Form 10-K for the year ended December 31,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05472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3">
                      <a:extLst>
                        <a:ext uri="{28A0092B-C50C-407E-A947-70E740481C1C}"/>
                      </a:extLst>
                    </a:blip>
                    <a:srcRect/>
                    <a:stretch>
                      <a:fillRect/>
                    </a:stretch>
                  </pic:blipFill>
                  <pic:spPr bwMode="auto">
                    <a:xfrm>
                      <a:off x="0" y="0"/>
                      <a:ext cx="6054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339407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4">
                      <a:extLst>
                        <a:ext uri="{28A0092B-C50C-407E-A947-70E740481C1C}"/>
                      </a:extLst>
                    </a:blip>
                    <a:srcRect/>
                    <a:stretch>
                      <a:fillRect/>
                    </a:stretch>
                  </pic:blipFill>
                  <pic:spPr bwMode="auto">
                    <a:xfrm>
                      <a:off x="0" y="0"/>
                      <a:ext cx="3394075"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Inline XBRL Instance Document (*)</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Schema Document (*)</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Calculation Linkbase Document (*)</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Definition Linkbase Document (*)</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Label Linkbase Document (*)</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Presentation Linkbase Document (*)</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p>
      <w:pPr>
        <w:spacing w:after="0" w:line="215"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471170</wp:posOffset>
            </wp:positionV>
            <wp:extent cx="715962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Exhibit</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10.14</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10.15</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10.16</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10.17</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10.18</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10.19</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21</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22</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23</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24</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31.1</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31.2</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32.1</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32.2</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95</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97</w:t>
      </w:r>
    </w:p>
    <w:p>
      <w:pPr>
        <w:spacing w:after="0" w:line="39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101.INS</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101.SCH</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101.CAL</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101.DEF</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101.LAB</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101.PRE</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104</w:t>
      </w:r>
    </w:p>
    <w:p>
      <w:pPr>
        <w:sectPr>
          <w:pgSz w:w="11900" w:h="16838" w:orient="portrait"/>
          <w:cols w:equalWidth="0" w:num="2">
            <w:col w:w="9840" w:space="420"/>
            <w:col w:w="820"/>
          </w:cols>
          <w:pgMar w:left="400" w:top="977" w:right="419" w:bottom="1440" w:gutter="0" w:footer="0" w:header="0"/>
        </w:sectPr>
      </w:pPr>
    </w:p>
    <w:bookmarkStart w:id="66" w:name="page67"/>
    <w:bookmarkEnd w:id="66"/>
    <w:p>
      <w:pPr>
        <w:ind w:left="10340"/>
        <w:spacing w:after="0"/>
        <w:rPr>
          <w:sz w:val="20"/>
          <w:szCs w:val="20"/>
          <w:color w:val="auto"/>
        </w:rPr>
      </w:pPr>
      <w:r>
        <w:rPr>
          <w:rFonts w:ascii="Arial" w:cs="Arial" w:eastAsia="Arial" w:hAnsi="Arial"/>
          <w:sz w:val="16"/>
          <w:szCs w:val="16"/>
          <w:b w:val="1"/>
          <w:bCs w:val="1"/>
          <w:color w:val="auto"/>
        </w:rPr>
        <w:t>Exhibit</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6"/>
          <w:szCs w:val="16"/>
          <w:color w:val="auto"/>
        </w:rPr>
        <w:t>(*) Filed with this Form 10-K</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6"/>
          <w:szCs w:val="16"/>
          <w:color w:val="auto"/>
        </w:rPr>
        <w:t>(**) Furnished with this Form 10-K</w:t>
      </w:r>
    </w:p>
    <w:p>
      <w:pPr>
        <w:spacing w:after="0" w:line="56" w:lineRule="exact"/>
        <w:rPr>
          <w:sz w:val="20"/>
          <w:szCs w:val="20"/>
          <w:color w:val="auto"/>
        </w:rPr>
      </w:pPr>
    </w:p>
    <w:p>
      <w:pPr>
        <w:ind w:left="80" w:right="1240"/>
        <w:spacing w:after="0" w:line="253" w:lineRule="auto"/>
        <w:tabs>
          <w:tab w:leader="none" w:pos="421" w:val="left"/>
        </w:tabs>
        <w:numPr>
          <w:ilvl w:val="0"/>
          <w:numId w:val="50"/>
        </w:numPr>
        <w:rPr>
          <w:rFonts w:ascii="Arial" w:cs="Arial" w:eastAsia="Arial" w:hAnsi="Arial"/>
          <w:sz w:val="16"/>
          <w:szCs w:val="16"/>
          <w:color w:val="auto"/>
        </w:rPr>
      </w:pPr>
      <w:r>
        <w:rPr>
          <w:rFonts w:ascii="Arial" w:cs="Arial" w:eastAsia="Arial" w:hAnsi="Arial"/>
          <w:sz w:val="16"/>
          <w:szCs w:val="16"/>
          <w:color w:val="auto"/>
        </w:rPr>
        <w:t>Certain of the exhibits and schedules to this exhibit have been omitted in accordance with Regulation S-K Item 601(b)(2). SLB agrees to furnish supplementally a copy of all omitted exhibits and schedules to the SEC upon its request.</w:t>
      </w:r>
    </w:p>
    <w:p>
      <w:pPr>
        <w:ind w:left="80"/>
        <w:spacing w:after="0"/>
        <w:rPr>
          <w:rFonts w:ascii="Arial" w:cs="Arial" w:eastAsia="Arial" w:hAnsi="Arial"/>
          <w:sz w:val="16"/>
          <w:szCs w:val="16"/>
          <w:color w:val="auto"/>
        </w:rPr>
      </w:pPr>
      <w:r>
        <w:rPr>
          <w:rFonts w:ascii="Arial" w:cs="Arial" w:eastAsia="Arial" w:hAnsi="Arial"/>
          <w:sz w:val="16"/>
          <w:szCs w:val="16"/>
          <w:color w:val="auto"/>
        </w:rPr>
        <w:t>(+) Management contracts or compensatory plans or arrangements</w:t>
      </w:r>
    </w:p>
    <w:p>
      <w:pPr>
        <w:spacing w:after="0" w:line="173" w:lineRule="exact"/>
        <w:rPr>
          <w:sz w:val="20"/>
          <w:szCs w:val="20"/>
          <w:color w:val="auto"/>
        </w:rPr>
      </w:pPr>
    </w:p>
    <w:p>
      <w:pPr>
        <w:jc w:val="both"/>
        <w:ind w:left="80"/>
        <w:spacing w:after="0" w:line="260" w:lineRule="auto"/>
        <w:rPr>
          <w:sz w:val="20"/>
          <w:szCs w:val="20"/>
          <w:color w:val="auto"/>
        </w:rPr>
      </w:pPr>
      <w:r>
        <w:rPr>
          <w:rFonts w:ascii="Arial" w:cs="Arial" w:eastAsia="Arial" w:hAnsi="Arial"/>
          <w:sz w:val="16"/>
          <w:szCs w:val="16"/>
          <w:color w:val="auto"/>
        </w:rPr>
        <w:t>The Exhibits filed herewith do not include certain instruments with respect to long-term debt of Schlumberger Limited and its subsidiaries, inasmuch as the total amount of debt authorized under any such instrument does not exceed 10 percent of the total assets of Schlumberger Limited and its subsidiaries on a consolidated basis. SLB agrees, pursuant to Item 601(b)(4)(iii) of Regulation S-K, that it will furnish a copy of any such instrument to the SEC upon request.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16. Form 10-K Summary.</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5962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977" w:right="419" w:bottom="1440" w:gutter="0" w:footer="0" w:header="0"/>
        </w:sectPr>
      </w:pPr>
    </w:p>
    <w:bookmarkStart w:id="67" w:name="page68"/>
    <w:bookmarkEnd w:id="67"/>
    <w:p>
      <w:pPr>
        <w:jc w:val="center"/>
        <w:spacing w:after="0"/>
        <w:rPr>
          <w:sz w:val="20"/>
          <w:szCs w:val="20"/>
          <w:color w:val="auto"/>
        </w:rPr>
      </w:pPr>
      <w:r>
        <w:rPr>
          <w:rFonts w:ascii="Arial" w:cs="Arial" w:eastAsia="Arial" w:hAnsi="Arial"/>
          <w:sz w:val="16"/>
          <w:szCs w:val="16"/>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34" w:lineRule="exact"/>
        <w:rPr>
          <w:sz w:val="20"/>
          <w:szCs w:val="20"/>
          <w:color w:val="auto"/>
        </w:rPr>
      </w:pPr>
    </w:p>
    <w:p>
      <w:pPr>
        <w:ind w:left="20"/>
        <w:spacing w:after="0"/>
        <w:tabs>
          <w:tab w:leader="none" w:pos="680" w:val="left"/>
          <w:tab w:leader="none" w:pos="71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January 22, 2025</w:t>
      </w:r>
      <w:r>
        <w:rPr>
          <w:sz w:val="20"/>
          <w:szCs w:val="20"/>
          <w:color w:val="auto"/>
        </w:rPr>
        <w:tab/>
      </w:r>
      <w:r>
        <w:rPr>
          <w:rFonts w:ascii="Arial" w:cs="Arial" w:eastAsia="Arial" w:hAnsi="Arial"/>
          <w:sz w:val="15"/>
          <w:szCs w:val="15"/>
          <w:color w:val="auto"/>
        </w:rPr>
        <w:t>SCHLUMBERGER LIMITED</w:t>
      </w:r>
    </w:p>
    <w:p>
      <w:pPr>
        <w:spacing w:after="0" w:line="189" w:lineRule="exact"/>
        <w:rPr>
          <w:sz w:val="20"/>
          <w:szCs w:val="20"/>
          <w:color w:val="auto"/>
        </w:rPr>
      </w:pPr>
    </w:p>
    <w:p>
      <w:pPr>
        <w:ind w:left="6700"/>
        <w:spacing w:after="0"/>
        <w:tabs>
          <w:tab w:leader="none" w:pos="7140" w:val="left"/>
        </w:tabs>
        <w:rPr>
          <w:sz w:val="20"/>
          <w:szCs w:val="20"/>
          <w:color w:val="auto"/>
        </w:rPr>
      </w:pPr>
      <w:r>
        <w:rPr>
          <w:rFonts w:ascii="Arial" w:cs="Arial" w:eastAsia="Arial" w:hAnsi="Arial"/>
          <w:sz w:val="16"/>
          <w:szCs w:val="16"/>
          <w:color w:val="auto"/>
        </w:rPr>
        <w:t>By:</w:t>
        <w:tab/>
        <w:t>/s/ H</w:t>
      </w:r>
      <w:r>
        <w:rPr>
          <w:rFonts w:ascii="Arial" w:cs="Arial" w:eastAsia="Arial" w:hAnsi="Arial"/>
          <w:sz w:val="10"/>
          <w:szCs w:val="10"/>
          <w:color w:val="auto"/>
        </w:rPr>
        <w:t>oward</w:t>
      </w:r>
      <w:r>
        <w:rPr>
          <w:rFonts w:ascii="Arial" w:cs="Arial" w:eastAsia="Arial" w:hAnsi="Arial"/>
          <w:sz w:val="16"/>
          <w:szCs w:val="16"/>
          <w:color w:val="auto"/>
        </w:rPr>
        <w:t xml:space="preserve"> G</w:t>
      </w:r>
      <w:r>
        <w:rPr>
          <w:rFonts w:ascii="Arial" w:cs="Arial" w:eastAsia="Arial" w:hAnsi="Arial"/>
          <w:sz w:val="10"/>
          <w:szCs w:val="10"/>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4535170</wp:posOffset>
            </wp:positionH>
            <wp:positionV relativeFrom="paragraph">
              <wp:posOffset>10795</wp:posOffset>
            </wp:positionV>
            <wp:extent cx="260350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7">
                      <a:extLst>
                        <a:ext uri="{28A0092B-C50C-407E-A947-70E740481C1C}"/>
                      </a:extLst>
                    </a:blip>
                    <a:srcRect/>
                    <a:stretch>
                      <a:fillRect/>
                    </a:stretch>
                  </pic:blipFill>
                  <pic:spPr bwMode="auto">
                    <a:xfrm>
                      <a:off x="0" y="0"/>
                      <a:ext cx="2603500" cy="8255"/>
                    </a:xfrm>
                    <a:prstGeom prst="rect">
                      <a:avLst/>
                    </a:prstGeom>
                    <a:noFill/>
                  </pic:spPr>
                </pic:pic>
              </a:graphicData>
            </a:graphic>
          </wp:anchor>
        </w:drawing>
      </w:r>
    </w:p>
    <w:p>
      <w:pPr>
        <w:spacing w:after="0" w:line="12" w:lineRule="exact"/>
        <w:rPr>
          <w:sz w:val="20"/>
          <w:szCs w:val="20"/>
          <w:color w:val="auto"/>
        </w:rPr>
      </w:pPr>
    </w:p>
    <w:p>
      <w:pPr>
        <w:ind w:left="7160"/>
        <w:spacing w:after="0"/>
        <w:rPr>
          <w:sz w:val="20"/>
          <w:szCs w:val="20"/>
          <w:color w:val="auto"/>
        </w:rPr>
      </w:pPr>
      <w:r>
        <w:rPr>
          <w:rFonts w:ascii="Arial" w:cs="Arial" w:eastAsia="Arial" w:hAnsi="Arial"/>
          <w:sz w:val="16"/>
          <w:szCs w:val="16"/>
          <w:b w:val="1"/>
          <w:bCs w:val="1"/>
          <w:color w:val="auto"/>
        </w:rPr>
        <w:t>Howard Guild</w:t>
      </w:r>
    </w:p>
    <w:p>
      <w:pPr>
        <w:spacing w:after="0" w:line="2" w:lineRule="exact"/>
        <w:rPr>
          <w:sz w:val="20"/>
          <w:szCs w:val="20"/>
          <w:color w:val="auto"/>
        </w:rPr>
      </w:pPr>
    </w:p>
    <w:p>
      <w:pPr>
        <w:ind w:left="7160"/>
        <w:spacing w:after="0"/>
        <w:rPr>
          <w:sz w:val="20"/>
          <w:szCs w:val="20"/>
          <w:color w:val="auto"/>
        </w:rPr>
      </w:pPr>
      <w:r>
        <w:rPr>
          <w:rFonts w:ascii="Arial" w:cs="Arial" w:eastAsia="Arial" w:hAnsi="Arial"/>
          <w:sz w:val="16"/>
          <w:szCs w:val="16"/>
          <w:b w:val="1"/>
          <w:bCs w:val="1"/>
          <w:color w:val="auto"/>
        </w:rPr>
        <w:t>Chief Accounting Officer</w:t>
      </w:r>
    </w:p>
    <w:p>
      <w:pPr>
        <w:spacing w:after="0" w:line="21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460" w:type="dxa"/>
            <w:vAlign w:val="bottom"/>
          </w:tcPr>
          <w:p>
            <w:pPr>
              <w:ind w:left="2500"/>
              <w:spacing w:after="0"/>
              <w:rPr>
                <w:sz w:val="20"/>
                <w:szCs w:val="20"/>
                <w:color w:val="auto"/>
              </w:rPr>
            </w:pPr>
            <w:r>
              <w:rPr>
                <w:rFonts w:ascii="Arial" w:cs="Arial" w:eastAsia="Arial" w:hAnsi="Arial"/>
                <w:sz w:val="16"/>
                <w:szCs w:val="16"/>
                <w:b w:val="1"/>
                <w:bCs w:val="1"/>
                <w:color w:val="auto"/>
              </w:rPr>
              <w:t>Name</w:t>
            </w:r>
          </w:p>
        </w:tc>
        <w:tc>
          <w:tcPr>
            <w:tcW w:w="5780" w:type="dxa"/>
            <w:vAlign w:val="bottom"/>
          </w:tcPr>
          <w:p>
            <w:pPr>
              <w:ind w:left="2840"/>
              <w:spacing w:after="0"/>
              <w:rPr>
                <w:sz w:val="20"/>
                <w:szCs w:val="20"/>
                <w:color w:val="auto"/>
              </w:rPr>
            </w:pPr>
            <w:r>
              <w:rPr>
                <w:rFonts w:ascii="Arial" w:cs="Arial" w:eastAsia="Arial" w:hAnsi="Arial"/>
                <w:sz w:val="16"/>
                <w:szCs w:val="16"/>
                <w:b w:val="1"/>
                <w:bCs w:val="1"/>
                <w:color w:val="auto"/>
              </w:rPr>
              <w:t>Title</w:t>
            </w:r>
          </w:p>
        </w:tc>
      </w:tr>
      <w:tr>
        <w:trPr>
          <w:trHeight w:val="355"/>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5780" w:type="dxa"/>
            <w:vAlign w:val="bottom"/>
          </w:tcPr>
          <w:p>
            <w:pPr>
              <w:ind w:left="240"/>
              <w:spacing w:after="0"/>
              <w:rPr>
                <w:sz w:val="20"/>
                <w:szCs w:val="20"/>
                <w:color w:val="auto"/>
              </w:rPr>
            </w:pPr>
            <w:r>
              <w:rPr>
                <w:rFonts w:ascii="Arial" w:cs="Arial" w:eastAsia="Arial" w:hAnsi="Arial"/>
                <w:sz w:val="16"/>
                <w:szCs w:val="16"/>
                <w:color w:val="auto"/>
              </w:rPr>
              <w:t>Chief Executive Officer and Director</w:t>
            </w:r>
          </w:p>
        </w:tc>
      </w:tr>
      <w:tr>
        <w:trPr>
          <w:trHeight w:val="204"/>
        </w:trPr>
        <w:tc>
          <w:tcPr>
            <w:tcW w:w="5460" w:type="dxa"/>
            <w:vAlign w:val="bottom"/>
          </w:tcPr>
          <w:p>
            <w:pPr>
              <w:jc w:val="center"/>
              <w:spacing w:after="0"/>
              <w:rPr>
                <w:sz w:val="20"/>
                <w:szCs w:val="20"/>
                <w:color w:val="auto"/>
              </w:rPr>
            </w:pPr>
            <w:r>
              <w:rPr>
                <w:rFonts w:ascii="Arial" w:cs="Arial" w:eastAsia="Arial" w:hAnsi="Arial"/>
                <w:sz w:val="16"/>
                <w:szCs w:val="16"/>
                <w:color w:val="auto"/>
              </w:rPr>
              <w:t>Olivier Le Peuch</w:t>
            </w:r>
          </w:p>
        </w:tc>
        <w:tc>
          <w:tcPr>
            <w:tcW w:w="5780" w:type="dxa"/>
            <w:vAlign w:val="bottom"/>
          </w:tcPr>
          <w:p>
            <w:pPr>
              <w:ind w:left="240"/>
              <w:spacing w:after="0"/>
              <w:rPr>
                <w:sz w:val="20"/>
                <w:szCs w:val="20"/>
                <w:color w:val="auto"/>
              </w:rPr>
            </w:pPr>
            <w:r>
              <w:rPr>
                <w:rFonts w:ascii="Arial" w:cs="Arial" w:eastAsia="Arial" w:hAnsi="Arial"/>
                <w:sz w:val="16"/>
                <w:szCs w:val="16"/>
                <w:color w:val="auto"/>
              </w:rPr>
              <w:t>(Principal Executive Officer)</w:t>
            </w:r>
          </w:p>
        </w:tc>
      </w:tr>
      <w:tr>
        <w:trPr>
          <w:trHeight w:val="349"/>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S</w:t>
            </w:r>
            <w:r>
              <w:rPr>
                <w:rFonts w:ascii="Arial" w:cs="Arial" w:eastAsia="Arial" w:hAnsi="Arial"/>
                <w:sz w:val="10"/>
                <w:szCs w:val="10"/>
                <w:color w:val="auto"/>
              </w:rPr>
              <w:t>tephane</w:t>
            </w:r>
            <w:r>
              <w:rPr>
                <w:rFonts w:ascii="Arial" w:cs="Arial" w:eastAsia="Arial" w:hAnsi="Arial"/>
                <w:sz w:val="16"/>
                <w:szCs w:val="16"/>
                <w:color w:val="auto"/>
              </w:rPr>
              <w:t xml:space="preserve"> B</w:t>
            </w:r>
            <w:r>
              <w:rPr>
                <w:rFonts w:ascii="Arial" w:cs="Arial" w:eastAsia="Arial" w:hAnsi="Arial"/>
                <w:sz w:val="10"/>
                <w:szCs w:val="10"/>
                <w:color w:val="auto"/>
              </w:rPr>
              <w:t>iguet</w:t>
            </w:r>
          </w:p>
        </w:tc>
        <w:tc>
          <w:tcPr>
            <w:tcW w:w="5780" w:type="dxa"/>
            <w:vAlign w:val="bottom"/>
          </w:tcPr>
          <w:p>
            <w:pPr>
              <w:ind w:left="240"/>
              <w:spacing w:after="0"/>
              <w:rPr>
                <w:sz w:val="20"/>
                <w:szCs w:val="20"/>
                <w:color w:val="auto"/>
              </w:rPr>
            </w:pPr>
            <w:r>
              <w:rPr>
                <w:rFonts w:ascii="Arial" w:cs="Arial" w:eastAsia="Arial" w:hAnsi="Arial"/>
                <w:sz w:val="16"/>
                <w:szCs w:val="16"/>
                <w:color w:val="auto"/>
              </w:rPr>
              <w:t>Executive Vice President and Chief Financial Officer</w:t>
            </w:r>
          </w:p>
        </w:tc>
      </w:tr>
      <w:tr>
        <w:trPr>
          <w:trHeight w:val="204"/>
        </w:trPr>
        <w:tc>
          <w:tcPr>
            <w:tcW w:w="5460" w:type="dxa"/>
            <w:vAlign w:val="bottom"/>
          </w:tcPr>
          <w:p>
            <w:pPr>
              <w:jc w:val="center"/>
              <w:spacing w:after="0"/>
              <w:rPr>
                <w:sz w:val="20"/>
                <w:szCs w:val="20"/>
                <w:color w:val="auto"/>
              </w:rPr>
            </w:pPr>
            <w:r>
              <w:rPr>
                <w:rFonts w:ascii="Arial" w:cs="Arial" w:eastAsia="Arial" w:hAnsi="Arial"/>
                <w:sz w:val="16"/>
                <w:szCs w:val="16"/>
                <w:color w:val="auto"/>
                <w:w w:val="99"/>
              </w:rPr>
              <w:t>Stephane Biguet</w:t>
            </w:r>
          </w:p>
        </w:tc>
        <w:tc>
          <w:tcPr>
            <w:tcW w:w="5780" w:type="dxa"/>
            <w:vAlign w:val="bottom"/>
          </w:tcPr>
          <w:p>
            <w:pPr>
              <w:ind w:left="240"/>
              <w:spacing w:after="0"/>
              <w:rPr>
                <w:sz w:val="20"/>
                <w:szCs w:val="20"/>
                <w:color w:val="auto"/>
              </w:rPr>
            </w:pPr>
            <w:r>
              <w:rPr>
                <w:rFonts w:ascii="Arial" w:cs="Arial" w:eastAsia="Arial" w:hAnsi="Arial"/>
                <w:sz w:val="16"/>
                <w:szCs w:val="16"/>
                <w:color w:val="auto"/>
              </w:rPr>
              <w:t>(Principal Financial Officer)</w:t>
            </w:r>
          </w:p>
        </w:tc>
      </w:tr>
      <w:tr>
        <w:trPr>
          <w:trHeight w:val="349"/>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H</w:t>
            </w:r>
            <w:r>
              <w:rPr>
                <w:rFonts w:ascii="Arial" w:cs="Arial" w:eastAsia="Arial" w:hAnsi="Arial"/>
                <w:sz w:val="10"/>
                <w:szCs w:val="10"/>
                <w:color w:val="auto"/>
              </w:rPr>
              <w:t>oward</w:t>
            </w:r>
            <w:r>
              <w:rPr>
                <w:rFonts w:ascii="Arial" w:cs="Arial" w:eastAsia="Arial" w:hAnsi="Arial"/>
                <w:sz w:val="16"/>
                <w:szCs w:val="16"/>
                <w:color w:val="auto"/>
              </w:rPr>
              <w:t xml:space="preserve"> G</w:t>
            </w:r>
            <w:r>
              <w:rPr>
                <w:rFonts w:ascii="Arial" w:cs="Arial" w:eastAsia="Arial" w:hAnsi="Arial"/>
                <w:sz w:val="10"/>
                <w:szCs w:val="10"/>
                <w:color w:val="auto"/>
              </w:rPr>
              <w:t>uild</w:t>
            </w:r>
          </w:p>
        </w:tc>
        <w:tc>
          <w:tcPr>
            <w:tcW w:w="5780" w:type="dxa"/>
            <w:vAlign w:val="bottom"/>
          </w:tcPr>
          <w:p>
            <w:pPr>
              <w:ind w:left="240"/>
              <w:spacing w:after="0"/>
              <w:rPr>
                <w:sz w:val="20"/>
                <w:szCs w:val="20"/>
                <w:color w:val="auto"/>
              </w:rPr>
            </w:pPr>
            <w:r>
              <w:rPr>
                <w:rFonts w:ascii="Arial" w:cs="Arial" w:eastAsia="Arial" w:hAnsi="Arial"/>
                <w:sz w:val="16"/>
                <w:szCs w:val="16"/>
                <w:color w:val="auto"/>
              </w:rPr>
              <w:t>Chief Accounting Officer</w:t>
            </w:r>
          </w:p>
        </w:tc>
      </w:tr>
      <w:tr>
        <w:trPr>
          <w:trHeight w:val="204"/>
        </w:trPr>
        <w:tc>
          <w:tcPr>
            <w:tcW w:w="5460" w:type="dxa"/>
            <w:vAlign w:val="bottom"/>
          </w:tcPr>
          <w:p>
            <w:pPr>
              <w:jc w:val="center"/>
              <w:spacing w:after="0"/>
              <w:rPr>
                <w:sz w:val="20"/>
                <w:szCs w:val="20"/>
                <w:color w:val="auto"/>
              </w:rPr>
            </w:pPr>
            <w:r>
              <w:rPr>
                <w:rFonts w:ascii="Arial" w:cs="Arial" w:eastAsia="Arial" w:hAnsi="Arial"/>
                <w:sz w:val="16"/>
                <w:szCs w:val="16"/>
                <w:color w:val="auto"/>
                <w:w w:val="99"/>
              </w:rPr>
              <w:t>Howard Guild</w:t>
            </w:r>
          </w:p>
        </w:tc>
        <w:tc>
          <w:tcPr>
            <w:tcW w:w="5780" w:type="dxa"/>
            <w:vAlign w:val="bottom"/>
          </w:tcPr>
          <w:p>
            <w:pPr>
              <w:ind w:left="240"/>
              <w:spacing w:after="0"/>
              <w:rPr>
                <w:sz w:val="20"/>
                <w:szCs w:val="20"/>
                <w:color w:val="auto"/>
              </w:rPr>
            </w:pPr>
            <w:r>
              <w:rPr>
                <w:rFonts w:ascii="Arial" w:cs="Arial" w:eastAsia="Arial" w:hAnsi="Arial"/>
                <w:sz w:val="16"/>
                <w:szCs w:val="16"/>
                <w:color w:val="auto"/>
              </w:rPr>
              <w:t>(Principal Accounting Officer)</w:t>
            </w:r>
          </w:p>
        </w:tc>
      </w:tr>
      <w:tr>
        <w:trPr>
          <w:trHeight w:val="349"/>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5780" w:type="dxa"/>
            <w:vAlign w:val="bottom"/>
          </w:tcPr>
          <w:p>
            <w:pPr>
              <w:ind w:left="240"/>
              <w:spacing w:after="0"/>
              <w:rPr>
                <w:sz w:val="20"/>
                <w:szCs w:val="20"/>
                <w:color w:val="auto"/>
              </w:rPr>
            </w:pPr>
            <w:r>
              <w:rPr>
                <w:rFonts w:ascii="Arial" w:cs="Arial" w:eastAsia="Arial" w:hAnsi="Arial"/>
                <w:sz w:val="16"/>
                <w:szCs w:val="16"/>
                <w:color w:val="auto"/>
              </w:rPr>
              <w:t>Director</w:t>
            </w:r>
          </w:p>
        </w:tc>
      </w:tr>
      <w:tr>
        <w:trPr>
          <w:trHeight w:val="204"/>
        </w:trPr>
        <w:tc>
          <w:tcPr>
            <w:tcW w:w="5460" w:type="dxa"/>
            <w:vAlign w:val="bottom"/>
          </w:tcPr>
          <w:p>
            <w:pPr>
              <w:jc w:val="center"/>
              <w:spacing w:after="0"/>
              <w:rPr>
                <w:sz w:val="20"/>
                <w:szCs w:val="20"/>
                <w:color w:val="auto"/>
              </w:rPr>
            </w:pPr>
            <w:r>
              <w:rPr>
                <w:rFonts w:ascii="Arial" w:cs="Arial" w:eastAsia="Arial" w:hAnsi="Arial"/>
                <w:sz w:val="16"/>
                <w:szCs w:val="16"/>
                <w:color w:val="auto"/>
                <w:w w:val="99"/>
              </w:rPr>
              <w:t>Peter Coleman</w:t>
            </w:r>
          </w:p>
        </w:tc>
        <w:tc>
          <w:tcPr>
            <w:tcW w:w="5780" w:type="dxa"/>
            <w:vAlign w:val="bottom"/>
          </w:tcPr>
          <w:p>
            <w:pPr>
              <w:spacing w:after="0"/>
              <w:rPr>
                <w:sz w:val="17"/>
                <w:szCs w:val="17"/>
                <w:color w:val="auto"/>
              </w:rPr>
            </w:pPr>
          </w:p>
        </w:tc>
      </w:tr>
      <w:tr>
        <w:trPr>
          <w:trHeight w:val="349"/>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5780" w:type="dxa"/>
            <w:vAlign w:val="bottom"/>
          </w:tcPr>
          <w:p>
            <w:pPr>
              <w:ind w:left="240"/>
              <w:spacing w:after="0"/>
              <w:rPr>
                <w:sz w:val="20"/>
                <w:szCs w:val="20"/>
                <w:color w:val="auto"/>
              </w:rPr>
            </w:pPr>
            <w:r>
              <w:rPr>
                <w:rFonts w:ascii="Arial" w:cs="Arial" w:eastAsia="Arial" w:hAnsi="Arial"/>
                <w:sz w:val="16"/>
                <w:szCs w:val="16"/>
                <w:color w:val="auto"/>
              </w:rPr>
              <w:t>Director</w:t>
            </w:r>
          </w:p>
        </w:tc>
      </w:tr>
      <w:tr>
        <w:trPr>
          <w:trHeight w:val="204"/>
        </w:trPr>
        <w:tc>
          <w:tcPr>
            <w:tcW w:w="5460" w:type="dxa"/>
            <w:vAlign w:val="bottom"/>
          </w:tcPr>
          <w:p>
            <w:pPr>
              <w:jc w:val="center"/>
              <w:spacing w:after="0"/>
              <w:rPr>
                <w:sz w:val="20"/>
                <w:szCs w:val="20"/>
                <w:color w:val="auto"/>
              </w:rPr>
            </w:pPr>
            <w:r>
              <w:rPr>
                <w:rFonts w:ascii="Arial" w:cs="Arial" w:eastAsia="Arial" w:hAnsi="Arial"/>
                <w:sz w:val="16"/>
                <w:szCs w:val="16"/>
                <w:color w:val="auto"/>
                <w:w w:val="99"/>
              </w:rPr>
              <w:t>Patrick de La Chevardière</w:t>
            </w:r>
          </w:p>
        </w:tc>
        <w:tc>
          <w:tcPr>
            <w:tcW w:w="5780" w:type="dxa"/>
            <w:vAlign w:val="bottom"/>
          </w:tcPr>
          <w:p>
            <w:pPr>
              <w:spacing w:after="0"/>
              <w:rPr>
                <w:sz w:val="17"/>
                <w:szCs w:val="17"/>
                <w:color w:val="auto"/>
              </w:rPr>
            </w:pPr>
          </w:p>
        </w:tc>
      </w:tr>
      <w:tr>
        <w:trPr>
          <w:trHeight w:val="349"/>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5780" w:type="dxa"/>
            <w:vAlign w:val="bottom"/>
          </w:tcPr>
          <w:p>
            <w:pPr>
              <w:ind w:left="240"/>
              <w:spacing w:after="0"/>
              <w:rPr>
                <w:sz w:val="20"/>
                <w:szCs w:val="20"/>
                <w:color w:val="auto"/>
              </w:rPr>
            </w:pPr>
            <w:r>
              <w:rPr>
                <w:rFonts w:ascii="Arial" w:cs="Arial" w:eastAsia="Arial" w:hAnsi="Arial"/>
                <w:sz w:val="16"/>
                <w:szCs w:val="16"/>
                <w:color w:val="auto"/>
              </w:rPr>
              <w:t>Director</w:t>
            </w:r>
          </w:p>
        </w:tc>
      </w:tr>
      <w:tr>
        <w:trPr>
          <w:trHeight w:val="204"/>
        </w:trPr>
        <w:tc>
          <w:tcPr>
            <w:tcW w:w="5460" w:type="dxa"/>
            <w:vAlign w:val="bottom"/>
          </w:tcPr>
          <w:p>
            <w:pPr>
              <w:jc w:val="center"/>
              <w:spacing w:after="0"/>
              <w:rPr>
                <w:sz w:val="20"/>
                <w:szCs w:val="20"/>
                <w:color w:val="auto"/>
              </w:rPr>
            </w:pPr>
            <w:r>
              <w:rPr>
                <w:rFonts w:ascii="Arial" w:cs="Arial" w:eastAsia="Arial" w:hAnsi="Arial"/>
                <w:sz w:val="16"/>
                <w:szCs w:val="16"/>
                <w:color w:val="auto"/>
                <w:w w:val="99"/>
              </w:rPr>
              <w:t>Miguel M. Galuccio</w:t>
            </w:r>
          </w:p>
        </w:tc>
        <w:tc>
          <w:tcPr>
            <w:tcW w:w="5780" w:type="dxa"/>
            <w:vAlign w:val="bottom"/>
          </w:tcPr>
          <w:p>
            <w:pPr>
              <w:spacing w:after="0"/>
              <w:rPr>
                <w:sz w:val="17"/>
                <w:szCs w:val="17"/>
                <w:color w:val="auto"/>
              </w:rPr>
            </w:pPr>
          </w:p>
        </w:tc>
      </w:tr>
      <w:tr>
        <w:trPr>
          <w:trHeight w:val="349"/>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5780" w:type="dxa"/>
            <w:vAlign w:val="bottom"/>
          </w:tcPr>
          <w:p>
            <w:pPr>
              <w:ind w:left="240"/>
              <w:spacing w:after="0"/>
              <w:rPr>
                <w:sz w:val="20"/>
                <w:szCs w:val="20"/>
                <w:color w:val="auto"/>
              </w:rPr>
            </w:pPr>
            <w:r>
              <w:rPr>
                <w:rFonts w:ascii="Arial" w:cs="Arial" w:eastAsia="Arial" w:hAnsi="Arial"/>
                <w:sz w:val="16"/>
                <w:szCs w:val="16"/>
                <w:color w:val="auto"/>
              </w:rPr>
              <w:t>Chairman of the Board</w:t>
            </w:r>
          </w:p>
        </w:tc>
      </w:tr>
      <w:tr>
        <w:trPr>
          <w:trHeight w:val="204"/>
        </w:trPr>
        <w:tc>
          <w:tcPr>
            <w:tcW w:w="5460" w:type="dxa"/>
            <w:vAlign w:val="bottom"/>
          </w:tcPr>
          <w:p>
            <w:pPr>
              <w:jc w:val="center"/>
              <w:spacing w:after="0"/>
              <w:rPr>
                <w:sz w:val="20"/>
                <w:szCs w:val="20"/>
                <w:color w:val="auto"/>
              </w:rPr>
            </w:pPr>
            <w:r>
              <w:rPr>
                <w:rFonts w:ascii="Arial" w:cs="Arial" w:eastAsia="Arial" w:hAnsi="Arial"/>
                <w:sz w:val="16"/>
                <w:szCs w:val="16"/>
                <w:color w:val="auto"/>
              </w:rPr>
              <w:t>James Hackett</w:t>
            </w:r>
          </w:p>
        </w:tc>
        <w:tc>
          <w:tcPr>
            <w:tcW w:w="5780" w:type="dxa"/>
            <w:vAlign w:val="bottom"/>
          </w:tcPr>
          <w:p>
            <w:pPr>
              <w:spacing w:after="0"/>
              <w:rPr>
                <w:sz w:val="17"/>
                <w:szCs w:val="17"/>
                <w:color w:val="auto"/>
              </w:rPr>
            </w:pPr>
          </w:p>
        </w:tc>
      </w:tr>
      <w:tr>
        <w:trPr>
          <w:trHeight w:val="349"/>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5780" w:type="dxa"/>
            <w:vAlign w:val="bottom"/>
          </w:tcPr>
          <w:p>
            <w:pPr>
              <w:ind w:left="240"/>
              <w:spacing w:after="0"/>
              <w:rPr>
                <w:sz w:val="20"/>
                <w:szCs w:val="20"/>
                <w:color w:val="auto"/>
              </w:rPr>
            </w:pPr>
            <w:r>
              <w:rPr>
                <w:rFonts w:ascii="Arial" w:cs="Arial" w:eastAsia="Arial" w:hAnsi="Arial"/>
                <w:sz w:val="16"/>
                <w:szCs w:val="16"/>
                <w:color w:val="auto"/>
              </w:rPr>
              <w:t>Director</w:t>
            </w:r>
          </w:p>
        </w:tc>
      </w:tr>
      <w:tr>
        <w:trPr>
          <w:trHeight w:val="204"/>
        </w:trPr>
        <w:tc>
          <w:tcPr>
            <w:tcW w:w="5460" w:type="dxa"/>
            <w:vAlign w:val="bottom"/>
          </w:tcPr>
          <w:p>
            <w:pPr>
              <w:jc w:val="center"/>
              <w:spacing w:after="0"/>
              <w:rPr>
                <w:sz w:val="20"/>
                <w:szCs w:val="20"/>
                <w:color w:val="auto"/>
              </w:rPr>
            </w:pPr>
            <w:r>
              <w:rPr>
                <w:rFonts w:ascii="Arial" w:cs="Arial" w:eastAsia="Arial" w:hAnsi="Arial"/>
                <w:sz w:val="16"/>
                <w:szCs w:val="16"/>
                <w:color w:val="auto"/>
              </w:rPr>
              <w:t>Samuel Leupold</w:t>
            </w:r>
          </w:p>
        </w:tc>
        <w:tc>
          <w:tcPr>
            <w:tcW w:w="5780" w:type="dxa"/>
            <w:vAlign w:val="bottom"/>
          </w:tcPr>
          <w:p>
            <w:pPr>
              <w:spacing w:after="0"/>
              <w:rPr>
                <w:sz w:val="17"/>
                <w:szCs w:val="17"/>
                <w:color w:val="auto"/>
              </w:rPr>
            </w:pPr>
          </w:p>
        </w:tc>
      </w:tr>
      <w:tr>
        <w:trPr>
          <w:trHeight w:val="349"/>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5780" w:type="dxa"/>
            <w:vAlign w:val="bottom"/>
          </w:tcPr>
          <w:p>
            <w:pPr>
              <w:ind w:left="240"/>
              <w:spacing w:after="0"/>
              <w:rPr>
                <w:sz w:val="20"/>
                <w:szCs w:val="20"/>
                <w:color w:val="auto"/>
              </w:rPr>
            </w:pPr>
            <w:r>
              <w:rPr>
                <w:rFonts w:ascii="Arial" w:cs="Arial" w:eastAsia="Arial" w:hAnsi="Arial"/>
                <w:sz w:val="16"/>
                <w:szCs w:val="16"/>
                <w:color w:val="auto"/>
              </w:rPr>
              <w:t>Director</w:t>
            </w:r>
          </w:p>
        </w:tc>
      </w:tr>
      <w:tr>
        <w:trPr>
          <w:trHeight w:val="204"/>
        </w:trPr>
        <w:tc>
          <w:tcPr>
            <w:tcW w:w="5460" w:type="dxa"/>
            <w:vAlign w:val="bottom"/>
          </w:tcPr>
          <w:p>
            <w:pPr>
              <w:jc w:val="center"/>
              <w:spacing w:after="0"/>
              <w:rPr>
                <w:sz w:val="20"/>
                <w:szCs w:val="20"/>
                <w:color w:val="auto"/>
              </w:rPr>
            </w:pPr>
            <w:r>
              <w:rPr>
                <w:rFonts w:ascii="Arial" w:cs="Arial" w:eastAsia="Arial" w:hAnsi="Arial"/>
                <w:sz w:val="16"/>
                <w:szCs w:val="16"/>
                <w:color w:val="auto"/>
              </w:rPr>
              <w:t>Tatiana A. Mitrova</w:t>
            </w:r>
          </w:p>
        </w:tc>
        <w:tc>
          <w:tcPr>
            <w:tcW w:w="5780" w:type="dxa"/>
            <w:vAlign w:val="bottom"/>
          </w:tcPr>
          <w:p>
            <w:pPr>
              <w:spacing w:after="0"/>
              <w:rPr>
                <w:sz w:val="17"/>
                <w:szCs w:val="17"/>
                <w:color w:val="auto"/>
              </w:rPr>
            </w:pPr>
          </w:p>
        </w:tc>
      </w:tr>
      <w:tr>
        <w:trPr>
          <w:trHeight w:val="349"/>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5780" w:type="dxa"/>
            <w:vAlign w:val="bottom"/>
          </w:tcPr>
          <w:p>
            <w:pPr>
              <w:ind w:left="240"/>
              <w:spacing w:after="0"/>
              <w:rPr>
                <w:sz w:val="20"/>
                <w:szCs w:val="20"/>
                <w:color w:val="auto"/>
              </w:rPr>
            </w:pPr>
            <w:r>
              <w:rPr>
                <w:rFonts w:ascii="Arial" w:cs="Arial" w:eastAsia="Arial" w:hAnsi="Arial"/>
                <w:sz w:val="16"/>
                <w:szCs w:val="16"/>
                <w:color w:val="auto"/>
              </w:rPr>
              <w:t>Director</w:t>
            </w:r>
          </w:p>
        </w:tc>
      </w:tr>
      <w:tr>
        <w:trPr>
          <w:trHeight w:val="204"/>
        </w:trPr>
        <w:tc>
          <w:tcPr>
            <w:tcW w:w="5460" w:type="dxa"/>
            <w:vAlign w:val="bottom"/>
          </w:tcPr>
          <w:p>
            <w:pPr>
              <w:jc w:val="center"/>
              <w:spacing w:after="0"/>
              <w:rPr>
                <w:sz w:val="20"/>
                <w:szCs w:val="20"/>
                <w:color w:val="auto"/>
              </w:rPr>
            </w:pPr>
            <w:r>
              <w:rPr>
                <w:rFonts w:ascii="Arial" w:cs="Arial" w:eastAsia="Arial" w:hAnsi="Arial"/>
                <w:sz w:val="16"/>
                <w:szCs w:val="16"/>
                <w:color w:val="auto"/>
                <w:w w:val="99"/>
              </w:rPr>
              <w:t>Maria Moræus Hanssen</w:t>
            </w:r>
          </w:p>
        </w:tc>
        <w:tc>
          <w:tcPr>
            <w:tcW w:w="5780" w:type="dxa"/>
            <w:vAlign w:val="bottom"/>
          </w:tcPr>
          <w:p>
            <w:pPr>
              <w:spacing w:after="0"/>
              <w:rPr>
                <w:sz w:val="17"/>
                <w:szCs w:val="17"/>
                <w:color w:val="auto"/>
              </w:rPr>
            </w:pPr>
          </w:p>
        </w:tc>
      </w:tr>
      <w:tr>
        <w:trPr>
          <w:trHeight w:val="349"/>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5780" w:type="dxa"/>
            <w:vAlign w:val="bottom"/>
          </w:tcPr>
          <w:p>
            <w:pPr>
              <w:ind w:left="240"/>
              <w:spacing w:after="0"/>
              <w:rPr>
                <w:sz w:val="20"/>
                <w:szCs w:val="20"/>
                <w:color w:val="auto"/>
              </w:rPr>
            </w:pPr>
            <w:r>
              <w:rPr>
                <w:rFonts w:ascii="Arial" w:cs="Arial" w:eastAsia="Arial" w:hAnsi="Arial"/>
                <w:sz w:val="16"/>
                <w:szCs w:val="16"/>
                <w:color w:val="auto"/>
              </w:rPr>
              <w:t>Director</w:t>
            </w:r>
          </w:p>
        </w:tc>
      </w:tr>
      <w:tr>
        <w:trPr>
          <w:trHeight w:val="204"/>
        </w:trPr>
        <w:tc>
          <w:tcPr>
            <w:tcW w:w="5460" w:type="dxa"/>
            <w:vAlign w:val="bottom"/>
          </w:tcPr>
          <w:p>
            <w:pPr>
              <w:jc w:val="center"/>
              <w:spacing w:after="0"/>
              <w:rPr>
                <w:sz w:val="20"/>
                <w:szCs w:val="20"/>
                <w:color w:val="auto"/>
              </w:rPr>
            </w:pPr>
            <w:r>
              <w:rPr>
                <w:rFonts w:ascii="Arial" w:cs="Arial" w:eastAsia="Arial" w:hAnsi="Arial"/>
                <w:sz w:val="16"/>
                <w:szCs w:val="16"/>
                <w:color w:val="auto"/>
                <w:w w:val="99"/>
              </w:rPr>
              <w:t>Vanitha Narayanan</w:t>
            </w:r>
          </w:p>
        </w:tc>
        <w:tc>
          <w:tcPr>
            <w:tcW w:w="5780" w:type="dxa"/>
            <w:vAlign w:val="bottom"/>
          </w:tcPr>
          <w:p>
            <w:pPr>
              <w:spacing w:after="0"/>
              <w:rPr>
                <w:sz w:val="17"/>
                <w:szCs w:val="17"/>
                <w:color w:val="auto"/>
              </w:rPr>
            </w:pPr>
          </w:p>
        </w:tc>
      </w:tr>
      <w:tr>
        <w:trPr>
          <w:trHeight w:val="349"/>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5780" w:type="dxa"/>
            <w:vAlign w:val="bottom"/>
          </w:tcPr>
          <w:p>
            <w:pPr>
              <w:ind w:left="240"/>
              <w:spacing w:after="0"/>
              <w:rPr>
                <w:sz w:val="20"/>
                <w:szCs w:val="20"/>
                <w:color w:val="auto"/>
              </w:rPr>
            </w:pPr>
            <w:r>
              <w:rPr>
                <w:rFonts w:ascii="Arial" w:cs="Arial" w:eastAsia="Arial" w:hAnsi="Arial"/>
                <w:sz w:val="16"/>
                <w:szCs w:val="16"/>
                <w:color w:val="auto"/>
              </w:rPr>
              <w:t>Director</w:t>
            </w:r>
          </w:p>
        </w:tc>
      </w:tr>
      <w:tr>
        <w:trPr>
          <w:trHeight w:val="204"/>
        </w:trPr>
        <w:tc>
          <w:tcPr>
            <w:tcW w:w="5460" w:type="dxa"/>
            <w:vAlign w:val="bottom"/>
          </w:tcPr>
          <w:p>
            <w:pPr>
              <w:jc w:val="center"/>
              <w:spacing w:after="0"/>
              <w:rPr>
                <w:sz w:val="20"/>
                <w:szCs w:val="20"/>
                <w:color w:val="auto"/>
              </w:rPr>
            </w:pPr>
            <w:r>
              <w:rPr>
                <w:rFonts w:ascii="Arial" w:cs="Arial" w:eastAsia="Arial" w:hAnsi="Arial"/>
                <w:sz w:val="16"/>
                <w:szCs w:val="16"/>
                <w:color w:val="auto"/>
                <w:w w:val="99"/>
              </w:rPr>
              <w:t>Jeff W. Sheets</w:t>
            </w:r>
          </w:p>
        </w:tc>
        <w:tc>
          <w:tcPr>
            <w:tcW w:w="5780" w:type="dxa"/>
            <w:vAlign w:val="bottom"/>
          </w:tcPr>
          <w:p>
            <w:pPr>
              <w:spacing w:after="0"/>
              <w:rPr>
                <w:sz w:val="17"/>
                <w:szCs w:val="17"/>
                <w:color w:val="auto"/>
              </w:rPr>
            </w:pPr>
          </w:p>
        </w:tc>
      </w:tr>
      <w:tr>
        <w:trPr>
          <w:trHeight w:val="349"/>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5780" w:type="dxa"/>
            <w:vAlign w:val="bottom"/>
          </w:tcPr>
          <w:p>
            <w:pPr>
              <w:ind w:left="240"/>
              <w:spacing w:after="0"/>
              <w:rPr>
                <w:sz w:val="20"/>
                <w:szCs w:val="20"/>
                <w:color w:val="auto"/>
              </w:rPr>
            </w:pPr>
            <w:r>
              <w:rPr>
                <w:rFonts w:ascii="Arial" w:cs="Arial" w:eastAsia="Arial" w:hAnsi="Arial"/>
                <w:sz w:val="16"/>
                <w:szCs w:val="16"/>
                <w:color w:val="auto"/>
              </w:rPr>
              <w:t>Director</w:t>
            </w:r>
          </w:p>
        </w:tc>
      </w:tr>
      <w:tr>
        <w:trPr>
          <w:trHeight w:val="204"/>
        </w:trPr>
        <w:tc>
          <w:tcPr>
            <w:tcW w:w="5460" w:type="dxa"/>
            <w:vAlign w:val="bottom"/>
          </w:tcPr>
          <w:p>
            <w:pPr>
              <w:jc w:val="center"/>
              <w:spacing w:after="0"/>
              <w:rPr>
                <w:sz w:val="20"/>
                <w:szCs w:val="20"/>
                <w:color w:val="auto"/>
              </w:rPr>
            </w:pPr>
            <w:r>
              <w:rPr>
                <w:rFonts w:ascii="Arial" w:cs="Arial" w:eastAsia="Arial" w:hAnsi="Arial"/>
                <w:sz w:val="16"/>
                <w:szCs w:val="16"/>
                <w:color w:val="auto"/>
              </w:rPr>
              <w:t>Ulrich Spiesshofer</w:t>
            </w:r>
          </w:p>
        </w:tc>
        <w:tc>
          <w:tcPr>
            <w:tcW w:w="5780" w:type="dxa"/>
            <w:vAlign w:val="bottom"/>
          </w:tcPr>
          <w:p>
            <w:pPr>
              <w:spacing w:after="0"/>
              <w:rPr>
                <w:sz w:val="17"/>
                <w:szCs w:val="17"/>
                <w:color w:val="auto"/>
              </w:rPr>
            </w:pPr>
          </w:p>
        </w:tc>
      </w:tr>
      <w:tr>
        <w:trPr>
          <w:trHeight w:val="349"/>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D</w:t>
            </w:r>
            <w:r>
              <w:rPr>
                <w:rFonts w:ascii="Arial" w:cs="Arial" w:eastAsia="Arial" w:hAnsi="Arial"/>
                <w:sz w:val="10"/>
                <w:szCs w:val="10"/>
                <w:color w:val="auto"/>
              </w:rPr>
              <w:t>ianne</w:t>
            </w:r>
            <w:r>
              <w:rPr>
                <w:rFonts w:ascii="Arial" w:cs="Arial" w:eastAsia="Arial" w:hAnsi="Arial"/>
                <w:sz w:val="16"/>
                <w:szCs w:val="16"/>
                <w:color w:val="auto"/>
              </w:rPr>
              <w:t xml:space="preserve"> B. R</w:t>
            </w:r>
            <w:r>
              <w:rPr>
                <w:rFonts w:ascii="Arial" w:cs="Arial" w:eastAsia="Arial" w:hAnsi="Arial"/>
                <w:sz w:val="10"/>
                <w:szCs w:val="10"/>
                <w:color w:val="auto"/>
              </w:rPr>
              <w:t>alston</w:t>
            </w:r>
          </w:p>
        </w:tc>
        <w:tc>
          <w:tcPr>
            <w:tcW w:w="5780" w:type="dxa"/>
            <w:vAlign w:val="bottom"/>
          </w:tcPr>
          <w:p>
            <w:pPr>
              <w:ind w:left="240"/>
              <w:spacing w:after="0"/>
              <w:rPr>
                <w:sz w:val="20"/>
                <w:szCs w:val="20"/>
                <w:color w:val="auto"/>
              </w:rPr>
            </w:pPr>
            <w:r>
              <w:rPr>
                <w:rFonts w:ascii="Arial" w:cs="Arial" w:eastAsia="Arial" w:hAnsi="Arial"/>
                <w:sz w:val="16"/>
                <w:szCs w:val="16"/>
                <w:color w:val="auto"/>
              </w:rPr>
              <w:t>January 22, 2025</w:t>
            </w:r>
          </w:p>
        </w:tc>
      </w:tr>
      <w:tr>
        <w:trPr>
          <w:trHeight w:val="204"/>
        </w:trPr>
        <w:tc>
          <w:tcPr>
            <w:tcW w:w="5460" w:type="dxa"/>
            <w:vAlign w:val="bottom"/>
          </w:tcPr>
          <w:p>
            <w:pPr>
              <w:jc w:val="center"/>
              <w:spacing w:after="0"/>
              <w:rPr>
                <w:sz w:val="20"/>
                <w:szCs w:val="20"/>
                <w:color w:val="auto"/>
              </w:rPr>
            </w:pPr>
            <w:r>
              <w:rPr>
                <w:rFonts w:ascii="Arial" w:cs="Arial" w:eastAsia="Arial" w:hAnsi="Arial"/>
                <w:sz w:val="16"/>
                <w:szCs w:val="16"/>
                <w:color w:val="auto"/>
                <w:w w:val="99"/>
              </w:rPr>
              <w:t>*By Dianne B. Ralston, Attorney-in-Fact</w:t>
            </w:r>
          </w:p>
        </w:tc>
        <w:tc>
          <w:tcPr>
            <w:tcW w:w="5780" w:type="dxa"/>
            <w:vAlign w:val="bottom"/>
          </w:tcPr>
          <w:p>
            <w:pPr>
              <w:spacing w:after="0"/>
              <w:rPr>
                <w:sz w:val="17"/>
                <w:szCs w:val="17"/>
                <w:color w:val="auto"/>
              </w:rPr>
            </w:pPr>
          </w:p>
        </w:tc>
      </w:tr>
      <w:tr>
        <w:trPr>
          <w:trHeight w:val="785"/>
        </w:trPr>
        <w:tc>
          <w:tcPr>
            <w:tcW w:w="5460" w:type="dxa"/>
            <w:vAlign w:val="bottom"/>
          </w:tcPr>
          <w:p>
            <w:pPr>
              <w:spacing w:after="0"/>
              <w:rPr>
                <w:sz w:val="24"/>
                <w:szCs w:val="24"/>
                <w:color w:val="auto"/>
              </w:rPr>
            </w:pPr>
          </w:p>
        </w:tc>
        <w:tc>
          <w:tcPr>
            <w:tcW w:w="5780" w:type="dxa"/>
            <w:vAlign w:val="bottom"/>
          </w:tcPr>
          <w:p>
            <w:pPr>
              <w:ind w:left="80"/>
              <w:spacing w:after="0"/>
              <w:rPr>
                <w:sz w:val="20"/>
                <w:szCs w:val="20"/>
                <w:color w:val="auto"/>
              </w:rPr>
            </w:pPr>
            <w:r>
              <w:rPr>
                <w:rFonts w:ascii="Arial" w:cs="Arial" w:eastAsia="Arial" w:hAnsi="Arial"/>
                <w:sz w:val="16"/>
                <w:szCs w:val="16"/>
                <w:color w:val="auto"/>
              </w:rPr>
              <w:t>68</w:t>
            </w:r>
          </w:p>
        </w:tc>
      </w:tr>
      <w:tr>
        <w:trPr>
          <w:trHeight w:val="742"/>
        </w:trPr>
        <w:tc>
          <w:tcPr>
            <w:tcW w:w="546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6"/>
          <w:szCs w:val="16"/>
          <w:b w:val="1"/>
          <w:bCs w:val="1"/>
          <w:u w:val="single" w:color="auto"/>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145415</wp:posOffset>
            </wp:positionV>
            <wp:extent cx="895985" cy="53276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0">
                      <a:extLst>
                        <a:ext uri="{28A0092B-C50C-407E-A947-70E740481C1C}"/>
                      </a:extLst>
                    </a:blip>
                    <a:srcRect/>
                    <a:stretch>
                      <a:fillRect/>
                    </a:stretch>
                  </pic:blipFill>
                  <pic:spPr bwMode="auto">
                    <a:xfrm>
                      <a:off x="0" y="0"/>
                      <a:ext cx="895985" cy="532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60"/>
        <w:spacing w:after="0"/>
        <w:rPr>
          <w:sz w:val="20"/>
          <w:szCs w:val="20"/>
          <w:color w:val="auto"/>
        </w:rPr>
      </w:pPr>
      <w:r>
        <w:rPr>
          <w:rFonts w:ascii="Arial" w:cs="Arial" w:eastAsia="Arial" w:hAnsi="Arial"/>
          <w:sz w:val="25"/>
          <w:szCs w:val="25"/>
          <w:color w:val="auto"/>
        </w:rPr>
        <w:t>Securities Transactions Policy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Employees and directors of SLB may not trade SLB stock, or stock of another company, if you have material, non-public information (often referred to as insider information) related to SLB or that other company.</w:t>
      </w:r>
    </w:p>
    <w:p>
      <w:pPr>
        <w:spacing w:after="0" w:line="147" w:lineRule="exact"/>
        <w:rPr>
          <w:sz w:val="20"/>
          <w:szCs w:val="20"/>
          <w:color w:val="auto"/>
        </w:rPr>
      </w:pPr>
    </w:p>
    <w:p>
      <w:pPr>
        <w:ind w:left="760" w:right="240" w:hanging="379"/>
        <w:spacing w:after="0" w:line="241" w:lineRule="auto"/>
        <w:tabs>
          <w:tab w:leader="none" w:pos="7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Who must follow this policy</w:t>
      </w:r>
      <w:r>
        <w:rPr>
          <w:rFonts w:ascii="Arial" w:cs="Arial" w:eastAsia="Arial" w:hAnsi="Arial"/>
          <w:sz w:val="18"/>
          <w:szCs w:val="18"/>
          <w:color w:val="auto"/>
        </w:rPr>
        <w:t>: All SLB employees and directors. Also, family members who live at your residence must follow this</w:t>
      </w:r>
      <w:r>
        <w:rPr>
          <w:rFonts w:ascii="Arial" w:cs="Arial" w:eastAsia="Arial" w:hAnsi="Arial"/>
          <w:sz w:val="18"/>
          <w:szCs w:val="18"/>
          <w:b w:val="1"/>
          <w:bCs w:val="1"/>
          <w:color w:val="auto"/>
        </w:rPr>
        <w:t xml:space="preserve"> </w:t>
      </w:r>
      <w:r>
        <w:rPr>
          <w:rFonts w:ascii="Arial" w:cs="Arial" w:eastAsia="Arial" w:hAnsi="Arial"/>
          <w:sz w:val="18"/>
          <w:szCs w:val="18"/>
          <w:color w:val="auto"/>
        </w:rPr>
        <w:t>policy.</w:t>
      </w:r>
    </w:p>
    <w:p>
      <w:pPr>
        <w:ind w:left="760" w:hanging="379"/>
        <w:spacing w:after="0"/>
        <w:tabs>
          <w:tab w:leader="none" w:pos="7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What is a trade</w:t>
      </w:r>
      <w:r>
        <w:rPr>
          <w:rFonts w:ascii="Arial" w:cs="Arial" w:eastAsia="Arial" w:hAnsi="Arial"/>
          <w:sz w:val="18"/>
          <w:szCs w:val="18"/>
          <w:color w:val="auto"/>
        </w:rPr>
        <w:t>:</w:t>
      </w:r>
    </w:p>
    <w:p>
      <w:pPr>
        <w:spacing w:after="0" w:line="5" w:lineRule="exact"/>
        <w:rPr>
          <w:sz w:val="20"/>
          <w:szCs w:val="20"/>
          <w:color w:val="auto"/>
        </w:rPr>
      </w:pPr>
    </w:p>
    <w:p>
      <w:pPr>
        <w:ind w:left="1500" w:hanging="370"/>
        <w:spacing w:after="0"/>
        <w:tabs>
          <w:tab w:leader="none" w:pos="1500" w:val="left"/>
        </w:tabs>
        <w:numPr>
          <w:ilvl w:val="1"/>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Buying SLB shares (including stock, options, puts, calls or similar instruments).</w:t>
      </w:r>
    </w:p>
    <w:p>
      <w:pPr>
        <w:spacing w:after="0" w:line="5" w:lineRule="exact"/>
        <w:rPr>
          <w:rFonts w:ascii="Times New Roman" w:cs="Times New Roman" w:eastAsia="Times New Roman" w:hAnsi="Times New Roman"/>
          <w:sz w:val="18"/>
          <w:szCs w:val="18"/>
          <w:color w:val="auto"/>
        </w:rPr>
      </w:pPr>
    </w:p>
    <w:p>
      <w:pPr>
        <w:ind w:left="1500" w:hanging="370"/>
        <w:spacing w:after="0"/>
        <w:tabs>
          <w:tab w:leader="none" w:pos="1500" w:val="left"/>
        </w:tabs>
        <w:numPr>
          <w:ilvl w:val="1"/>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Selling SLB shares (including stock, options, puts, calls or similar instruments).</w:t>
      </w:r>
    </w:p>
    <w:p>
      <w:pPr>
        <w:spacing w:after="0" w:line="5" w:lineRule="exact"/>
        <w:rPr>
          <w:rFonts w:ascii="Times New Roman" w:cs="Times New Roman" w:eastAsia="Times New Roman" w:hAnsi="Times New Roman"/>
          <w:sz w:val="18"/>
          <w:szCs w:val="18"/>
          <w:color w:val="auto"/>
        </w:rPr>
      </w:pPr>
    </w:p>
    <w:p>
      <w:pPr>
        <w:ind w:left="1500" w:hanging="370"/>
        <w:spacing w:after="0"/>
        <w:tabs>
          <w:tab w:leader="none" w:pos="1500" w:val="left"/>
        </w:tabs>
        <w:numPr>
          <w:ilvl w:val="1"/>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Tipping – passing along insider information to others so that they can trade or take advantage of the insider information.</w:t>
      </w:r>
    </w:p>
    <w:p>
      <w:pPr>
        <w:spacing w:after="0" w:line="5" w:lineRule="exact"/>
        <w:rPr>
          <w:rFonts w:ascii="Times New Roman" w:cs="Times New Roman" w:eastAsia="Times New Roman" w:hAnsi="Times New Roman"/>
          <w:sz w:val="18"/>
          <w:szCs w:val="18"/>
          <w:color w:val="auto"/>
        </w:rPr>
      </w:pPr>
    </w:p>
    <w:p>
      <w:pPr>
        <w:ind w:left="1500" w:hanging="370"/>
        <w:spacing w:after="0"/>
        <w:tabs>
          <w:tab w:leader="none" w:pos="1500" w:val="left"/>
        </w:tabs>
        <w:numPr>
          <w:ilvl w:val="1"/>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Trading shares of another company if you have insider information regarding that company.</w:t>
      </w:r>
    </w:p>
    <w:p>
      <w:pPr>
        <w:spacing w:after="0" w:line="5" w:lineRule="exact"/>
        <w:rPr>
          <w:rFonts w:ascii="Times New Roman" w:cs="Times New Roman" w:eastAsia="Times New Roman" w:hAnsi="Times New Roman"/>
          <w:sz w:val="18"/>
          <w:szCs w:val="18"/>
          <w:color w:val="auto"/>
        </w:rPr>
      </w:pPr>
    </w:p>
    <w:p>
      <w:pPr>
        <w:ind w:left="2260" w:right="160" w:hanging="381"/>
        <w:spacing w:after="0" w:line="231" w:lineRule="auto"/>
        <w:tabs>
          <w:tab w:leader="none" w:pos="2260" w:val="left"/>
        </w:tabs>
        <w:numPr>
          <w:ilvl w:val="2"/>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Because of the close relationship between SLB and its customers, it is </w:t>
      </w:r>
      <w:r>
        <w:rPr>
          <w:rFonts w:ascii="Arial" w:cs="Arial" w:eastAsia="Arial" w:hAnsi="Arial"/>
          <w:sz w:val="18"/>
          <w:szCs w:val="18"/>
          <w:u w:val="single" w:color="auto"/>
          <w:color w:val="auto"/>
        </w:rPr>
        <w:t>strongly recommended</w:t>
      </w:r>
      <w:r>
        <w:rPr>
          <w:rFonts w:ascii="Arial" w:cs="Arial" w:eastAsia="Arial" w:hAnsi="Arial"/>
          <w:sz w:val="18"/>
          <w:szCs w:val="18"/>
          <w:color w:val="auto"/>
        </w:rPr>
        <w:t xml:space="preserve"> that you only own shares in our customers via mutual funds or ETFs to eliminate the risk of violating this policy.</w:t>
      </w:r>
    </w:p>
    <w:p>
      <w:pPr>
        <w:ind w:left="1500" w:hanging="370"/>
        <w:spacing w:after="0"/>
        <w:tabs>
          <w:tab w:leader="none" w:pos="1500" w:val="left"/>
        </w:tabs>
        <w:numPr>
          <w:ilvl w:val="1"/>
          <w:numId w:val="52"/>
        </w:numPr>
        <w:rPr>
          <w:rFonts w:ascii="Times New Roman" w:cs="Times New Roman" w:eastAsia="Times New Roman" w:hAnsi="Times New Roman"/>
          <w:sz w:val="18"/>
          <w:szCs w:val="18"/>
          <w:u w:val="single" w:color="auto"/>
          <w:color w:val="auto"/>
        </w:rPr>
      </w:pPr>
      <w:r>
        <w:rPr>
          <w:rFonts w:ascii="Arial" w:cs="Arial" w:eastAsia="Arial" w:hAnsi="Arial"/>
          <w:sz w:val="18"/>
          <w:szCs w:val="18"/>
          <w:b w:val="1"/>
          <w:bCs w:val="1"/>
          <w:u w:val="single" w:color="auto"/>
          <w:color w:val="auto"/>
        </w:rPr>
        <w:t>No exceptions</w:t>
      </w:r>
      <w:r>
        <w:rPr>
          <w:rFonts w:ascii="Arial" w:cs="Arial" w:eastAsia="Arial" w:hAnsi="Arial"/>
          <w:sz w:val="18"/>
          <w:szCs w:val="18"/>
          <w:b w:val="1"/>
          <w:bCs w:val="1"/>
          <w:color w:val="auto"/>
        </w:rPr>
        <w:t xml:space="preserve"> </w:t>
      </w:r>
      <w:r>
        <w:rPr>
          <w:rFonts w:ascii="Arial" w:cs="Arial" w:eastAsia="Arial" w:hAnsi="Arial"/>
          <w:sz w:val="18"/>
          <w:szCs w:val="18"/>
          <w:color w:val="auto"/>
        </w:rPr>
        <w:t>– even in the event of a financial necessity or emergency, there is no exception to this policy.</w:t>
      </w:r>
    </w:p>
    <w:p>
      <w:pPr>
        <w:spacing w:after="0" w:line="5" w:lineRule="exact"/>
        <w:rPr>
          <w:rFonts w:ascii="Times New Roman" w:cs="Times New Roman" w:eastAsia="Times New Roman" w:hAnsi="Times New Roman"/>
          <w:sz w:val="18"/>
          <w:szCs w:val="18"/>
          <w:u w:val="single" w:color="auto"/>
          <w:color w:val="auto"/>
        </w:rPr>
      </w:pPr>
    </w:p>
    <w:p>
      <w:pPr>
        <w:ind w:left="760" w:right="180" w:hanging="379"/>
        <w:spacing w:after="0" w:line="231" w:lineRule="auto"/>
        <w:tabs>
          <w:tab w:leader="none" w:pos="76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Additional requirements for the Blackout Group </w:t>
      </w:r>
      <w:r>
        <w:rPr>
          <w:rFonts w:ascii="Arial" w:cs="Arial" w:eastAsia="Arial" w:hAnsi="Arial"/>
          <w:sz w:val="18"/>
          <w:szCs w:val="18"/>
          <w:color w:val="auto"/>
        </w:rPr>
        <w:t>– The legal team will identify officers, directors, and other employees that may</w:t>
      </w:r>
      <w:r>
        <w:rPr>
          <w:rFonts w:ascii="Arial" w:cs="Arial" w:eastAsia="Arial" w:hAnsi="Arial"/>
          <w:sz w:val="18"/>
          <w:szCs w:val="18"/>
          <w:b w:val="1"/>
          <w:bCs w:val="1"/>
          <w:color w:val="auto"/>
        </w:rPr>
        <w:t xml:space="preserve"> </w:t>
      </w:r>
      <w:r>
        <w:rPr>
          <w:rFonts w:ascii="Arial" w:cs="Arial" w:eastAsia="Arial" w:hAnsi="Arial"/>
          <w:sz w:val="18"/>
          <w:szCs w:val="18"/>
          <w:color w:val="auto"/>
        </w:rPr>
        <w:t>have more routine access to SLB insider information (referred to as the Blackout Group). These individuals will receive a “blackout notice“ that will advise periods when the Blackout Group is prohibited from trading SLB shares.</w:t>
      </w:r>
    </w:p>
    <w:p>
      <w:pPr>
        <w:ind w:left="760" w:right="120" w:hanging="379"/>
        <w:spacing w:after="0" w:line="231" w:lineRule="auto"/>
        <w:tabs>
          <w:tab w:leader="none" w:pos="76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Pre-clearance for officers and directors </w:t>
      </w:r>
      <w:r>
        <w:rPr>
          <w:rFonts w:ascii="Arial" w:cs="Arial" w:eastAsia="Arial" w:hAnsi="Arial"/>
          <w:sz w:val="18"/>
          <w:szCs w:val="18"/>
          <w:color w:val="auto"/>
        </w:rPr>
        <w:t>– SLB executive officers and directors must obtain pre-clearance before buying or selling</w:t>
      </w:r>
      <w:r>
        <w:rPr>
          <w:rFonts w:ascii="Arial" w:cs="Arial" w:eastAsia="Arial" w:hAnsi="Arial"/>
          <w:sz w:val="18"/>
          <w:szCs w:val="18"/>
          <w:b w:val="1"/>
          <w:bCs w:val="1"/>
          <w:color w:val="auto"/>
        </w:rPr>
        <w:t xml:space="preserve"> </w:t>
      </w:r>
      <w:r>
        <w:rPr>
          <w:rFonts w:ascii="Arial" w:cs="Arial" w:eastAsia="Arial" w:hAnsi="Arial"/>
          <w:sz w:val="18"/>
          <w:szCs w:val="18"/>
          <w:color w:val="auto"/>
        </w:rPr>
        <w:t>SLB shares. Executive officers and directors may not:</w:t>
      </w:r>
    </w:p>
    <w:p>
      <w:pPr>
        <w:ind w:left="1500" w:hanging="370"/>
        <w:spacing w:after="0"/>
        <w:tabs>
          <w:tab w:leader="none" w:pos="1500" w:val="left"/>
        </w:tabs>
        <w:numPr>
          <w:ilvl w:val="1"/>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engage in speculative trading, such as short sales or hedging transactions,</w:t>
      </w:r>
    </w:p>
    <w:p>
      <w:pPr>
        <w:spacing w:after="0" w:line="5" w:lineRule="exact"/>
        <w:rPr>
          <w:rFonts w:ascii="Times New Roman" w:cs="Times New Roman" w:eastAsia="Times New Roman" w:hAnsi="Times New Roman"/>
          <w:sz w:val="18"/>
          <w:szCs w:val="18"/>
          <w:color w:val="auto"/>
        </w:rPr>
      </w:pPr>
    </w:p>
    <w:p>
      <w:pPr>
        <w:ind w:left="1500" w:hanging="370"/>
        <w:spacing w:after="0"/>
        <w:tabs>
          <w:tab w:leader="none" w:pos="1500" w:val="left"/>
        </w:tabs>
        <w:numPr>
          <w:ilvl w:val="1"/>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utilize margin accounts for shares of SLB, or</w:t>
      </w:r>
    </w:p>
    <w:p>
      <w:pPr>
        <w:spacing w:after="0" w:line="5" w:lineRule="exact"/>
        <w:rPr>
          <w:rFonts w:ascii="Times New Roman" w:cs="Times New Roman" w:eastAsia="Times New Roman" w:hAnsi="Times New Roman"/>
          <w:sz w:val="18"/>
          <w:szCs w:val="18"/>
          <w:color w:val="auto"/>
        </w:rPr>
      </w:pPr>
    </w:p>
    <w:p>
      <w:pPr>
        <w:ind w:left="1500" w:hanging="370"/>
        <w:spacing w:after="0"/>
        <w:tabs>
          <w:tab w:leader="none" w:pos="1500" w:val="left"/>
        </w:tabs>
        <w:numPr>
          <w:ilvl w:val="1"/>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pledge SLB securities as collateral for a loan.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SLB executive officers may enter into a 10b5-1 trading plan in accordance with SLB’s 10b5-1 Trading Plan Standard.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Any violation of this Policy may subject the employee to disciplinary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887730" cy="6934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1">
                      <a:extLst>
                        <a:ext uri="{28A0092B-C50C-407E-A947-70E740481C1C}"/>
                      </a:extLst>
                    </a:blip>
                    <a:srcRect/>
                    <a:stretch>
                      <a:fillRect/>
                    </a:stretch>
                  </pic:blipFill>
                  <pic:spPr bwMode="auto">
                    <a:xfrm>
                      <a:off x="0" y="0"/>
                      <a:ext cx="887730" cy="69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Olivier Le Peuch</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1548765</wp:posOffset>
            </wp:positionV>
            <wp:extent cx="7159625"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951" w:right="379" w:bottom="1440"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5959475</wp:posOffset>
            </wp:positionV>
            <wp:extent cx="715962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900430</wp:posOffset>
            </wp:positionV>
            <wp:extent cx="7197090" cy="40576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4">
                      <a:clrChange>
                        <a:clrFrom>
                          <a:srgbClr val="FFFFFF"/>
                        </a:clrFrom>
                        <a:clrTo>
                          <a:srgbClr val="FFFFFF">
                            <a:alpha val="0"/>
                          </a:srgbClr>
                        </a:clrTo>
                      </a:clrChange>
                      <a:extLst>
                        <a:ext uri="{28A0092B-C50C-407E-A947-70E740481C1C}"/>
                      </a:extLst>
                    </a:blip>
                    <a:srcRect/>
                    <a:stretch>
                      <a:fillRect/>
                    </a:stretch>
                  </pic:blipFill>
                  <pic:spPr bwMode="auto">
                    <a:xfrm>
                      <a:off x="0" y="0"/>
                      <a:ext cx="7197090" cy="4057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166" w:lineRule="exact"/>
        <w:rPr>
          <w:sz w:val="20"/>
          <w:szCs w:val="20"/>
          <w:color w:val="auto"/>
        </w:rPr>
      </w:pPr>
    </w:p>
    <w:p>
      <w:pPr>
        <w:ind w:left="3880"/>
        <w:spacing w:after="0"/>
        <w:rPr>
          <w:sz w:val="20"/>
          <w:szCs w:val="20"/>
          <w:color w:val="auto"/>
        </w:rPr>
      </w:pPr>
      <w:r>
        <w:rPr>
          <w:rFonts w:ascii="Arial" w:cs="Arial" w:eastAsia="Arial" w:hAnsi="Arial"/>
          <w:sz w:val="25"/>
          <w:szCs w:val="25"/>
          <w:b w:val="1"/>
          <w:bCs w:val="1"/>
          <w:color w:val="auto"/>
        </w:rPr>
        <w:t>10b5-1 Trading Plans Standard</w:t>
      </w:r>
    </w:p>
    <w:p>
      <w:pPr>
        <w:spacing w:after="0" w:line="200" w:lineRule="exact"/>
        <w:rPr>
          <w:sz w:val="20"/>
          <w:szCs w:val="20"/>
          <w:color w:val="auto"/>
        </w:rPr>
      </w:pPr>
    </w:p>
    <w:p>
      <w:pPr>
        <w:spacing w:after="0" w:line="239" w:lineRule="exact"/>
        <w:rPr>
          <w:sz w:val="20"/>
          <w:szCs w:val="20"/>
          <w:color w:val="auto"/>
        </w:rPr>
      </w:pPr>
    </w:p>
    <w:p>
      <w:pPr>
        <w:ind w:right="60" w:firstLine="903"/>
        <w:spacing w:after="0" w:line="261" w:lineRule="auto"/>
        <w:rPr>
          <w:sz w:val="20"/>
          <w:szCs w:val="20"/>
          <w:color w:val="auto"/>
        </w:rPr>
      </w:pPr>
      <w:r>
        <w:rPr>
          <w:rFonts w:ascii="Arial" w:cs="Arial" w:eastAsia="Arial" w:hAnsi="Arial"/>
          <w:sz w:val="18"/>
          <w:szCs w:val="18"/>
          <w:color w:val="auto"/>
        </w:rPr>
        <w:t>An SLB executive officer may enter into a 10b5-1 trading plan with his or her broker with respect to SLB stock, as long as such trading plan meets the following requirements:</w:t>
      </w:r>
    </w:p>
    <w:p>
      <w:pPr>
        <w:spacing w:after="0" w:line="189" w:lineRule="exact"/>
        <w:rPr>
          <w:sz w:val="20"/>
          <w:szCs w:val="20"/>
          <w:color w:val="auto"/>
        </w:rPr>
      </w:pPr>
    </w:p>
    <w:p>
      <w:pPr>
        <w:ind w:left="1240" w:right="580" w:hanging="350"/>
        <w:spacing w:after="0" w:line="237" w:lineRule="auto"/>
        <w:tabs>
          <w:tab w:leader="none" w:pos="1240" w:val="left"/>
        </w:tabs>
        <w:numPr>
          <w:ilvl w:val="0"/>
          <w:numId w:val="53"/>
        </w:numPr>
        <w:rPr>
          <w:rFonts w:ascii="Times New Roman" w:cs="Times New Roman" w:eastAsia="Times New Roman" w:hAnsi="Times New Roman"/>
          <w:sz w:val="20"/>
          <w:szCs w:val="20"/>
          <w:color w:val="auto"/>
        </w:rPr>
      </w:pPr>
      <w:r>
        <w:rPr>
          <w:rFonts w:ascii="Arial" w:cs="Arial" w:eastAsia="Arial" w:hAnsi="Arial"/>
          <w:sz w:val="18"/>
          <w:szCs w:val="18"/>
          <w:color w:val="auto"/>
        </w:rPr>
        <w:t>The plan must include instructions for the broker to execute multiple trades over a 12-month period. No single-trade plans are permitted.</w:t>
      </w:r>
    </w:p>
    <w:p>
      <w:pPr>
        <w:spacing w:after="0" w:line="100" w:lineRule="exact"/>
        <w:rPr>
          <w:rFonts w:ascii="Times New Roman" w:cs="Times New Roman" w:eastAsia="Times New Roman" w:hAnsi="Times New Roman"/>
          <w:sz w:val="20"/>
          <w:szCs w:val="20"/>
          <w:color w:val="auto"/>
        </w:rPr>
      </w:pPr>
    </w:p>
    <w:p>
      <w:pPr>
        <w:ind w:left="1240" w:right="1040" w:hanging="335"/>
        <w:spacing w:after="0" w:line="237" w:lineRule="auto"/>
        <w:tabs>
          <w:tab w:leader="none" w:pos="1240" w:val="left"/>
        </w:tabs>
        <w:numPr>
          <w:ilvl w:val="1"/>
          <w:numId w:val="53"/>
        </w:numPr>
        <w:rPr>
          <w:rFonts w:ascii="Times New Roman" w:cs="Times New Roman" w:eastAsia="Times New Roman" w:hAnsi="Times New Roman"/>
          <w:sz w:val="20"/>
          <w:szCs w:val="20"/>
          <w:color w:val="auto"/>
        </w:rPr>
      </w:pPr>
      <w:r>
        <w:rPr>
          <w:rFonts w:ascii="Arial" w:cs="Arial" w:eastAsia="Arial" w:hAnsi="Arial"/>
          <w:sz w:val="18"/>
          <w:szCs w:val="18"/>
          <w:color w:val="auto"/>
        </w:rPr>
        <w:t>The first trade under the plan may occur no earlier than 90 days following the date that the officer entered into the plan (which period may be extended up to 120 days if required by SEC rules).</w:t>
      </w:r>
    </w:p>
    <w:p>
      <w:pPr>
        <w:spacing w:after="0" w:line="87" w:lineRule="exact"/>
        <w:rPr>
          <w:rFonts w:ascii="Times New Roman" w:cs="Times New Roman" w:eastAsia="Times New Roman" w:hAnsi="Times New Roman"/>
          <w:sz w:val="20"/>
          <w:szCs w:val="20"/>
          <w:color w:val="auto"/>
        </w:rPr>
      </w:pPr>
    </w:p>
    <w:p>
      <w:pPr>
        <w:ind w:left="1240" w:right="660" w:hanging="335"/>
        <w:spacing w:after="0" w:line="237" w:lineRule="auto"/>
        <w:tabs>
          <w:tab w:leader="none" w:pos="1240" w:val="left"/>
        </w:tabs>
        <w:numPr>
          <w:ilvl w:val="1"/>
          <w:numId w:val="53"/>
        </w:numPr>
        <w:rPr>
          <w:rFonts w:ascii="Times New Roman" w:cs="Times New Roman" w:eastAsia="Times New Roman" w:hAnsi="Times New Roman"/>
          <w:sz w:val="20"/>
          <w:szCs w:val="20"/>
          <w:color w:val="auto"/>
        </w:rPr>
      </w:pPr>
      <w:r>
        <w:rPr>
          <w:rFonts w:ascii="Arial" w:cs="Arial" w:eastAsia="Arial" w:hAnsi="Arial"/>
          <w:sz w:val="18"/>
          <w:szCs w:val="18"/>
          <w:color w:val="auto"/>
        </w:rPr>
        <w:t>Aggregate sales under the plan may not result in the officer’s selling more than one-half of his or her total holdings of SLB securities over a 12-month period.</w:t>
      </w:r>
    </w:p>
    <w:p>
      <w:pPr>
        <w:spacing w:after="0" w:line="87" w:lineRule="exact"/>
        <w:rPr>
          <w:rFonts w:ascii="Times New Roman" w:cs="Times New Roman" w:eastAsia="Times New Roman" w:hAnsi="Times New Roman"/>
          <w:sz w:val="20"/>
          <w:szCs w:val="20"/>
          <w:color w:val="auto"/>
        </w:rPr>
      </w:pPr>
    </w:p>
    <w:p>
      <w:pPr>
        <w:ind w:left="1240" w:right="1120" w:hanging="335"/>
        <w:spacing w:after="0" w:line="237" w:lineRule="auto"/>
        <w:tabs>
          <w:tab w:leader="none" w:pos="1240" w:val="left"/>
        </w:tabs>
        <w:numPr>
          <w:ilvl w:val="1"/>
          <w:numId w:val="53"/>
        </w:numPr>
        <w:rPr>
          <w:rFonts w:ascii="Times New Roman" w:cs="Times New Roman" w:eastAsia="Times New Roman" w:hAnsi="Times New Roman"/>
          <w:sz w:val="20"/>
          <w:szCs w:val="20"/>
          <w:color w:val="auto"/>
        </w:rPr>
      </w:pPr>
      <w:r>
        <w:rPr>
          <w:rFonts w:ascii="Arial" w:cs="Arial" w:eastAsia="Arial" w:hAnsi="Arial"/>
          <w:sz w:val="18"/>
          <w:szCs w:val="18"/>
          <w:color w:val="auto"/>
        </w:rPr>
        <w:t>Aggregate sales under the plan may not result in the officer’s failure to comply with his or her minimum stock ownership requirement under SLB’s Executive Stock Ownership Guidelines.</w:t>
      </w:r>
    </w:p>
    <w:p>
      <w:pPr>
        <w:spacing w:after="0" w:line="100" w:lineRule="exact"/>
        <w:rPr>
          <w:rFonts w:ascii="Times New Roman" w:cs="Times New Roman" w:eastAsia="Times New Roman" w:hAnsi="Times New Roman"/>
          <w:sz w:val="20"/>
          <w:szCs w:val="20"/>
          <w:color w:val="auto"/>
        </w:rPr>
      </w:pPr>
    </w:p>
    <w:p>
      <w:pPr>
        <w:ind w:left="1240" w:right="680" w:hanging="335"/>
        <w:spacing w:after="0" w:line="276" w:lineRule="auto"/>
        <w:tabs>
          <w:tab w:leader="none" w:pos="1240" w:val="left"/>
        </w:tabs>
        <w:numPr>
          <w:ilvl w:val="1"/>
          <w:numId w:val="53"/>
        </w:numPr>
        <w:rPr>
          <w:rFonts w:ascii="Times New Roman" w:cs="Times New Roman" w:eastAsia="Times New Roman" w:hAnsi="Times New Roman"/>
          <w:sz w:val="18"/>
          <w:szCs w:val="18"/>
          <w:color w:val="auto"/>
        </w:rPr>
      </w:pPr>
      <w:r>
        <w:rPr>
          <w:rFonts w:ascii="Arial" w:cs="Arial" w:eastAsia="Arial" w:hAnsi="Arial"/>
          <w:sz w:val="17"/>
          <w:szCs w:val="17"/>
          <w:color w:val="auto"/>
        </w:rPr>
        <w:t>Concurrently with entering into the plan, the officer must deliver to the Chief Legal Officer an executed certification confirming that he or she is not in possession or aware of any material nonpublic information with respect to SLB.</w:t>
      </w:r>
    </w:p>
    <w:p>
      <w:pPr>
        <w:spacing w:after="0" w:line="56" w:lineRule="exact"/>
        <w:rPr>
          <w:rFonts w:ascii="Times New Roman" w:cs="Times New Roman" w:eastAsia="Times New Roman" w:hAnsi="Times New Roman"/>
          <w:sz w:val="18"/>
          <w:szCs w:val="18"/>
          <w:color w:val="auto"/>
        </w:rPr>
      </w:pPr>
    </w:p>
    <w:p>
      <w:pPr>
        <w:ind w:left="1280" w:hanging="375"/>
        <w:spacing w:after="0"/>
        <w:tabs>
          <w:tab w:leader="none" w:pos="1280" w:val="left"/>
        </w:tabs>
        <w:numPr>
          <w:ilvl w:val="1"/>
          <w:numId w:val="53"/>
        </w:numPr>
        <w:rPr>
          <w:rFonts w:ascii="Times New Roman" w:cs="Times New Roman" w:eastAsia="Times New Roman" w:hAnsi="Times New Roman"/>
          <w:sz w:val="20"/>
          <w:szCs w:val="20"/>
          <w:color w:val="auto"/>
        </w:rPr>
      </w:pPr>
      <w:r>
        <w:rPr>
          <w:rFonts w:ascii="Arial" w:cs="Arial" w:eastAsia="Arial" w:hAnsi="Arial"/>
          <w:sz w:val="18"/>
          <w:szCs w:val="18"/>
          <w:color w:val="auto"/>
        </w:rPr>
        <w:t>The plan must be approved by the Chief Legal Officer or their designee.</w:t>
      </w:r>
    </w:p>
    <w:p>
      <w:pPr>
        <w:spacing w:after="0" w:line="183" w:lineRule="exact"/>
        <w:rPr>
          <w:sz w:val="20"/>
          <w:szCs w:val="20"/>
          <w:color w:val="auto"/>
        </w:rPr>
      </w:pPr>
    </w:p>
    <w:p>
      <w:pPr>
        <w:ind w:left="120" w:right="660" w:firstLine="776"/>
        <w:spacing w:after="0" w:line="261" w:lineRule="auto"/>
        <w:rPr>
          <w:sz w:val="20"/>
          <w:szCs w:val="20"/>
          <w:color w:val="auto"/>
        </w:rPr>
      </w:pPr>
      <w:r>
        <w:rPr>
          <w:rFonts w:ascii="Arial" w:cs="Arial" w:eastAsia="Arial" w:hAnsi="Arial"/>
          <w:sz w:val="18"/>
          <w:szCs w:val="18"/>
          <w:color w:val="auto"/>
        </w:rPr>
        <w:t>Trades pursuant to an approved 10b5-1 Plan will not require pre-clearance and may occur during quarterly and special blackout periods. Please contact the Chief Legal Officer if you have questions regarding 10b5-1 Plans.</w:t>
      </w:r>
    </w:p>
    <w:p>
      <w:pPr>
        <w:spacing w:after="0" w:line="175" w:lineRule="exact"/>
        <w:rPr>
          <w:sz w:val="20"/>
          <w:szCs w:val="20"/>
          <w:color w:val="auto"/>
        </w:rPr>
      </w:pPr>
    </w:p>
    <w:p>
      <w:pPr>
        <w:ind w:left="120" w:firstLine="776"/>
        <w:spacing w:after="0" w:line="246" w:lineRule="auto"/>
        <w:rPr>
          <w:sz w:val="20"/>
          <w:szCs w:val="20"/>
          <w:color w:val="auto"/>
        </w:rPr>
      </w:pPr>
      <w:r>
        <w:rPr>
          <w:rFonts w:ascii="Arial" w:cs="Arial" w:eastAsia="Arial" w:hAnsi="Arial"/>
          <w:sz w:val="18"/>
          <w:szCs w:val="18"/>
          <w:color w:val="auto"/>
        </w:rPr>
        <w:t>An executive officer who enters into a 10b5-1 Plan is prohibited, for the duration of that Plan, from executing trades outside of that 10b5-1 Plan. No modifications or amendments to approved 10b5-1 plans are permitted, except with the express written authorization of the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1056005</wp:posOffset>
            </wp:positionV>
            <wp:extent cx="7159625"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60"/>
          </w:cols>
          <w:pgMar w:left="440" w:top="1440" w:right="599" w:bottom="1440" w:gutter="0" w:footer="0" w:header="0"/>
        </w:sectPr>
      </w:pPr>
    </w:p>
    <w:bookmarkStart w:id="71" w:name="page72"/>
    <w:bookmarkEnd w:id="71"/>
    <w:p>
      <w:pPr>
        <w:ind w:left="10440"/>
        <w:spacing w:after="0"/>
        <w:rPr>
          <w:sz w:val="20"/>
          <w:szCs w:val="20"/>
          <w:color w:val="auto"/>
        </w:rPr>
      </w:pPr>
      <w:r>
        <w:rPr>
          <w:rFonts w:ascii="Arial" w:cs="Arial" w:eastAsia="Arial" w:hAnsi="Arial"/>
          <w:sz w:val="16"/>
          <w:szCs w:val="16"/>
          <w:b w:val="1"/>
          <w:bCs w:val="1"/>
          <w:u w:val="single" w:color="auto"/>
          <w:color w:val="auto"/>
        </w:rPr>
        <w:t>Exhibit 21</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Significant Subsidiaries</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Listed below are the significant subsidiaries of Schlumberger Limited (Schlumberger N.V.) as of December 31, 2024, and the states or jurisdictions in which they are incorporated or organized. The indentation reflects the principal parenting of each subsidiary. The names of other subsidiaries have been omitted from the list below, since they would not constitute, in the aggregate, a significant subsidiary as of December 31, 2024.</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Schlumberger B.V., Netherlands</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Schlumberger Canada Limited, Canada</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Schlumberger Holdings Corporation, Delaware</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Cameron International Corporation, Delaware</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Schlumberger Technology Corporation, Texas</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Schlumberger Norge AS, Norway</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Schlumberger SA, France</w:t>
      </w:r>
    </w:p>
    <w:p>
      <w:pPr>
        <w:spacing w:after="0" w:line="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Services Petroliers Schlumberger, France</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Schlumberger UK Limited, UK</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SLB UK II Limited, UK</w:t>
      </w:r>
    </w:p>
    <w:p>
      <w:pPr>
        <w:spacing w:after="0" w:line="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Schlumberger Oilfield UK Limited, UK</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Schlumberger Oilfield Holdings Limited, BVI</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Schlumberger Holdings II Limited, BVI</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Dowell Schlumberger Corporation, BVI</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Schlumberger Logelco, Inc., Panama</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Schlumberger Middle East SA., Panama</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Schlumberger Offshore Services Limited, BVI</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Schlumberger Oilfield Eastern Ltd., BVI</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Schlumberger Overseas, SA, Panama</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Schlumberger Seaco, Inc., Panama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1238885</wp:posOffset>
            </wp:positionV>
            <wp:extent cx="7159625"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b w:val="1"/>
          <w:bCs w:val="1"/>
          <w:u w:val="single" w:color="auto"/>
          <w:color w:val="auto"/>
        </w:rPr>
        <w:t>Exhibit 22</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Issuers of Registered Guaranteed Debt Securities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Schlumberger Investment S.A., a société anonyme incorporated under the laws of the Grand Duchy of Luxembourg (“SISA”), and Schlumberger Finance Canada Ltd., a corporation incorporated under the laws of the Province of Alberta, Canada (“SFCL”), are both indirect wholly-owned subsidiaries of Schlumberger Limited (the “Guarantor”).</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December 31, 2024, (i) SISA was the issuer of its 4.500% Senior Notes due 2028, 2.650% Senior Notes due 2030, 4.850% Senior Notes due 2033, and 5.000% Senior Notes due 2034 (together, the “SISA Notes”), and (ii) SFCL was the issuer of its 1.400% Senior Notes due 2025 (the “SFCL Notes”). The Guarantor fully and unconditionally guarantees the SISA Notes and the SFCL Notes on a senior unsecured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1239520</wp:posOffset>
            </wp:positionV>
            <wp:extent cx="7159625"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73" w:name="page74"/>
    <w:bookmarkEnd w:id="73"/>
    <w:p>
      <w:pPr>
        <w:ind w:left="10440"/>
        <w:spacing w:after="0"/>
        <w:rPr>
          <w:sz w:val="20"/>
          <w:szCs w:val="20"/>
          <w:color w:val="auto"/>
        </w:rPr>
      </w:pPr>
      <w:r>
        <w:rPr>
          <w:rFonts w:ascii="Arial" w:cs="Arial" w:eastAsia="Arial" w:hAnsi="Arial"/>
          <w:sz w:val="16"/>
          <w:szCs w:val="16"/>
          <w:b w:val="1"/>
          <w:bCs w:val="1"/>
          <w:u w:val="single" w:color="auto"/>
          <w:color w:val="auto"/>
        </w:rPr>
        <w:t>Exhibit 23</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89" w:lineRule="exact"/>
        <w:rPr>
          <w:sz w:val="20"/>
          <w:szCs w:val="20"/>
          <w:color w:val="auto"/>
        </w:rPr>
      </w:pPr>
    </w:p>
    <w:p>
      <w:pPr>
        <w:jc w:val="both"/>
        <w:ind w:firstLine="1047"/>
        <w:spacing w:after="0" w:line="260"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333-124534; 333-151920; 333-173055, 333-188590; 333-207260; and 333-261482); on Form S-3 (Nos. 333-271711; and 333-273974); and on Form S-4 (Nos. 333-97899 and 333-278976); of Schlumberger Limited of our report dated January 22, 2025 relating to the consolidated financial statements and the effectiveness of internal control over financial reporting, which appears in this Form 10-K.</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178371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8">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Houston, Texas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January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1120140</wp:posOffset>
            </wp:positionV>
            <wp:extent cx="7159625"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u w:val="single" w:color="auto"/>
          <w:color w:val="auto"/>
        </w:rPr>
        <w:t>Exhibit 24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Powers of Attorney</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Each of the undersigned, in the capacity or capacities set forth below his or her signature as a member of the Board of Directors and/or an officer of Schlumberger Limited, a Curaçao company, hereby appoints Howard Guild and Dianne B. Ralston, or either of them, the attorney or attorneys of the undersigned, with full power of substitution and revocation, for and in the name, place and stead of the undersigned, to execute and file with the Securities and Exchange Commission the Annual Report on Form 10-K under the Securities Exchange Act of 1934 (the “Exchange Act”) for the fiscal year ended December 31, 2024, and any amendment or amendments to any such Annual Report on Form 10-K, and any agreements, consents or waivers related thereto, and to take any and all such other action for and in the name and place and stead of the undersigned as may be necessary or desirable in order to comply with the Exchange Act or the rules and regulations thereunder.</w:t>
      </w:r>
    </w:p>
    <w:p>
      <w:pPr>
        <w:sectPr>
          <w:pgSz w:w="11900" w:h="16838" w:orient="portrait"/>
          <w:cols w:equalWidth="0" w:num="1">
            <w:col w:w="11240"/>
          </w:cols>
          <w:pgMar w:left="320" w:top="14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/s/ Peter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17817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0">
                      <a:extLst>
                        <a:ext uri="{28A0092B-C50C-407E-A947-70E740481C1C}"/>
                      </a:extLst>
                    </a:blip>
                    <a:srcRect/>
                    <a:stretch>
                      <a:fillRect/>
                    </a:stretch>
                  </pic:blipFill>
                  <pic:spPr bwMode="auto">
                    <a:xfrm>
                      <a:off x="0" y="0"/>
                      <a:ext cx="3178175" cy="8255"/>
                    </a:xfrm>
                    <a:prstGeom prst="rect">
                      <a:avLst/>
                    </a:prstGeom>
                    <a:noFill/>
                  </pic:spPr>
                </pic:pic>
              </a:graphicData>
            </a:graphic>
          </wp:anchor>
        </w:drawing>
      </w:r>
    </w:p>
    <w:p>
      <w:pPr>
        <w:spacing w:after="0" w:line="7"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Peter Coleman</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7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 Patrick de La Chevardière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17817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1">
                      <a:extLst>
                        <a:ext uri="{28A0092B-C50C-407E-A947-70E740481C1C}"/>
                      </a:extLst>
                    </a:blip>
                    <a:srcRect/>
                    <a:stretch>
                      <a:fillRect/>
                    </a:stretch>
                  </pic:blipFill>
                  <pic:spPr bwMode="auto">
                    <a:xfrm>
                      <a:off x="0" y="0"/>
                      <a:ext cx="3178175" cy="8255"/>
                    </a:xfrm>
                    <a:prstGeom prst="rect">
                      <a:avLst/>
                    </a:prstGeom>
                    <a:noFill/>
                  </pic:spPr>
                </pic:pic>
              </a:graphicData>
            </a:graphic>
          </wp:anchor>
        </w:drawing>
      </w:r>
    </w:p>
    <w:p>
      <w:pPr>
        <w:spacing w:after="0" w:line="7"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Patrick de La Chevardière</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4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/s/ Miguel M. Galuccio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17817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2">
                      <a:extLst>
                        <a:ext uri="{28A0092B-C50C-407E-A947-70E740481C1C}"/>
                      </a:extLst>
                    </a:blip>
                    <a:srcRect/>
                    <a:stretch>
                      <a:fillRect/>
                    </a:stretch>
                  </pic:blipFill>
                  <pic:spPr bwMode="auto">
                    <a:xfrm>
                      <a:off x="0" y="0"/>
                      <a:ext cx="3178175" cy="8255"/>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Miguel M. Galuccio</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59"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/s/ James Hackett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17817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3">
                      <a:extLst>
                        <a:ext uri="{28A0092B-C50C-407E-A947-70E740481C1C}"/>
                      </a:extLst>
                    </a:blip>
                    <a:srcRect/>
                    <a:stretch>
                      <a:fillRect/>
                    </a:stretch>
                  </pic:blipFill>
                  <pic:spPr bwMode="auto">
                    <a:xfrm>
                      <a:off x="0" y="0"/>
                      <a:ext cx="3178175" cy="8255"/>
                    </a:xfrm>
                    <a:prstGeom prst="rect">
                      <a:avLst/>
                    </a:prstGeom>
                    <a:noFill/>
                  </pic:spPr>
                </pic:pic>
              </a:graphicData>
            </a:graphic>
          </wp:anchor>
        </w:drawing>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James Hackett</w:t>
      </w:r>
    </w:p>
    <w:p>
      <w:pPr>
        <w:spacing w:after="0" w:line="7"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Chairman of the Board</w:t>
      </w:r>
    </w:p>
    <w:p>
      <w:pPr>
        <w:spacing w:after="0" w:line="200" w:lineRule="exact"/>
        <w:rPr>
          <w:sz w:val="20"/>
          <w:szCs w:val="20"/>
          <w:color w:val="auto"/>
        </w:rPr>
      </w:pPr>
    </w:p>
    <w:p>
      <w:pPr>
        <w:spacing w:after="0" w:line="359"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17817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4">
                      <a:extLst>
                        <a:ext uri="{28A0092B-C50C-407E-A947-70E740481C1C}"/>
                      </a:extLst>
                    </a:blip>
                    <a:srcRect/>
                    <a:stretch>
                      <a:fillRect/>
                    </a:stretch>
                  </pic:blipFill>
                  <pic:spPr bwMode="auto">
                    <a:xfrm>
                      <a:off x="0" y="0"/>
                      <a:ext cx="3178175" cy="8255"/>
                    </a:xfrm>
                    <a:prstGeom prst="rect">
                      <a:avLst/>
                    </a:prstGeom>
                    <a:noFill/>
                  </pic:spPr>
                </pic:pic>
              </a:graphicData>
            </a:graphic>
          </wp:anchor>
        </w:drawing>
      </w:r>
    </w:p>
    <w:p>
      <w:pPr>
        <w:spacing w:after="0" w:line="7"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Olivier Le Peuch</w:t>
      </w:r>
    </w:p>
    <w:p>
      <w:pPr>
        <w:spacing w:after="0" w:line="7"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Chief Executive Officer and Director</w:t>
      </w:r>
    </w:p>
    <w:p>
      <w:pPr>
        <w:spacing w:after="0" w:line="200" w:lineRule="exact"/>
        <w:rPr>
          <w:sz w:val="20"/>
          <w:szCs w:val="20"/>
          <w:color w:val="auto"/>
        </w:rPr>
      </w:pPr>
    </w:p>
    <w:p>
      <w:pPr>
        <w:spacing w:after="0" w:line="370"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/s/ Samuel Leupold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17817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5">
                      <a:extLst>
                        <a:ext uri="{28A0092B-C50C-407E-A947-70E740481C1C}"/>
                      </a:extLst>
                    </a:blip>
                    <a:srcRect/>
                    <a:stretch>
                      <a:fillRect/>
                    </a:stretch>
                  </pic:blipFill>
                  <pic:spPr bwMode="auto">
                    <a:xfrm>
                      <a:off x="0" y="0"/>
                      <a:ext cx="3178175" cy="8255"/>
                    </a:xfrm>
                    <a:prstGeom prst="rect">
                      <a:avLst/>
                    </a:prstGeom>
                    <a:noFill/>
                  </pic:spPr>
                </pic:pic>
              </a:graphicData>
            </a:graphic>
          </wp:anchor>
        </w:drawing>
      </w:r>
    </w:p>
    <w:p>
      <w:pPr>
        <w:spacing w:after="0" w:line="7"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Samuel Leupold</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 Tatiana A. Mitrova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-958215</wp:posOffset>
            </wp:positionH>
            <wp:positionV relativeFrom="paragraph">
              <wp:posOffset>10795</wp:posOffset>
            </wp:positionV>
            <wp:extent cx="316992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6">
                      <a:extLst>
                        <a:ext uri="{28A0092B-C50C-407E-A947-70E740481C1C}"/>
                      </a:extLst>
                    </a:blip>
                    <a:srcRect/>
                    <a:stretch>
                      <a:fillRect/>
                    </a:stretch>
                  </pic:blipFill>
                  <pic:spPr bwMode="auto">
                    <a:xfrm>
                      <a:off x="0" y="0"/>
                      <a:ext cx="316992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Tatiana A. Mitrova</w:t>
      </w:r>
    </w:p>
    <w:p>
      <w:pPr>
        <w:spacing w:after="0" w:line="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/s/ Maria Moræus Hanssen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-958215</wp:posOffset>
            </wp:positionH>
            <wp:positionV relativeFrom="paragraph">
              <wp:posOffset>10795</wp:posOffset>
            </wp:positionV>
            <wp:extent cx="316992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7">
                      <a:extLst>
                        <a:ext uri="{28A0092B-C50C-407E-A947-70E740481C1C}"/>
                      </a:extLst>
                    </a:blip>
                    <a:srcRect/>
                    <a:stretch>
                      <a:fillRect/>
                    </a:stretch>
                  </pic:blipFill>
                  <pic:spPr bwMode="auto">
                    <a:xfrm>
                      <a:off x="0" y="0"/>
                      <a:ext cx="3169920" cy="825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Maria Moræus Hanssen</w:t>
      </w:r>
    </w:p>
    <w:p>
      <w:pPr>
        <w:spacing w:after="0" w:line="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 Vanitha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-958215</wp:posOffset>
            </wp:positionH>
            <wp:positionV relativeFrom="paragraph">
              <wp:posOffset>10795</wp:posOffset>
            </wp:positionV>
            <wp:extent cx="316992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8">
                      <a:extLst>
                        <a:ext uri="{28A0092B-C50C-407E-A947-70E740481C1C}"/>
                      </a:extLst>
                    </a:blip>
                    <a:srcRect/>
                    <a:stretch>
                      <a:fillRect/>
                    </a:stretch>
                  </pic:blipFill>
                  <pic:spPr bwMode="auto">
                    <a:xfrm>
                      <a:off x="0" y="0"/>
                      <a:ext cx="3169920"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Vanitha Narayanan</w:t>
      </w:r>
    </w:p>
    <w:p>
      <w:pPr>
        <w:spacing w:after="0" w:line="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 Jeff W.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-958215</wp:posOffset>
            </wp:positionH>
            <wp:positionV relativeFrom="paragraph">
              <wp:posOffset>10795</wp:posOffset>
            </wp:positionV>
            <wp:extent cx="316992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9">
                      <a:extLst>
                        <a:ext uri="{28A0092B-C50C-407E-A947-70E740481C1C}"/>
                      </a:extLst>
                    </a:blip>
                    <a:srcRect/>
                    <a:stretch>
                      <a:fillRect/>
                    </a:stretch>
                  </pic:blipFill>
                  <pic:spPr bwMode="auto">
                    <a:xfrm>
                      <a:off x="0" y="0"/>
                      <a:ext cx="3169920" cy="8255"/>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Jeff W. Sheets</w:t>
      </w:r>
    </w:p>
    <w:p>
      <w:pPr>
        <w:spacing w:after="0" w:line="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5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 Ulrich Spiesshofer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-958215</wp:posOffset>
            </wp:positionH>
            <wp:positionV relativeFrom="paragraph">
              <wp:posOffset>10795</wp:posOffset>
            </wp:positionV>
            <wp:extent cx="316992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0">
                      <a:extLst>
                        <a:ext uri="{28A0092B-C50C-407E-A947-70E740481C1C}"/>
                      </a:extLst>
                    </a:blip>
                    <a:srcRect/>
                    <a:stretch>
                      <a:fillRect/>
                    </a:stretch>
                  </pic:blipFill>
                  <pic:spPr bwMode="auto">
                    <a:xfrm>
                      <a:off x="0" y="0"/>
                      <a:ext cx="316992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Ulrich Spiesshofer</w:t>
      </w:r>
    </w:p>
    <w:p>
      <w:pPr>
        <w:spacing w:after="0" w:line="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Director</w:t>
      </w:r>
    </w:p>
    <w:p>
      <w:pPr>
        <w:spacing w:after="0" w:line="1344" w:lineRule="exact"/>
        <w:rPr>
          <w:sz w:val="20"/>
          <w:szCs w:val="20"/>
          <w:color w:val="auto"/>
        </w:rPr>
      </w:pPr>
    </w:p>
    <w:p>
      <w:pPr>
        <w:sectPr>
          <w:pgSz w:w="11900" w:h="16838" w:orient="portrait"/>
          <w:cols w:equalWidth="0" w:num="2">
            <w:col w:w="7040" w:space="720"/>
            <w:col w:w="3480"/>
          </w:cols>
          <w:pgMar w:left="320" w:top="1403" w:right="339" w:bottom="1440" w:gutter="0" w:footer="0" w:header="0"/>
          <w:type w:val="continuous"/>
        </w:sectPr>
      </w:pP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color w:val="auto"/>
        </w:rPr>
        <w:t>Date: January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883920</wp:posOffset>
            </wp:positionV>
            <wp:extent cx="7159625"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type w:val="continuous"/>
        </w:sectPr>
      </w:pPr>
    </w:p>
    <w:bookmarkStart w:id="75" w:name="page76"/>
    <w:bookmarkEnd w:id="75"/>
    <w:p>
      <w:pPr>
        <w:ind w:left="10300"/>
        <w:spacing w:after="0"/>
        <w:rPr>
          <w:sz w:val="20"/>
          <w:szCs w:val="20"/>
          <w:color w:val="auto"/>
        </w:rPr>
      </w:pPr>
      <w:r>
        <w:rPr>
          <w:rFonts w:ascii="Arial" w:cs="Arial" w:eastAsia="Arial" w:hAnsi="Arial"/>
          <w:sz w:val="16"/>
          <w:szCs w:val="16"/>
          <w:b w:val="1"/>
          <w:bCs w:val="1"/>
          <w:u w:val="single" w:color="auto"/>
          <w:color w:val="auto"/>
        </w:rPr>
        <w:t>Exhibit 31.1</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CERTIFICATION OF CHIEF EXECUTIVE OFFICER</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I, Olivier Le Peuch, certify that:</w:t>
      </w:r>
    </w:p>
    <w:p>
      <w:pPr>
        <w:spacing w:after="0" w:line="109" w:lineRule="exact"/>
        <w:rPr>
          <w:sz w:val="20"/>
          <w:szCs w:val="20"/>
          <w:color w:val="auto"/>
        </w:rPr>
      </w:pPr>
    </w:p>
    <w:p>
      <w:pPr>
        <w:ind w:left="560" w:hanging="179"/>
        <w:spacing w:after="0"/>
        <w:tabs>
          <w:tab w:leader="none" w:pos="5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Schlumberger N.V. (Schlumberger Limited);</w:t>
      </w:r>
    </w:p>
    <w:p>
      <w:pPr>
        <w:spacing w:after="0" w:line="108" w:lineRule="exact"/>
        <w:rPr>
          <w:rFonts w:ascii="Arial" w:cs="Arial" w:eastAsia="Arial" w:hAnsi="Arial"/>
          <w:sz w:val="16"/>
          <w:szCs w:val="16"/>
          <w:color w:val="auto"/>
        </w:rPr>
      </w:pPr>
    </w:p>
    <w:p>
      <w:pPr>
        <w:ind w:firstLine="381"/>
        <w:spacing w:after="0" w:line="277" w:lineRule="auto"/>
        <w:tabs>
          <w:tab w:leader="none" w:pos="565"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Arial" w:cs="Arial" w:eastAsia="Arial" w:hAnsi="Arial"/>
          <w:sz w:val="16"/>
          <w:szCs w:val="16"/>
          <w:color w:val="auto"/>
        </w:rPr>
      </w:pPr>
    </w:p>
    <w:p>
      <w:pPr>
        <w:ind w:firstLine="381"/>
        <w:spacing w:after="0" w:line="277" w:lineRule="auto"/>
        <w:tabs>
          <w:tab w:leader="none" w:pos="574"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6"/>
          <w:szCs w:val="16"/>
          <w:color w:val="auto"/>
        </w:rPr>
      </w:pPr>
    </w:p>
    <w:p>
      <w:pPr>
        <w:jc w:val="both"/>
        <w:ind w:firstLine="381"/>
        <w:spacing w:after="0" w:line="260" w:lineRule="auto"/>
        <w:tabs>
          <w:tab w:leader="none" w:pos="58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6"/>
          <w:szCs w:val="16"/>
          <w:color w:val="auto"/>
        </w:rPr>
      </w:pPr>
    </w:p>
    <w:p>
      <w:pPr>
        <w:ind w:left="1020" w:hanging="480"/>
        <w:spacing w:after="0" w:line="260" w:lineRule="auto"/>
        <w:tabs>
          <w:tab w:leader="none" w:pos="89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6"/>
          <w:szCs w:val="16"/>
          <w:color w:val="auto"/>
        </w:rPr>
      </w:pPr>
    </w:p>
    <w:p>
      <w:pPr>
        <w:ind w:left="1020" w:hanging="480"/>
        <w:spacing w:after="0" w:line="260" w:lineRule="auto"/>
        <w:tabs>
          <w:tab w:leader="none" w:pos="89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6"/>
          <w:szCs w:val="16"/>
          <w:color w:val="auto"/>
        </w:rPr>
      </w:pPr>
    </w:p>
    <w:p>
      <w:pPr>
        <w:ind w:left="1020" w:right="40" w:hanging="480"/>
        <w:spacing w:after="0" w:line="277" w:lineRule="auto"/>
        <w:tabs>
          <w:tab w:leader="none" w:pos="89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6"/>
          <w:szCs w:val="16"/>
          <w:color w:val="auto"/>
        </w:rPr>
      </w:pPr>
    </w:p>
    <w:p>
      <w:pPr>
        <w:ind w:left="1020" w:hanging="480"/>
        <w:spacing w:after="0" w:line="260" w:lineRule="auto"/>
        <w:tabs>
          <w:tab w:leader="none" w:pos="89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6"/>
          <w:szCs w:val="16"/>
          <w:color w:val="auto"/>
        </w:rPr>
      </w:pPr>
    </w:p>
    <w:p>
      <w:pPr>
        <w:ind w:firstLine="381"/>
        <w:spacing w:after="0" w:line="277" w:lineRule="auto"/>
        <w:tabs>
          <w:tab w:leader="none" w:pos="57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6"/>
          <w:szCs w:val="16"/>
          <w:color w:val="auto"/>
        </w:rPr>
      </w:pPr>
    </w:p>
    <w:p>
      <w:pPr>
        <w:ind w:left="1020" w:right="20" w:hanging="480"/>
        <w:spacing w:after="0" w:line="277" w:lineRule="auto"/>
        <w:tabs>
          <w:tab w:leader="none" w:pos="89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6"/>
          <w:szCs w:val="16"/>
          <w:color w:val="auto"/>
        </w:rPr>
      </w:pPr>
    </w:p>
    <w:p>
      <w:pPr>
        <w:ind w:left="1020" w:right="20" w:hanging="480"/>
        <w:spacing w:after="0" w:line="277" w:lineRule="auto"/>
        <w:tabs>
          <w:tab w:leader="none" w:pos="89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4"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6"/>
          <w:szCs w:val="16"/>
          <w:color w:val="auto"/>
        </w:rPr>
        <w:t>Date: January 22, 2025</w:t>
      </w:r>
      <w:r>
        <w:rPr>
          <w:sz w:val="20"/>
          <w:szCs w:val="20"/>
          <w:color w:val="auto"/>
        </w:rPr>
        <w:tab/>
      </w: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4289425</wp:posOffset>
            </wp:positionH>
            <wp:positionV relativeFrom="paragraph">
              <wp:posOffset>10795</wp:posOffset>
            </wp:positionV>
            <wp:extent cx="284861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2">
                      <a:extLst>
                        <a:ext uri="{28A0092B-C50C-407E-A947-70E740481C1C}"/>
                      </a:extLst>
                    </a:blip>
                    <a:srcRect/>
                    <a:stretch>
                      <a:fillRect/>
                    </a:stretch>
                  </pic:blipFill>
                  <pic:spPr bwMode="auto">
                    <a:xfrm>
                      <a:off x="0" y="0"/>
                      <a:ext cx="284861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Olivier Le Peuch</w:t>
      </w:r>
    </w:p>
    <w:p>
      <w:pPr>
        <w:spacing w:after="0" w:line="7"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748665</wp:posOffset>
            </wp:positionV>
            <wp:extent cx="7159625"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76" w:name="page77"/>
    <w:bookmarkEnd w:id="76"/>
    <w:p>
      <w:pPr>
        <w:ind w:left="10300"/>
        <w:spacing w:after="0"/>
        <w:rPr>
          <w:sz w:val="20"/>
          <w:szCs w:val="20"/>
          <w:color w:val="auto"/>
        </w:rPr>
      </w:pPr>
      <w:r>
        <w:rPr>
          <w:rFonts w:ascii="Arial" w:cs="Arial" w:eastAsia="Arial" w:hAnsi="Arial"/>
          <w:sz w:val="16"/>
          <w:szCs w:val="16"/>
          <w:b w:val="1"/>
          <w:bCs w:val="1"/>
          <w:u w:val="single" w:color="auto"/>
          <w:color w:val="auto"/>
        </w:rPr>
        <w:t>Exhibit 31.2</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CERTIFICATION OF CHIEF FINANCIAL OFFICER</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I, Stephane Biguet, certify that:</w:t>
      </w:r>
    </w:p>
    <w:p>
      <w:pPr>
        <w:spacing w:after="0" w:line="109" w:lineRule="exact"/>
        <w:rPr>
          <w:sz w:val="20"/>
          <w:szCs w:val="20"/>
          <w:color w:val="auto"/>
        </w:rPr>
      </w:pPr>
    </w:p>
    <w:p>
      <w:pPr>
        <w:ind w:left="560" w:hanging="179"/>
        <w:spacing w:after="0"/>
        <w:tabs>
          <w:tab w:leader="none" w:pos="5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Schlumberger N.V. (Schlumberger Limited);</w:t>
      </w:r>
    </w:p>
    <w:p>
      <w:pPr>
        <w:spacing w:after="0" w:line="108" w:lineRule="exact"/>
        <w:rPr>
          <w:rFonts w:ascii="Arial" w:cs="Arial" w:eastAsia="Arial" w:hAnsi="Arial"/>
          <w:sz w:val="16"/>
          <w:szCs w:val="16"/>
          <w:color w:val="auto"/>
        </w:rPr>
      </w:pPr>
    </w:p>
    <w:p>
      <w:pPr>
        <w:ind w:firstLine="381"/>
        <w:spacing w:after="0" w:line="277" w:lineRule="auto"/>
        <w:tabs>
          <w:tab w:leader="none" w:pos="565"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Arial" w:cs="Arial" w:eastAsia="Arial" w:hAnsi="Arial"/>
          <w:sz w:val="16"/>
          <w:szCs w:val="16"/>
          <w:color w:val="auto"/>
        </w:rPr>
      </w:pPr>
    </w:p>
    <w:p>
      <w:pPr>
        <w:ind w:firstLine="381"/>
        <w:spacing w:after="0" w:line="277" w:lineRule="auto"/>
        <w:tabs>
          <w:tab w:leader="none" w:pos="574"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6"/>
          <w:szCs w:val="16"/>
          <w:color w:val="auto"/>
        </w:rPr>
      </w:pPr>
    </w:p>
    <w:p>
      <w:pPr>
        <w:jc w:val="both"/>
        <w:ind w:firstLine="381"/>
        <w:spacing w:after="0" w:line="260" w:lineRule="auto"/>
        <w:tabs>
          <w:tab w:leader="none" w:pos="58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6"/>
          <w:szCs w:val="16"/>
          <w:color w:val="auto"/>
        </w:rPr>
      </w:pPr>
    </w:p>
    <w:p>
      <w:pPr>
        <w:ind w:left="1020" w:hanging="480"/>
        <w:spacing w:after="0" w:line="260" w:lineRule="auto"/>
        <w:tabs>
          <w:tab w:leader="none" w:pos="89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6"/>
          <w:szCs w:val="16"/>
          <w:color w:val="auto"/>
        </w:rPr>
      </w:pPr>
    </w:p>
    <w:p>
      <w:pPr>
        <w:ind w:left="1020" w:hanging="480"/>
        <w:spacing w:after="0" w:line="260" w:lineRule="auto"/>
        <w:tabs>
          <w:tab w:leader="none" w:pos="89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6"/>
          <w:szCs w:val="16"/>
          <w:color w:val="auto"/>
        </w:rPr>
      </w:pPr>
    </w:p>
    <w:p>
      <w:pPr>
        <w:ind w:left="1020" w:right="40" w:hanging="480"/>
        <w:spacing w:after="0" w:line="277" w:lineRule="auto"/>
        <w:tabs>
          <w:tab w:leader="none" w:pos="89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6"/>
          <w:szCs w:val="16"/>
          <w:color w:val="auto"/>
        </w:rPr>
      </w:pPr>
    </w:p>
    <w:p>
      <w:pPr>
        <w:ind w:left="1020" w:hanging="480"/>
        <w:spacing w:after="0" w:line="260" w:lineRule="auto"/>
        <w:tabs>
          <w:tab w:leader="none" w:pos="89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6"/>
          <w:szCs w:val="16"/>
          <w:color w:val="auto"/>
        </w:rPr>
      </w:pPr>
    </w:p>
    <w:p>
      <w:pPr>
        <w:ind w:firstLine="381"/>
        <w:spacing w:after="0" w:line="277" w:lineRule="auto"/>
        <w:tabs>
          <w:tab w:leader="none" w:pos="57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6"/>
          <w:szCs w:val="16"/>
          <w:color w:val="auto"/>
        </w:rPr>
      </w:pPr>
    </w:p>
    <w:p>
      <w:pPr>
        <w:ind w:left="1020" w:right="20" w:hanging="480"/>
        <w:spacing w:after="0" w:line="277" w:lineRule="auto"/>
        <w:tabs>
          <w:tab w:leader="none" w:pos="89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6"/>
          <w:szCs w:val="16"/>
          <w:color w:val="auto"/>
        </w:rPr>
      </w:pPr>
    </w:p>
    <w:p>
      <w:pPr>
        <w:ind w:left="1020" w:right="20" w:hanging="480"/>
        <w:spacing w:after="0" w:line="277" w:lineRule="auto"/>
        <w:tabs>
          <w:tab w:leader="none" w:pos="89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4"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6"/>
          <w:szCs w:val="16"/>
          <w:color w:val="auto"/>
        </w:rPr>
        <w:t>Date: January 22, 2025</w:t>
      </w:r>
      <w:r>
        <w:rPr>
          <w:sz w:val="20"/>
          <w:szCs w:val="20"/>
          <w:color w:val="auto"/>
        </w:rPr>
        <w:tab/>
      </w:r>
      <w:r>
        <w:rPr>
          <w:rFonts w:ascii="Arial" w:cs="Arial" w:eastAsia="Arial" w:hAnsi="Arial"/>
          <w:sz w:val="16"/>
          <w:szCs w:val="16"/>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4289425</wp:posOffset>
            </wp:positionH>
            <wp:positionV relativeFrom="paragraph">
              <wp:posOffset>10795</wp:posOffset>
            </wp:positionV>
            <wp:extent cx="284861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4">
                      <a:extLst>
                        <a:ext uri="{28A0092B-C50C-407E-A947-70E740481C1C}"/>
                      </a:extLst>
                    </a:blip>
                    <a:srcRect/>
                    <a:stretch>
                      <a:fillRect/>
                    </a:stretch>
                  </pic:blipFill>
                  <pic:spPr bwMode="auto">
                    <a:xfrm>
                      <a:off x="0" y="0"/>
                      <a:ext cx="284861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Stephane Biguet</w:t>
      </w:r>
    </w:p>
    <w:p>
      <w:pPr>
        <w:spacing w:after="0" w:line="7"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748665</wp:posOffset>
            </wp:positionV>
            <wp:extent cx="715962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77" w:name="page78"/>
    <w:bookmarkEnd w:id="77"/>
    <w:p>
      <w:pPr>
        <w:ind w:left="10300"/>
        <w:spacing w:after="0"/>
        <w:rPr>
          <w:sz w:val="20"/>
          <w:szCs w:val="20"/>
          <w:color w:val="auto"/>
        </w:rPr>
      </w:pPr>
      <w:r>
        <w:rPr>
          <w:rFonts w:ascii="Arial" w:cs="Arial" w:eastAsia="Arial" w:hAnsi="Arial"/>
          <w:sz w:val="16"/>
          <w:szCs w:val="16"/>
          <w:b w:val="1"/>
          <w:bCs w:val="1"/>
          <w:u w:val="single" w:color="auto"/>
          <w:color w:val="auto"/>
        </w:rPr>
        <w:t>Exhibit 32.1</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CERTIFICATION OF CHIEF EXECUTIVE OFFICER</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PURSUANT TO</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 U.S.C. SECTION 1350</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AS ADOPTED PURSUANT TO</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SECTION 906 OF THE SARBANES-OXLEY ACT OF 2002</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connection with the Annual Report on Form 10-K of Schlumberger N.V. (Schlumberger Limited) (the “Company”) for the year ended December 31, 2024 as filed with the Securities and Exchange Commission on the date hereof (the “Report”), I, Olivier Le Peuch, Chief Executive Officer of the Company, certify, pursuant to 18 U.S.C. § 1350, as adopted pursuant to § 906 of the Sarbanes-Oxley Act of 2002, that:</w:t>
      </w:r>
    </w:p>
    <w:p>
      <w:pPr>
        <w:spacing w:after="0" w:line="68" w:lineRule="exact"/>
        <w:rPr>
          <w:sz w:val="20"/>
          <w:szCs w:val="20"/>
          <w:color w:val="auto"/>
        </w:rPr>
      </w:pPr>
    </w:p>
    <w:p>
      <w:pPr>
        <w:ind w:left="1020" w:right="20" w:hanging="480"/>
        <w:spacing w:after="0" w:line="277" w:lineRule="auto"/>
        <w:tabs>
          <w:tab w:leader="none" w:pos="89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54" w:lineRule="exact"/>
        <w:rPr>
          <w:rFonts w:ascii="Arial" w:cs="Arial" w:eastAsia="Arial" w:hAnsi="Arial"/>
          <w:sz w:val="16"/>
          <w:szCs w:val="16"/>
          <w:color w:val="auto"/>
        </w:rPr>
      </w:pPr>
    </w:p>
    <w:p>
      <w:pPr>
        <w:ind w:left="900" w:hanging="360"/>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6620" w:val="left"/>
        </w:tabs>
        <w:rPr>
          <w:sz w:val="20"/>
          <w:szCs w:val="20"/>
          <w:color w:val="auto"/>
        </w:rPr>
      </w:pPr>
      <w:r>
        <w:rPr>
          <w:rFonts w:ascii="Arial" w:cs="Arial" w:eastAsia="Arial" w:hAnsi="Arial"/>
          <w:sz w:val="16"/>
          <w:szCs w:val="16"/>
          <w:color w:val="auto"/>
        </w:rPr>
        <w:t>Date: January 22, 2025</w:t>
      </w:r>
      <w:r>
        <w:rPr>
          <w:sz w:val="20"/>
          <w:szCs w:val="20"/>
          <w:color w:val="auto"/>
        </w:rPr>
        <w:tab/>
      </w: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10795</wp:posOffset>
            </wp:positionV>
            <wp:extent cx="292481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6">
                      <a:extLst>
                        <a:ext uri="{28A0092B-C50C-407E-A947-70E740481C1C}"/>
                      </a:extLst>
                    </a:blip>
                    <a:srcRect/>
                    <a:stretch>
                      <a:fillRect/>
                    </a:stretch>
                  </pic:blipFill>
                  <pic:spPr bwMode="auto">
                    <a:xfrm>
                      <a:off x="0" y="0"/>
                      <a:ext cx="2924810" cy="8255"/>
                    </a:xfrm>
                    <a:prstGeom prst="rect">
                      <a:avLst/>
                    </a:prstGeom>
                    <a:noFill/>
                  </pic:spPr>
                </pic:pic>
              </a:graphicData>
            </a:graphic>
          </wp:anchor>
        </w:drawing>
      </w:r>
    </w:p>
    <w:p>
      <w:pPr>
        <w:spacing w:after="0" w:line="7"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Olivier Le Peuch</w:t>
      </w:r>
    </w:p>
    <w:p>
      <w:pPr>
        <w:spacing w:after="0" w:line="7"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Chief Executive Officer</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588645</wp:posOffset>
            </wp:positionV>
            <wp:extent cx="7159625"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78" w:name="page79"/>
    <w:bookmarkEnd w:id="78"/>
    <w:p>
      <w:pPr>
        <w:ind w:left="10300"/>
        <w:spacing w:after="0"/>
        <w:rPr>
          <w:sz w:val="20"/>
          <w:szCs w:val="20"/>
          <w:color w:val="auto"/>
        </w:rPr>
      </w:pPr>
      <w:r>
        <w:rPr>
          <w:rFonts w:ascii="Arial" w:cs="Arial" w:eastAsia="Arial" w:hAnsi="Arial"/>
          <w:sz w:val="16"/>
          <w:szCs w:val="16"/>
          <w:b w:val="1"/>
          <w:bCs w:val="1"/>
          <w:u w:val="single" w:color="auto"/>
          <w:color w:val="auto"/>
        </w:rPr>
        <w:t>Exhibit 32.2</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CERTIFICATION OF CHIEF FINANCIAL OFFICER</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PURSUANT TO</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 U.S.C. SECTION 1350</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AS ADOPTED PURSUANT TO</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SECTION 906 OF THE SARBANES-OXLEY ACT OF 2002</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connection with the Annual Report on Form 10-K of Schlumberger N.V. (Schlumberger Limited) (the “Company”) for the year ended December 31, 2024 as filed with the Securities and Exchange Commission on the date hereof (the “Report”), I, Stephane Biguet, Executive Vice President and Chief Financial Officer of the Company, certify, pursuant to 18 U.S.C. § 1350, as adopted pursuant to § 906 of the Sarbanes-Oxley Act of 2002, that:</w:t>
      </w:r>
    </w:p>
    <w:p>
      <w:pPr>
        <w:spacing w:after="0" w:line="68" w:lineRule="exact"/>
        <w:rPr>
          <w:sz w:val="20"/>
          <w:szCs w:val="20"/>
          <w:color w:val="auto"/>
        </w:rPr>
      </w:pPr>
    </w:p>
    <w:p>
      <w:pPr>
        <w:ind w:left="1020" w:right="20" w:hanging="480"/>
        <w:spacing w:after="0" w:line="277" w:lineRule="auto"/>
        <w:tabs>
          <w:tab w:leader="none" w:pos="89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54" w:lineRule="exact"/>
        <w:rPr>
          <w:rFonts w:ascii="Arial" w:cs="Arial" w:eastAsia="Arial" w:hAnsi="Arial"/>
          <w:sz w:val="16"/>
          <w:szCs w:val="16"/>
          <w:color w:val="auto"/>
        </w:rPr>
      </w:pPr>
    </w:p>
    <w:p>
      <w:pPr>
        <w:ind w:left="900" w:hanging="360"/>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6620" w:val="left"/>
        </w:tabs>
        <w:rPr>
          <w:sz w:val="20"/>
          <w:szCs w:val="20"/>
          <w:color w:val="auto"/>
        </w:rPr>
      </w:pPr>
      <w:r>
        <w:rPr>
          <w:rFonts w:ascii="Arial" w:cs="Arial" w:eastAsia="Arial" w:hAnsi="Arial"/>
          <w:sz w:val="16"/>
          <w:szCs w:val="16"/>
          <w:color w:val="auto"/>
        </w:rPr>
        <w:t>Date: January 22, 2025</w:t>
      </w:r>
      <w:r>
        <w:rPr>
          <w:sz w:val="20"/>
          <w:szCs w:val="20"/>
          <w:color w:val="auto"/>
        </w:rPr>
        <w:tab/>
      </w:r>
      <w:r>
        <w:rPr>
          <w:rFonts w:ascii="Arial" w:cs="Arial" w:eastAsia="Arial" w:hAnsi="Arial"/>
          <w:sz w:val="16"/>
          <w:szCs w:val="16"/>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10795</wp:posOffset>
            </wp:positionV>
            <wp:extent cx="292481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8">
                      <a:extLst>
                        <a:ext uri="{28A0092B-C50C-407E-A947-70E740481C1C}"/>
                      </a:extLst>
                    </a:blip>
                    <a:srcRect/>
                    <a:stretch>
                      <a:fillRect/>
                    </a:stretch>
                  </pic:blipFill>
                  <pic:spPr bwMode="auto">
                    <a:xfrm>
                      <a:off x="0" y="0"/>
                      <a:ext cx="2924810" cy="8255"/>
                    </a:xfrm>
                    <a:prstGeom prst="rect">
                      <a:avLst/>
                    </a:prstGeom>
                    <a:noFill/>
                  </pic:spPr>
                </pic:pic>
              </a:graphicData>
            </a:graphic>
          </wp:anchor>
        </w:drawing>
      </w:r>
    </w:p>
    <w:p>
      <w:pPr>
        <w:spacing w:after="0" w:line="7"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Stephane Biguet</w:t>
      </w:r>
    </w:p>
    <w:p>
      <w:pPr>
        <w:spacing w:after="0" w:line="7"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Executive Vice President and Chief Financial Officer</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588645</wp:posOffset>
            </wp:positionV>
            <wp:extent cx="7159625"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79" w:name="page80"/>
    <w:bookmarkEnd w:id="79"/>
    <w:p>
      <w:pPr>
        <w:ind w:left="10440"/>
        <w:spacing w:after="0"/>
        <w:rPr>
          <w:sz w:val="20"/>
          <w:szCs w:val="20"/>
          <w:color w:val="auto"/>
        </w:rPr>
      </w:pPr>
      <w:r>
        <w:rPr>
          <w:rFonts w:ascii="Arial" w:cs="Arial" w:eastAsia="Arial" w:hAnsi="Arial"/>
          <w:sz w:val="16"/>
          <w:szCs w:val="16"/>
          <w:b w:val="1"/>
          <w:bCs w:val="1"/>
          <w:u w:val="single" w:color="auto"/>
          <w:color w:val="auto"/>
        </w:rPr>
        <w:t>Exhibit 95</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Mine Safety Disclosure</w:t>
      </w:r>
    </w:p>
    <w:p>
      <w:pPr>
        <w:spacing w:after="0" w:line="1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5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table that follows reflects citations, orders, violations and proposed assessments issued by the Mine Safety and Health Administration (the “MSHA”) to indirect subsidiaries of Schlumberger. The disclosure is with respect to the full year ended December 31, 2024. Due to timing and other factors, the data may not agree with the mine data retrieval system maintained by the MSHA at www.MSHA.gov.</w:t>
      </w:r>
    </w:p>
    <w:p>
      <w:pPr>
        <w:spacing w:after="0" w:line="174" w:lineRule="exact"/>
        <w:rPr>
          <w:sz w:val="20"/>
          <w:szCs w:val="20"/>
          <w:color w:val="auto"/>
        </w:rPr>
      </w:pPr>
    </w:p>
    <w:p>
      <w:pPr>
        <w:ind w:left="5060"/>
        <w:spacing w:after="0"/>
        <w:rPr>
          <w:sz w:val="20"/>
          <w:szCs w:val="20"/>
          <w:color w:val="auto"/>
        </w:rPr>
      </w:pPr>
      <w:r>
        <w:rPr>
          <w:rFonts w:ascii="Arial" w:cs="Arial" w:eastAsia="Arial" w:hAnsi="Arial"/>
          <w:sz w:val="16"/>
          <w:szCs w:val="16"/>
          <w:b w:val="1"/>
          <w:bCs w:val="1"/>
          <w:u w:val="single" w:color="auto"/>
          <w:color w:val="auto"/>
        </w:rPr>
        <w:t>Full Year 2024</w:t>
      </w:r>
    </w:p>
    <w:p>
      <w:pPr>
        <w:spacing w:after="0" w:line="18" w:lineRule="exact"/>
        <w:rPr>
          <w:sz w:val="20"/>
          <w:szCs w:val="20"/>
          <w:color w:val="auto"/>
        </w:rPr>
      </w:pPr>
    </w:p>
    <w:p>
      <w:pPr>
        <w:ind w:left="5100"/>
        <w:spacing w:after="0"/>
        <w:rPr>
          <w:sz w:val="20"/>
          <w:szCs w:val="20"/>
          <w:color w:val="auto"/>
        </w:rPr>
      </w:pPr>
      <w:r>
        <w:rPr>
          <w:rFonts w:ascii="Arial" w:cs="Arial" w:eastAsia="Arial" w:hAnsi="Arial"/>
          <w:sz w:val="16"/>
          <w:szCs w:val="16"/>
          <w:i w:val="1"/>
          <w:iCs w:val="1"/>
          <w:color w:val="auto"/>
        </w:rPr>
        <w:t>(whole dollars)</w:t>
      </w:r>
    </w:p>
    <w:p>
      <w:pPr>
        <w:spacing w:after="0" w:line="164" w:lineRule="exact"/>
        <w:rPr>
          <w:sz w:val="20"/>
          <w:szCs w:val="20"/>
          <w:color w:val="auto"/>
        </w:rPr>
      </w:pPr>
    </w:p>
    <w:tbl>
      <w:tblPr>
        <w:tblLayout w:type="fixed"/>
        <w:tblInd w:w="400" w:type="dxa"/>
        <w:tblCellMar>
          <w:top w:w="0" w:type="dxa"/>
          <w:left w:w="0" w:type="dxa"/>
          <w:bottom w:w="0" w:type="dxa"/>
          <w:right w:w="0" w:type="dxa"/>
        </w:tblCellMar>
      </w:tblPr>
      <w:tr>
        <w:trPr>
          <w:trHeight w:val="138"/>
        </w:trPr>
        <w:tc>
          <w:tcPr>
            <w:tcW w:w="1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Received</w:t>
            </w: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33"/>
        </w:trPr>
        <w:tc>
          <w:tcPr>
            <w:tcW w:w="1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rPr>
              <w:t>Notice of</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3"/>
        </w:trPr>
        <w:tc>
          <w:tcPr>
            <w:tcW w:w="1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2"/>
                <w:szCs w:val="12"/>
                <w:color w:val="auto"/>
              </w:rPr>
              <w:t>Received</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rPr>
              <w:t>Potential to</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3"/>
        </w:trPr>
        <w:tc>
          <w:tcPr>
            <w:tcW w:w="1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2"/>
                <w:szCs w:val="12"/>
                <w:color w:val="auto"/>
              </w:rPr>
              <w:t>Notice of</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9"/>
              </w:rPr>
              <w:t>Have</w:t>
            </w:r>
          </w:p>
        </w:tc>
        <w:tc>
          <w:tcPr>
            <w:tcW w:w="640" w:type="dxa"/>
            <w:vAlign w:val="bottom"/>
          </w:tcPr>
          <w:p>
            <w:pPr>
              <w:jc w:val="center"/>
              <w:spacing w:after="0" w:line="133" w:lineRule="exact"/>
              <w:rPr>
                <w:sz w:val="20"/>
                <w:szCs w:val="20"/>
                <w:color w:val="auto"/>
              </w:rPr>
            </w:pPr>
            <w:r>
              <w:rPr>
                <w:rFonts w:ascii="Arial" w:cs="Arial" w:eastAsia="Arial" w:hAnsi="Arial"/>
                <w:sz w:val="12"/>
                <w:szCs w:val="12"/>
                <w:color w:val="auto"/>
              </w:rPr>
              <w:t>Legal</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3"/>
        </w:trPr>
        <w:tc>
          <w:tcPr>
            <w:tcW w:w="1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2"/>
                <w:szCs w:val="12"/>
                <w:color w:val="auto"/>
              </w:rPr>
              <w:t>Pattern of</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rPr>
              <w:t>Pattern</w:t>
            </w:r>
          </w:p>
        </w:tc>
        <w:tc>
          <w:tcPr>
            <w:tcW w:w="640" w:type="dxa"/>
            <w:vAlign w:val="bottom"/>
          </w:tcPr>
          <w:p>
            <w:pPr>
              <w:jc w:val="center"/>
              <w:spacing w:after="0" w:line="133" w:lineRule="exact"/>
              <w:rPr>
                <w:sz w:val="20"/>
                <w:szCs w:val="20"/>
                <w:color w:val="auto"/>
              </w:rPr>
            </w:pPr>
            <w:r>
              <w:rPr>
                <w:rFonts w:ascii="Arial" w:cs="Arial" w:eastAsia="Arial" w:hAnsi="Arial"/>
                <w:sz w:val="12"/>
                <w:szCs w:val="12"/>
                <w:color w:val="auto"/>
              </w:rPr>
              <w:t>Actions</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3"/>
        </w:trPr>
        <w:tc>
          <w:tcPr>
            <w:tcW w:w="1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2"/>
                <w:szCs w:val="12"/>
                <w:color w:val="auto"/>
              </w:rPr>
              <w:t>Section</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Arial" w:cs="Arial" w:eastAsia="Arial" w:hAnsi="Arial"/>
                <w:sz w:val="12"/>
                <w:szCs w:val="12"/>
                <w:color w:val="auto"/>
              </w:rPr>
              <w:t>Total Dollar</w:t>
            </w:r>
          </w:p>
        </w:tc>
        <w:tc>
          <w:tcPr>
            <w:tcW w:w="740" w:type="dxa"/>
            <w:vAlign w:val="bottom"/>
          </w:tcPr>
          <w:p>
            <w:pPr>
              <w:jc w:val="center"/>
              <w:spacing w:after="0" w:line="133" w:lineRule="exact"/>
              <w:rPr>
                <w:sz w:val="20"/>
                <w:szCs w:val="20"/>
                <w:color w:val="auto"/>
              </w:rPr>
            </w:pPr>
            <w:r>
              <w:rPr>
                <w:rFonts w:ascii="Arial" w:cs="Arial" w:eastAsia="Arial" w:hAnsi="Arial"/>
                <w:sz w:val="12"/>
                <w:szCs w:val="12"/>
                <w:color w:val="auto"/>
              </w:rPr>
              <w:t>Total</w:t>
            </w:r>
          </w:p>
        </w:tc>
        <w:tc>
          <w:tcPr>
            <w:tcW w:w="680" w:type="dxa"/>
            <w:vAlign w:val="bottom"/>
          </w:tcPr>
          <w:p>
            <w:pPr>
              <w:jc w:val="center"/>
              <w:spacing w:after="0" w:line="133" w:lineRule="exact"/>
              <w:rPr>
                <w:sz w:val="20"/>
                <w:szCs w:val="20"/>
                <w:color w:val="auto"/>
              </w:rPr>
            </w:pPr>
            <w:r>
              <w:rPr>
                <w:rFonts w:ascii="Arial" w:cs="Arial" w:eastAsia="Arial" w:hAnsi="Arial"/>
                <w:sz w:val="12"/>
                <w:szCs w:val="12"/>
                <w:color w:val="auto"/>
              </w:rPr>
              <w:t>Violations</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rPr>
              <w:t>Under</w:t>
            </w:r>
          </w:p>
        </w:tc>
        <w:tc>
          <w:tcPr>
            <w:tcW w:w="640" w:type="dxa"/>
            <w:vAlign w:val="bottom"/>
          </w:tcPr>
          <w:p>
            <w:pPr>
              <w:jc w:val="center"/>
              <w:ind w:right="18"/>
              <w:spacing w:after="0" w:line="133" w:lineRule="exact"/>
              <w:rPr>
                <w:sz w:val="20"/>
                <w:szCs w:val="20"/>
                <w:color w:val="auto"/>
              </w:rPr>
            </w:pPr>
            <w:r>
              <w:rPr>
                <w:rFonts w:ascii="Arial" w:cs="Arial" w:eastAsia="Arial" w:hAnsi="Arial"/>
                <w:sz w:val="12"/>
                <w:szCs w:val="12"/>
                <w:color w:val="auto"/>
                <w:w w:val="99"/>
              </w:rPr>
              <w:t>Pending</w:t>
            </w:r>
          </w:p>
        </w:tc>
        <w:tc>
          <w:tcPr>
            <w:tcW w:w="620" w:type="dxa"/>
            <w:vAlign w:val="bottom"/>
          </w:tcPr>
          <w:p>
            <w:pPr>
              <w:jc w:val="center"/>
              <w:spacing w:after="0" w:line="133" w:lineRule="exact"/>
              <w:rPr>
                <w:sz w:val="20"/>
                <w:szCs w:val="20"/>
                <w:color w:val="auto"/>
              </w:rPr>
            </w:pPr>
            <w:r>
              <w:rPr>
                <w:rFonts w:ascii="Arial" w:cs="Arial" w:eastAsia="Arial" w:hAnsi="Arial"/>
                <w:sz w:val="12"/>
                <w:szCs w:val="12"/>
                <w:color w:val="auto"/>
              </w:rPr>
              <w:t>Legal</w:t>
            </w:r>
          </w:p>
        </w:tc>
        <w:tc>
          <w:tcPr>
            <w:tcW w:w="660" w:type="dxa"/>
            <w:vAlign w:val="bottom"/>
          </w:tcPr>
          <w:p>
            <w:pPr>
              <w:jc w:val="center"/>
              <w:spacing w:after="0" w:line="133" w:lineRule="exact"/>
              <w:rPr>
                <w:sz w:val="20"/>
                <w:szCs w:val="20"/>
                <w:color w:val="auto"/>
              </w:rPr>
            </w:pPr>
            <w:r>
              <w:rPr>
                <w:rFonts w:ascii="Arial" w:cs="Arial" w:eastAsia="Arial" w:hAnsi="Arial"/>
                <w:sz w:val="12"/>
                <w:szCs w:val="12"/>
                <w:color w:val="auto"/>
              </w:rPr>
              <w:t>Legal</w:t>
            </w:r>
          </w:p>
        </w:tc>
      </w:tr>
      <w:tr>
        <w:trPr>
          <w:trHeight w:val="133"/>
        </w:trPr>
        <w:tc>
          <w:tcPr>
            <w:tcW w:w="1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2"/>
                <w:szCs w:val="12"/>
                <w:color w:val="auto"/>
              </w:rPr>
              <w:t>104(d)</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Arial" w:cs="Arial" w:eastAsia="Arial" w:hAnsi="Arial"/>
                <w:sz w:val="12"/>
                <w:szCs w:val="12"/>
                <w:color w:val="auto"/>
              </w:rPr>
              <w:t>Value of</w:t>
            </w:r>
          </w:p>
        </w:tc>
        <w:tc>
          <w:tcPr>
            <w:tcW w:w="740" w:type="dxa"/>
            <w:vAlign w:val="bottom"/>
          </w:tcPr>
          <w:p>
            <w:pPr>
              <w:jc w:val="center"/>
              <w:spacing w:after="0" w:line="133" w:lineRule="exact"/>
              <w:rPr>
                <w:sz w:val="20"/>
                <w:szCs w:val="20"/>
                <w:color w:val="auto"/>
              </w:rPr>
            </w:pPr>
            <w:r>
              <w:rPr>
                <w:rFonts w:ascii="Arial" w:cs="Arial" w:eastAsia="Arial" w:hAnsi="Arial"/>
                <w:sz w:val="12"/>
                <w:szCs w:val="12"/>
                <w:color w:val="auto"/>
              </w:rPr>
              <w:t>Number of</w:t>
            </w:r>
          </w:p>
        </w:tc>
        <w:tc>
          <w:tcPr>
            <w:tcW w:w="680" w:type="dxa"/>
            <w:vAlign w:val="bottom"/>
          </w:tcPr>
          <w:p>
            <w:pPr>
              <w:jc w:val="center"/>
              <w:spacing w:after="0" w:line="133" w:lineRule="exact"/>
              <w:rPr>
                <w:sz w:val="20"/>
                <w:szCs w:val="20"/>
                <w:color w:val="auto"/>
              </w:rPr>
            </w:pPr>
            <w:r>
              <w:rPr>
                <w:rFonts w:ascii="Arial" w:cs="Arial" w:eastAsia="Arial" w:hAnsi="Arial"/>
                <w:sz w:val="12"/>
                <w:szCs w:val="12"/>
                <w:color w:val="auto"/>
              </w:rPr>
              <w:t>Under</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rPr>
              <w:t>Section</w:t>
            </w:r>
          </w:p>
        </w:tc>
        <w:tc>
          <w:tcPr>
            <w:tcW w:w="640" w:type="dxa"/>
            <w:vAlign w:val="bottom"/>
          </w:tcPr>
          <w:p>
            <w:pPr>
              <w:jc w:val="center"/>
              <w:spacing w:after="0" w:line="133" w:lineRule="exact"/>
              <w:rPr>
                <w:sz w:val="20"/>
                <w:szCs w:val="20"/>
                <w:color w:val="auto"/>
              </w:rPr>
            </w:pPr>
            <w:r>
              <w:rPr>
                <w:rFonts w:ascii="Arial" w:cs="Arial" w:eastAsia="Arial" w:hAnsi="Arial"/>
                <w:sz w:val="12"/>
                <w:szCs w:val="12"/>
                <w:color w:val="auto"/>
                <w:w w:val="94"/>
              </w:rPr>
              <w:t>as</w:t>
            </w:r>
          </w:p>
        </w:tc>
        <w:tc>
          <w:tcPr>
            <w:tcW w:w="620" w:type="dxa"/>
            <w:vAlign w:val="bottom"/>
          </w:tcPr>
          <w:p>
            <w:pPr>
              <w:jc w:val="center"/>
              <w:spacing w:after="0" w:line="133" w:lineRule="exact"/>
              <w:rPr>
                <w:sz w:val="20"/>
                <w:szCs w:val="20"/>
                <w:color w:val="auto"/>
              </w:rPr>
            </w:pPr>
            <w:r>
              <w:rPr>
                <w:rFonts w:ascii="Arial" w:cs="Arial" w:eastAsia="Arial" w:hAnsi="Arial"/>
                <w:sz w:val="12"/>
                <w:szCs w:val="12"/>
                <w:color w:val="auto"/>
              </w:rPr>
              <w:t>Actions</w:t>
            </w:r>
          </w:p>
        </w:tc>
        <w:tc>
          <w:tcPr>
            <w:tcW w:w="660" w:type="dxa"/>
            <w:vAlign w:val="bottom"/>
          </w:tcPr>
          <w:p>
            <w:pPr>
              <w:jc w:val="center"/>
              <w:spacing w:after="0" w:line="133" w:lineRule="exact"/>
              <w:rPr>
                <w:sz w:val="20"/>
                <w:szCs w:val="20"/>
                <w:color w:val="auto"/>
              </w:rPr>
            </w:pPr>
            <w:r>
              <w:rPr>
                <w:rFonts w:ascii="Arial" w:cs="Arial" w:eastAsia="Arial" w:hAnsi="Arial"/>
                <w:sz w:val="12"/>
                <w:szCs w:val="12"/>
                <w:color w:val="auto"/>
              </w:rPr>
              <w:t>Actions</w:t>
            </w:r>
          </w:p>
        </w:tc>
      </w:tr>
      <w:tr>
        <w:trPr>
          <w:trHeight w:val="133"/>
        </w:trPr>
        <w:tc>
          <w:tcPr>
            <w:tcW w:w="1960" w:type="dxa"/>
            <w:vAlign w:val="bottom"/>
          </w:tcPr>
          <w:p>
            <w:pPr>
              <w:spacing w:after="0"/>
              <w:rPr>
                <w:sz w:val="11"/>
                <w:szCs w:val="11"/>
                <w:color w:val="auto"/>
              </w:rPr>
            </w:pPr>
          </w:p>
        </w:tc>
        <w:tc>
          <w:tcPr>
            <w:tcW w:w="780" w:type="dxa"/>
            <w:vAlign w:val="bottom"/>
          </w:tcPr>
          <w:p>
            <w:pPr>
              <w:jc w:val="center"/>
              <w:ind w:left="58"/>
              <w:spacing w:after="0" w:line="133" w:lineRule="exact"/>
              <w:rPr>
                <w:sz w:val="20"/>
                <w:szCs w:val="20"/>
                <w:color w:val="auto"/>
              </w:rPr>
            </w:pPr>
            <w:r>
              <w:rPr>
                <w:rFonts w:ascii="Arial" w:cs="Arial" w:eastAsia="Arial" w:hAnsi="Arial"/>
                <w:sz w:val="12"/>
                <w:szCs w:val="12"/>
                <w:color w:val="auto"/>
              </w:rPr>
              <w:t>Section</w:t>
            </w:r>
          </w:p>
        </w:tc>
        <w:tc>
          <w:tcPr>
            <w:tcW w:w="620" w:type="dxa"/>
            <w:vAlign w:val="bottom"/>
          </w:tcPr>
          <w:p>
            <w:pPr>
              <w:ind w:left="100"/>
              <w:spacing w:after="0" w:line="133" w:lineRule="exact"/>
              <w:rPr>
                <w:sz w:val="20"/>
                <w:szCs w:val="20"/>
                <w:color w:val="auto"/>
              </w:rPr>
            </w:pPr>
            <w:r>
              <w:rPr>
                <w:rFonts w:ascii="Arial" w:cs="Arial" w:eastAsia="Arial" w:hAnsi="Arial"/>
                <w:sz w:val="12"/>
                <w:szCs w:val="12"/>
                <w:color w:val="auto"/>
              </w:rPr>
              <w:t>Section</w:t>
            </w:r>
          </w:p>
        </w:tc>
        <w:tc>
          <w:tcPr>
            <w:tcW w:w="700" w:type="dxa"/>
            <w:vAlign w:val="bottom"/>
          </w:tcPr>
          <w:p>
            <w:pPr>
              <w:jc w:val="center"/>
              <w:spacing w:after="0" w:line="133" w:lineRule="exact"/>
              <w:rPr>
                <w:sz w:val="20"/>
                <w:szCs w:val="20"/>
                <w:color w:val="auto"/>
              </w:rPr>
            </w:pPr>
            <w:r>
              <w:rPr>
                <w:rFonts w:ascii="Arial" w:cs="Arial" w:eastAsia="Arial" w:hAnsi="Arial"/>
                <w:sz w:val="12"/>
                <w:szCs w:val="12"/>
                <w:color w:val="auto"/>
              </w:rPr>
              <w:t>Citations</w:t>
            </w:r>
          </w:p>
        </w:tc>
        <w:tc>
          <w:tcPr>
            <w:tcW w:w="740" w:type="dxa"/>
            <w:vAlign w:val="bottom"/>
          </w:tcPr>
          <w:p>
            <w:pPr>
              <w:jc w:val="center"/>
              <w:spacing w:after="0" w:line="133" w:lineRule="exact"/>
              <w:rPr>
                <w:sz w:val="20"/>
                <w:szCs w:val="20"/>
                <w:color w:val="auto"/>
              </w:rPr>
            </w:pPr>
            <w:r>
              <w:rPr>
                <w:rFonts w:ascii="Arial" w:cs="Arial" w:eastAsia="Arial" w:hAnsi="Arial"/>
                <w:sz w:val="12"/>
                <w:szCs w:val="12"/>
                <w:color w:val="auto"/>
              </w:rPr>
              <w:t>Section</w:t>
            </w:r>
          </w:p>
        </w:tc>
        <w:tc>
          <w:tcPr>
            <w:tcW w:w="640" w:type="dxa"/>
            <w:vAlign w:val="bottom"/>
          </w:tcPr>
          <w:p>
            <w:pPr>
              <w:ind w:left="120"/>
              <w:spacing w:after="0" w:line="133" w:lineRule="exact"/>
              <w:rPr>
                <w:sz w:val="20"/>
                <w:szCs w:val="20"/>
                <w:color w:val="auto"/>
              </w:rPr>
            </w:pPr>
            <w:r>
              <w:rPr>
                <w:rFonts w:ascii="Arial" w:cs="Arial" w:eastAsia="Arial" w:hAnsi="Arial"/>
                <w:sz w:val="12"/>
                <w:szCs w:val="12"/>
                <w:color w:val="auto"/>
              </w:rPr>
              <w:t>Section</w:t>
            </w:r>
          </w:p>
        </w:tc>
        <w:tc>
          <w:tcPr>
            <w:tcW w:w="940" w:type="dxa"/>
            <w:vAlign w:val="bottom"/>
          </w:tcPr>
          <w:p>
            <w:pPr>
              <w:jc w:val="center"/>
              <w:spacing w:after="0" w:line="133" w:lineRule="exact"/>
              <w:rPr>
                <w:sz w:val="20"/>
                <w:szCs w:val="20"/>
                <w:color w:val="auto"/>
              </w:rPr>
            </w:pPr>
            <w:r>
              <w:rPr>
                <w:rFonts w:ascii="Arial" w:cs="Arial" w:eastAsia="Arial" w:hAnsi="Arial"/>
                <w:sz w:val="12"/>
                <w:szCs w:val="12"/>
                <w:color w:val="auto"/>
              </w:rPr>
              <w:t>MSHA</w:t>
            </w:r>
          </w:p>
        </w:tc>
        <w:tc>
          <w:tcPr>
            <w:tcW w:w="740" w:type="dxa"/>
            <w:vAlign w:val="bottom"/>
          </w:tcPr>
          <w:p>
            <w:pPr>
              <w:jc w:val="center"/>
              <w:spacing w:after="0" w:line="133" w:lineRule="exact"/>
              <w:rPr>
                <w:sz w:val="20"/>
                <w:szCs w:val="20"/>
                <w:color w:val="auto"/>
              </w:rPr>
            </w:pPr>
            <w:r>
              <w:rPr>
                <w:rFonts w:ascii="Arial" w:cs="Arial" w:eastAsia="Arial" w:hAnsi="Arial"/>
                <w:sz w:val="12"/>
                <w:szCs w:val="12"/>
                <w:color w:val="auto"/>
              </w:rPr>
              <w:t>Mining</w:t>
            </w:r>
          </w:p>
        </w:tc>
        <w:tc>
          <w:tcPr>
            <w:tcW w:w="680" w:type="dxa"/>
            <w:vAlign w:val="bottom"/>
          </w:tcPr>
          <w:p>
            <w:pPr>
              <w:jc w:val="center"/>
              <w:spacing w:after="0" w:line="133" w:lineRule="exact"/>
              <w:rPr>
                <w:sz w:val="20"/>
                <w:szCs w:val="20"/>
                <w:color w:val="auto"/>
              </w:rPr>
            </w:pPr>
            <w:r>
              <w:rPr>
                <w:rFonts w:ascii="Arial" w:cs="Arial" w:eastAsia="Arial" w:hAnsi="Arial"/>
                <w:sz w:val="12"/>
                <w:szCs w:val="12"/>
                <w:color w:val="auto"/>
              </w:rPr>
              <w:t>Section</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rPr>
              <w:t>104(e)</w:t>
            </w:r>
          </w:p>
        </w:tc>
        <w:tc>
          <w:tcPr>
            <w:tcW w:w="640" w:type="dxa"/>
            <w:vAlign w:val="bottom"/>
          </w:tcPr>
          <w:p>
            <w:pPr>
              <w:jc w:val="center"/>
              <w:ind w:right="18"/>
              <w:spacing w:after="0" w:line="133" w:lineRule="exact"/>
              <w:rPr>
                <w:sz w:val="20"/>
                <w:szCs w:val="20"/>
                <w:color w:val="auto"/>
              </w:rPr>
            </w:pPr>
            <w:r>
              <w:rPr>
                <w:rFonts w:ascii="Arial" w:cs="Arial" w:eastAsia="Arial" w:hAnsi="Arial"/>
                <w:sz w:val="12"/>
                <w:szCs w:val="12"/>
                <w:color w:val="auto"/>
                <w:w w:val="99"/>
              </w:rPr>
              <w:t>of Last</w:t>
            </w:r>
          </w:p>
        </w:tc>
        <w:tc>
          <w:tcPr>
            <w:tcW w:w="620" w:type="dxa"/>
            <w:vAlign w:val="bottom"/>
          </w:tcPr>
          <w:p>
            <w:pPr>
              <w:jc w:val="center"/>
              <w:spacing w:after="0" w:line="133" w:lineRule="exact"/>
              <w:rPr>
                <w:sz w:val="20"/>
                <w:szCs w:val="20"/>
                <w:color w:val="auto"/>
              </w:rPr>
            </w:pPr>
            <w:r>
              <w:rPr>
                <w:rFonts w:ascii="Arial" w:cs="Arial" w:eastAsia="Arial" w:hAnsi="Arial"/>
                <w:sz w:val="12"/>
                <w:szCs w:val="12"/>
                <w:color w:val="auto"/>
              </w:rPr>
              <w:t>Initiated</w:t>
            </w:r>
          </w:p>
        </w:tc>
        <w:tc>
          <w:tcPr>
            <w:tcW w:w="660" w:type="dxa"/>
            <w:vAlign w:val="bottom"/>
          </w:tcPr>
          <w:p>
            <w:pPr>
              <w:jc w:val="center"/>
              <w:spacing w:after="0" w:line="133" w:lineRule="exact"/>
              <w:rPr>
                <w:sz w:val="20"/>
                <w:szCs w:val="20"/>
                <w:color w:val="auto"/>
              </w:rPr>
            </w:pPr>
            <w:r>
              <w:rPr>
                <w:rFonts w:ascii="Arial" w:cs="Arial" w:eastAsia="Arial" w:hAnsi="Arial"/>
                <w:sz w:val="12"/>
                <w:szCs w:val="12"/>
                <w:color w:val="auto"/>
                <w:w w:val="99"/>
              </w:rPr>
              <w:t>Resolved</w:t>
            </w:r>
          </w:p>
        </w:tc>
      </w:tr>
      <w:tr>
        <w:trPr>
          <w:trHeight w:val="124"/>
        </w:trPr>
        <w:tc>
          <w:tcPr>
            <w:tcW w:w="1960" w:type="dxa"/>
            <w:vAlign w:val="bottom"/>
          </w:tcPr>
          <w:p>
            <w:pPr>
              <w:ind w:left="20"/>
              <w:spacing w:after="0" w:line="125" w:lineRule="exact"/>
              <w:rPr>
                <w:sz w:val="20"/>
                <w:szCs w:val="20"/>
                <w:color w:val="auto"/>
              </w:rPr>
            </w:pPr>
            <w:r>
              <w:rPr>
                <w:rFonts w:ascii="Arial" w:cs="Arial" w:eastAsia="Arial" w:hAnsi="Arial"/>
                <w:sz w:val="12"/>
                <w:szCs w:val="12"/>
                <w:color w:val="auto"/>
              </w:rPr>
              <w:t>Mine or Operating Name/MSHA</w:t>
            </w:r>
          </w:p>
        </w:tc>
        <w:tc>
          <w:tcPr>
            <w:tcW w:w="780" w:type="dxa"/>
            <w:vAlign w:val="bottom"/>
          </w:tcPr>
          <w:p>
            <w:pPr>
              <w:jc w:val="center"/>
              <w:ind w:left="58"/>
              <w:spacing w:after="0" w:line="125" w:lineRule="exact"/>
              <w:rPr>
                <w:sz w:val="20"/>
                <w:szCs w:val="20"/>
                <w:color w:val="auto"/>
              </w:rPr>
            </w:pPr>
            <w:r>
              <w:rPr>
                <w:rFonts w:ascii="Arial" w:cs="Arial" w:eastAsia="Arial" w:hAnsi="Arial"/>
                <w:sz w:val="12"/>
                <w:szCs w:val="12"/>
                <w:color w:val="auto"/>
              </w:rPr>
              <w:t>104 S&amp;S</w:t>
            </w:r>
          </w:p>
        </w:tc>
        <w:tc>
          <w:tcPr>
            <w:tcW w:w="620" w:type="dxa"/>
            <w:vAlign w:val="bottom"/>
          </w:tcPr>
          <w:p>
            <w:pPr>
              <w:jc w:val="center"/>
              <w:spacing w:after="0" w:line="125" w:lineRule="exact"/>
              <w:rPr>
                <w:sz w:val="20"/>
                <w:szCs w:val="20"/>
                <w:color w:val="auto"/>
              </w:rPr>
            </w:pPr>
            <w:r>
              <w:rPr>
                <w:rFonts w:ascii="Arial" w:cs="Arial" w:eastAsia="Arial" w:hAnsi="Arial"/>
                <w:sz w:val="12"/>
                <w:szCs w:val="12"/>
                <w:color w:val="auto"/>
              </w:rPr>
              <w:t>104(b)</w:t>
            </w:r>
          </w:p>
        </w:tc>
        <w:tc>
          <w:tcPr>
            <w:tcW w:w="700" w:type="dxa"/>
            <w:vAlign w:val="bottom"/>
          </w:tcPr>
          <w:p>
            <w:pPr>
              <w:jc w:val="center"/>
              <w:spacing w:after="0" w:line="125" w:lineRule="exact"/>
              <w:rPr>
                <w:sz w:val="20"/>
                <w:szCs w:val="20"/>
                <w:color w:val="auto"/>
              </w:rPr>
            </w:pPr>
            <w:r>
              <w:rPr>
                <w:rFonts w:ascii="Arial" w:cs="Arial" w:eastAsia="Arial" w:hAnsi="Arial"/>
                <w:sz w:val="12"/>
                <w:szCs w:val="12"/>
                <w:color w:val="auto"/>
              </w:rPr>
              <w:t>and</w:t>
            </w:r>
          </w:p>
        </w:tc>
        <w:tc>
          <w:tcPr>
            <w:tcW w:w="740" w:type="dxa"/>
            <w:vAlign w:val="bottom"/>
          </w:tcPr>
          <w:p>
            <w:pPr>
              <w:jc w:val="center"/>
              <w:spacing w:after="0" w:line="125" w:lineRule="exact"/>
              <w:rPr>
                <w:sz w:val="20"/>
                <w:szCs w:val="20"/>
                <w:color w:val="auto"/>
              </w:rPr>
            </w:pPr>
            <w:r>
              <w:rPr>
                <w:rFonts w:ascii="Arial" w:cs="Arial" w:eastAsia="Arial" w:hAnsi="Arial"/>
                <w:sz w:val="12"/>
                <w:szCs w:val="12"/>
                <w:color w:val="auto"/>
              </w:rPr>
              <w:t>110(b)(2)</w:t>
            </w:r>
          </w:p>
        </w:tc>
        <w:tc>
          <w:tcPr>
            <w:tcW w:w="640" w:type="dxa"/>
            <w:vAlign w:val="bottom"/>
          </w:tcPr>
          <w:p>
            <w:pPr>
              <w:jc w:val="center"/>
              <w:spacing w:after="0" w:line="125" w:lineRule="exact"/>
              <w:rPr>
                <w:sz w:val="20"/>
                <w:szCs w:val="20"/>
                <w:color w:val="auto"/>
              </w:rPr>
            </w:pPr>
            <w:r>
              <w:rPr>
                <w:rFonts w:ascii="Arial" w:cs="Arial" w:eastAsia="Arial" w:hAnsi="Arial"/>
                <w:sz w:val="12"/>
                <w:szCs w:val="12"/>
                <w:color w:val="auto"/>
              </w:rPr>
              <w:t>107(a)</w:t>
            </w:r>
          </w:p>
        </w:tc>
        <w:tc>
          <w:tcPr>
            <w:tcW w:w="940" w:type="dxa"/>
            <w:vAlign w:val="bottom"/>
          </w:tcPr>
          <w:p>
            <w:pPr>
              <w:jc w:val="center"/>
              <w:spacing w:after="0" w:line="125" w:lineRule="exact"/>
              <w:rPr>
                <w:sz w:val="20"/>
                <w:szCs w:val="20"/>
                <w:color w:val="auto"/>
              </w:rPr>
            </w:pPr>
            <w:r>
              <w:rPr>
                <w:rFonts w:ascii="Arial" w:cs="Arial" w:eastAsia="Arial" w:hAnsi="Arial"/>
                <w:sz w:val="12"/>
                <w:szCs w:val="12"/>
                <w:color w:val="auto"/>
              </w:rPr>
              <w:t>Assessments</w:t>
            </w:r>
          </w:p>
        </w:tc>
        <w:tc>
          <w:tcPr>
            <w:tcW w:w="740" w:type="dxa"/>
            <w:vAlign w:val="bottom"/>
          </w:tcPr>
          <w:p>
            <w:pPr>
              <w:jc w:val="center"/>
              <w:spacing w:after="0" w:line="125" w:lineRule="exact"/>
              <w:rPr>
                <w:sz w:val="20"/>
                <w:szCs w:val="20"/>
                <w:color w:val="auto"/>
              </w:rPr>
            </w:pPr>
            <w:r>
              <w:rPr>
                <w:rFonts w:ascii="Arial" w:cs="Arial" w:eastAsia="Arial" w:hAnsi="Arial"/>
                <w:sz w:val="12"/>
                <w:szCs w:val="12"/>
                <w:color w:val="auto"/>
              </w:rPr>
              <w:t>Related</w:t>
            </w:r>
          </w:p>
        </w:tc>
        <w:tc>
          <w:tcPr>
            <w:tcW w:w="680" w:type="dxa"/>
            <w:vAlign w:val="bottom"/>
          </w:tcPr>
          <w:p>
            <w:pPr>
              <w:jc w:val="center"/>
              <w:spacing w:after="0" w:line="125" w:lineRule="exact"/>
              <w:rPr>
                <w:sz w:val="20"/>
                <w:szCs w:val="20"/>
                <w:color w:val="auto"/>
              </w:rPr>
            </w:pPr>
            <w:r>
              <w:rPr>
                <w:rFonts w:ascii="Arial" w:cs="Arial" w:eastAsia="Arial" w:hAnsi="Arial"/>
                <w:sz w:val="12"/>
                <w:szCs w:val="12"/>
                <w:color w:val="auto"/>
              </w:rPr>
              <w:t>104(e)</w:t>
            </w:r>
          </w:p>
        </w:tc>
        <w:tc>
          <w:tcPr>
            <w:tcW w:w="720" w:type="dxa"/>
            <w:vAlign w:val="bottom"/>
          </w:tcPr>
          <w:p>
            <w:pPr>
              <w:jc w:val="center"/>
              <w:spacing w:after="0" w:line="125" w:lineRule="exact"/>
              <w:rPr>
                <w:sz w:val="20"/>
                <w:szCs w:val="20"/>
                <w:color w:val="auto"/>
              </w:rPr>
            </w:pPr>
            <w:r>
              <w:rPr>
                <w:rFonts w:ascii="Arial" w:cs="Arial" w:eastAsia="Arial" w:hAnsi="Arial"/>
                <w:sz w:val="12"/>
                <w:szCs w:val="12"/>
                <w:color w:val="auto"/>
              </w:rPr>
              <w:t>(yes/no)</w:t>
            </w:r>
          </w:p>
        </w:tc>
        <w:tc>
          <w:tcPr>
            <w:tcW w:w="640" w:type="dxa"/>
            <w:vAlign w:val="bottom"/>
          </w:tcPr>
          <w:p>
            <w:pPr>
              <w:jc w:val="center"/>
              <w:spacing w:after="0" w:line="125" w:lineRule="exact"/>
              <w:rPr>
                <w:sz w:val="20"/>
                <w:szCs w:val="20"/>
                <w:color w:val="auto"/>
              </w:rPr>
            </w:pPr>
            <w:r>
              <w:rPr>
                <w:rFonts w:ascii="Arial" w:cs="Arial" w:eastAsia="Arial" w:hAnsi="Arial"/>
                <w:sz w:val="12"/>
                <w:szCs w:val="12"/>
                <w:color w:val="auto"/>
              </w:rPr>
              <w:t>Day</w:t>
            </w:r>
          </w:p>
        </w:tc>
        <w:tc>
          <w:tcPr>
            <w:tcW w:w="620" w:type="dxa"/>
            <w:vAlign w:val="bottom"/>
          </w:tcPr>
          <w:p>
            <w:pPr>
              <w:jc w:val="center"/>
              <w:spacing w:after="0" w:line="125" w:lineRule="exact"/>
              <w:rPr>
                <w:sz w:val="20"/>
                <w:szCs w:val="20"/>
                <w:color w:val="auto"/>
              </w:rPr>
            </w:pPr>
            <w:r>
              <w:rPr>
                <w:rFonts w:ascii="Arial" w:cs="Arial" w:eastAsia="Arial" w:hAnsi="Arial"/>
                <w:sz w:val="12"/>
                <w:szCs w:val="12"/>
                <w:color w:val="auto"/>
              </w:rPr>
              <w:t>During</w:t>
            </w:r>
          </w:p>
        </w:tc>
        <w:tc>
          <w:tcPr>
            <w:tcW w:w="660" w:type="dxa"/>
            <w:vAlign w:val="bottom"/>
          </w:tcPr>
          <w:p>
            <w:pPr>
              <w:jc w:val="center"/>
              <w:spacing w:after="0" w:line="125" w:lineRule="exact"/>
              <w:rPr>
                <w:sz w:val="20"/>
                <w:szCs w:val="20"/>
                <w:color w:val="auto"/>
              </w:rPr>
            </w:pPr>
            <w:r>
              <w:rPr>
                <w:rFonts w:ascii="Arial" w:cs="Arial" w:eastAsia="Arial" w:hAnsi="Arial"/>
                <w:sz w:val="12"/>
                <w:szCs w:val="12"/>
                <w:color w:val="auto"/>
              </w:rPr>
              <w:t>During</w:t>
            </w:r>
          </w:p>
        </w:tc>
      </w:tr>
      <w:tr>
        <w:trPr>
          <w:trHeight w:val="160"/>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Identification Number</w:t>
            </w:r>
          </w:p>
        </w:tc>
        <w:tc>
          <w:tcPr>
            <w:tcW w:w="780" w:type="dxa"/>
            <w:vAlign w:val="bottom"/>
            <w:tcBorders>
              <w:bottom w:val="single" w:sz="8" w:color="auto"/>
            </w:tcBorders>
          </w:tcPr>
          <w:p>
            <w:pPr>
              <w:jc w:val="center"/>
              <w:ind w:left="58"/>
              <w:spacing w:after="0"/>
              <w:rPr>
                <w:sz w:val="20"/>
                <w:szCs w:val="20"/>
                <w:color w:val="auto"/>
              </w:rPr>
            </w:pPr>
            <w:r>
              <w:rPr>
                <w:rFonts w:ascii="Arial" w:cs="Arial" w:eastAsia="Arial" w:hAnsi="Arial"/>
                <w:sz w:val="12"/>
                <w:szCs w:val="12"/>
                <w:color w:val="auto"/>
              </w:rPr>
              <w:t>Citations</w:t>
            </w: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Orders</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Orders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Violations</w:t>
            </w: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Orders</w:t>
            </w:r>
          </w:p>
        </w:tc>
        <w:tc>
          <w:tcPr>
            <w:tcW w:w="94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2"/>
                <w:szCs w:val="12"/>
                <w:color w:val="auto"/>
                <w:w w:val="99"/>
              </w:rPr>
              <w:t>Proposed</w:t>
            </w:r>
            <w:r>
              <w:rPr>
                <w:rFonts w:ascii="Arial" w:cs="Arial" w:eastAsia="Arial" w:hAnsi="Arial"/>
                <w:sz w:val="16"/>
                <w:szCs w:val="16"/>
                <w:color w:val="auto"/>
                <w:w w:val="99"/>
                <w:vertAlign w:val="superscript"/>
              </w:rPr>
              <w:t>(1)</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Fatalities</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(yes/no)</w:t>
            </w:r>
          </w:p>
        </w:tc>
        <w:tc>
          <w:tcPr>
            <w:tcW w:w="7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of Period</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Period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Period</w:t>
            </w:r>
          </w:p>
        </w:tc>
      </w:tr>
      <w:tr>
        <w:trPr>
          <w:trHeight w:val="300"/>
        </w:trPr>
        <w:tc>
          <w:tcPr>
            <w:tcW w:w="1960" w:type="dxa"/>
            <w:vAlign w:val="bottom"/>
          </w:tcPr>
          <w:p>
            <w:pPr>
              <w:ind w:left="20"/>
              <w:spacing w:after="0"/>
              <w:rPr>
                <w:sz w:val="20"/>
                <w:szCs w:val="20"/>
                <w:color w:val="auto"/>
              </w:rPr>
            </w:pPr>
            <w:r>
              <w:rPr>
                <w:rFonts w:ascii="Arial" w:cs="Arial" w:eastAsia="Arial" w:hAnsi="Arial"/>
                <w:sz w:val="12"/>
                <w:szCs w:val="12"/>
                <w:color w:val="auto"/>
              </w:rPr>
              <w:t>Amelia Barite Plant/1600825</w:t>
            </w:r>
          </w:p>
        </w:tc>
        <w:tc>
          <w:tcPr>
            <w:tcW w:w="780" w:type="dxa"/>
            <w:vAlign w:val="bottom"/>
          </w:tcPr>
          <w:p>
            <w:pPr>
              <w:jc w:val="center"/>
              <w:ind w:left="58"/>
              <w:spacing w:after="0"/>
              <w:rPr>
                <w:sz w:val="20"/>
                <w:szCs w:val="20"/>
                <w:color w:val="auto"/>
              </w:rPr>
            </w:pPr>
            <w:r>
              <w:rPr>
                <w:rFonts w:ascii="Arial" w:cs="Arial" w:eastAsia="Arial" w:hAnsi="Arial"/>
                <w:sz w:val="12"/>
                <w:szCs w:val="12"/>
                <w:color w:val="auto"/>
                <w:w w:val="89"/>
              </w:rPr>
              <w:t>1</w:t>
            </w:r>
          </w:p>
        </w:tc>
        <w:tc>
          <w:tcPr>
            <w:tcW w:w="62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700" w:type="dxa"/>
            <w:vAlign w:val="bottom"/>
          </w:tcPr>
          <w:p>
            <w:pPr>
              <w:jc w:val="center"/>
              <w:spacing w:after="0"/>
              <w:rPr>
                <w:sz w:val="20"/>
                <w:szCs w:val="20"/>
                <w:color w:val="auto"/>
              </w:rPr>
            </w:pPr>
            <w:r>
              <w:rPr>
                <w:rFonts w:ascii="Arial" w:cs="Arial" w:eastAsia="Arial" w:hAnsi="Arial"/>
                <w:sz w:val="12"/>
                <w:szCs w:val="12"/>
                <w:color w:val="auto"/>
              </w:rPr>
              <w:t>─</w:t>
            </w: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64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940" w:type="dxa"/>
            <w:vAlign w:val="bottom"/>
          </w:tcPr>
          <w:p>
            <w:pPr>
              <w:jc w:val="center"/>
              <w:spacing w:after="0"/>
              <w:rPr>
                <w:sz w:val="20"/>
                <w:szCs w:val="20"/>
                <w:color w:val="auto"/>
              </w:rPr>
            </w:pPr>
            <w:r>
              <w:rPr>
                <w:rFonts w:ascii="Arial" w:cs="Arial" w:eastAsia="Arial" w:hAnsi="Arial"/>
                <w:sz w:val="12"/>
                <w:szCs w:val="12"/>
                <w:color w:val="auto"/>
              </w:rPr>
              <w:t>$870</w:t>
            </w: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680" w:type="dxa"/>
            <w:vAlign w:val="bottom"/>
          </w:tcPr>
          <w:p>
            <w:pPr>
              <w:jc w:val="center"/>
              <w:spacing w:after="0"/>
              <w:rPr>
                <w:sz w:val="20"/>
                <w:szCs w:val="20"/>
                <w:color w:val="auto"/>
              </w:rPr>
            </w:pPr>
            <w:r>
              <w:rPr>
                <w:rFonts w:ascii="Arial" w:cs="Arial" w:eastAsia="Arial" w:hAnsi="Arial"/>
                <w:sz w:val="12"/>
                <w:szCs w:val="12"/>
                <w:color w:val="auto"/>
              </w:rPr>
              <w:t>N</w:t>
            </w:r>
          </w:p>
        </w:tc>
        <w:tc>
          <w:tcPr>
            <w:tcW w:w="720" w:type="dxa"/>
            <w:vAlign w:val="bottom"/>
          </w:tcPr>
          <w:p>
            <w:pPr>
              <w:jc w:val="center"/>
              <w:spacing w:after="0"/>
              <w:rPr>
                <w:sz w:val="20"/>
                <w:szCs w:val="20"/>
                <w:color w:val="auto"/>
              </w:rPr>
            </w:pPr>
            <w:r>
              <w:rPr>
                <w:rFonts w:ascii="Arial" w:cs="Arial" w:eastAsia="Arial" w:hAnsi="Arial"/>
                <w:sz w:val="12"/>
                <w:szCs w:val="12"/>
                <w:color w:val="auto"/>
              </w:rPr>
              <w:t>N</w:t>
            </w:r>
          </w:p>
        </w:tc>
        <w:tc>
          <w:tcPr>
            <w:tcW w:w="64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62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660" w:type="dxa"/>
            <w:vAlign w:val="bottom"/>
          </w:tcPr>
          <w:p>
            <w:pPr>
              <w:jc w:val="center"/>
              <w:spacing w:after="0"/>
              <w:rPr>
                <w:sz w:val="20"/>
                <w:szCs w:val="20"/>
                <w:color w:val="auto"/>
              </w:rPr>
            </w:pPr>
            <w:r>
              <w:rPr>
                <w:rFonts w:ascii="Arial" w:cs="Arial" w:eastAsia="Arial" w:hAnsi="Arial"/>
                <w:sz w:val="12"/>
                <w:szCs w:val="12"/>
                <w:color w:val="auto"/>
              </w:rPr>
              <w:t>─</w:t>
            </w:r>
          </w:p>
        </w:tc>
      </w:tr>
      <w:tr>
        <w:trPr>
          <w:trHeight w:val="288"/>
        </w:trPr>
        <w:tc>
          <w:tcPr>
            <w:tcW w:w="1960" w:type="dxa"/>
            <w:vAlign w:val="bottom"/>
          </w:tcPr>
          <w:p>
            <w:pPr>
              <w:ind w:left="20"/>
              <w:spacing w:after="0"/>
              <w:rPr>
                <w:sz w:val="20"/>
                <w:szCs w:val="20"/>
                <w:color w:val="auto"/>
              </w:rPr>
            </w:pPr>
            <w:r>
              <w:rPr>
                <w:rFonts w:ascii="Arial" w:cs="Arial" w:eastAsia="Arial" w:hAnsi="Arial"/>
                <w:sz w:val="12"/>
                <w:szCs w:val="12"/>
                <w:color w:val="auto"/>
              </w:rPr>
              <w:t>Battle Mountain Grinding</w:t>
            </w:r>
          </w:p>
        </w:tc>
        <w:tc>
          <w:tcPr>
            <w:tcW w:w="780" w:type="dxa"/>
            <w:vAlign w:val="bottom"/>
          </w:tcPr>
          <w:p>
            <w:pPr>
              <w:jc w:val="center"/>
              <w:ind w:left="58"/>
              <w:spacing w:after="0"/>
              <w:rPr>
                <w:sz w:val="20"/>
                <w:szCs w:val="20"/>
                <w:color w:val="auto"/>
              </w:rPr>
            </w:pPr>
            <w:r>
              <w:rPr>
                <w:rFonts w:ascii="Arial" w:cs="Arial" w:eastAsia="Arial" w:hAnsi="Arial"/>
                <w:sz w:val="12"/>
                <w:szCs w:val="12"/>
                <w:color w:val="auto"/>
              </w:rPr>
              <w:t>─</w:t>
            </w:r>
          </w:p>
        </w:tc>
        <w:tc>
          <w:tcPr>
            <w:tcW w:w="62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700" w:type="dxa"/>
            <w:vAlign w:val="bottom"/>
          </w:tcPr>
          <w:p>
            <w:pPr>
              <w:jc w:val="center"/>
              <w:spacing w:after="0"/>
              <w:rPr>
                <w:sz w:val="20"/>
                <w:szCs w:val="20"/>
                <w:color w:val="auto"/>
              </w:rPr>
            </w:pPr>
            <w:r>
              <w:rPr>
                <w:rFonts w:ascii="Arial" w:cs="Arial" w:eastAsia="Arial" w:hAnsi="Arial"/>
                <w:sz w:val="12"/>
                <w:szCs w:val="12"/>
                <w:color w:val="auto"/>
              </w:rPr>
              <w:t>─</w:t>
            </w: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64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940" w:type="dxa"/>
            <w:vAlign w:val="bottom"/>
          </w:tcPr>
          <w:p>
            <w:pPr>
              <w:jc w:val="center"/>
              <w:spacing w:after="0"/>
              <w:rPr>
                <w:sz w:val="20"/>
                <w:szCs w:val="20"/>
                <w:color w:val="auto"/>
              </w:rPr>
            </w:pPr>
            <w:r>
              <w:rPr>
                <w:rFonts w:ascii="Arial" w:cs="Arial" w:eastAsia="Arial" w:hAnsi="Arial"/>
                <w:sz w:val="12"/>
                <w:szCs w:val="12"/>
                <w:color w:val="auto"/>
              </w:rPr>
              <w:t>$932</w:t>
            </w: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680" w:type="dxa"/>
            <w:vAlign w:val="bottom"/>
          </w:tcPr>
          <w:p>
            <w:pPr>
              <w:jc w:val="center"/>
              <w:spacing w:after="0"/>
              <w:rPr>
                <w:sz w:val="20"/>
                <w:szCs w:val="20"/>
                <w:color w:val="auto"/>
              </w:rPr>
            </w:pPr>
            <w:r>
              <w:rPr>
                <w:rFonts w:ascii="Arial" w:cs="Arial" w:eastAsia="Arial" w:hAnsi="Arial"/>
                <w:sz w:val="12"/>
                <w:szCs w:val="12"/>
                <w:color w:val="auto"/>
              </w:rPr>
              <w:t>N</w:t>
            </w:r>
          </w:p>
        </w:tc>
        <w:tc>
          <w:tcPr>
            <w:tcW w:w="720" w:type="dxa"/>
            <w:vAlign w:val="bottom"/>
          </w:tcPr>
          <w:p>
            <w:pPr>
              <w:jc w:val="center"/>
              <w:spacing w:after="0"/>
              <w:rPr>
                <w:sz w:val="20"/>
                <w:szCs w:val="20"/>
                <w:color w:val="auto"/>
              </w:rPr>
            </w:pPr>
            <w:r>
              <w:rPr>
                <w:rFonts w:ascii="Arial" w:cs="Arial" w:eastAsia="Arial" w:hAnsi="Arial"/>
                <w:sz w:val="12"/>
                <w:szCs w:val="12"/>
                <w:color w:val="auto"/>
              </w:rPr>
              <w:t>N</w:t>
            </w:r>
          </w:p>
        </w:tc>
        <w:tc>
          <w:tcPr>
            <w:tcW w:w="64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62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660" w:type="dxa"/>
            <w:vAlign w:val="bottom"/>
          </w:tcPr>
          <w:p>
            <w:pPr>
              <w:jc w:val="center"/>
              <w:spacing w:after="0"/>
              <w:rPr>
                <w:sz w:val="20"/>
                <w:szCs w:val="20"/>
                <w:color w:val="auto"/>
              </w:rPr>
            </w:pPr>
            <w:r>
              <w:rPr>
                <w:rFonts w:ascii="Arial" w:cs="Arial" w:eastAsia="Arial" w:hAnsi="Arial"/>
                <w:sz w:val="12"/>
                <w:szCs w:val="12"/>
                <w:color w:val="auto"/>
              </w:rPr>
              <w:t>─</w:t>
            </w:r>
          </w:p>
        </w:tc>
      </w:tr>
      <w:tr>
        <w:trPr>
          <w:trHeight w:val="164"/>
        </w:trPr>
        <w:tc>
          <w:tcPr>
            <w:tcW w:w="1960" w:type="dxa"/>
            <w:vAlign w:val="bottom"/>
          </w:tcPr>
          <w:p>
            <w:pPr>
              <w:ind w:left="20"/>
              <w:spacing w:after="0"/>
              <w:rPr>
                <w:sz w:val="20"/>
                <w:szCs w:val="20"/>
                <w:color w:val="auto"/>
              </w:rPr>
            </w:pPr>
            <w:r>
              <w:rPr>
                <w:rFonts w:ascii="Arial" w:cs="Arial" w:eastAsia="Arial" w:hAnsi="Arial"/>
                <w:sz w:val="12"/>
                <w:szCs w:val="12"/>
                <w:color w:val="auto"/>
              </w:rPr>
              <w:t>Plant/2600828</w:t>
            </w: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19"/>
        </w:trPr>
        <w:tc>
          <w:tcPr>
            <w:tcW w:w="1960" w:type="dxa"/>
            <w:vAlign w:val="bottom"/>
          </w:tcPr>
          <w:p>
            <w:pPr>
              <w:ind w:left="20"/>
              <w:spacing w:after="0"/>
              <w:rPr>
                <w:sz w:val="20"/>
                <w:szCs w:val="20"/>
                <w:color w:val="auto"/>
              </w:rPr>
            </w:pPr>
            <w:r>
              <w:rPr>
                <w:rFonts w:ascii="Arial" w:cs="Arial" w:eastAsia="Arial" w:hAnsi="Arial"/>
                <w:sz w:val="12"/>
                <w:szCs w:val="12"/>
                <w:color w:val="auto"/>
              </w:rPr>
              <w:t>Greystone Mine/2600411</w:t>
            </w:r>
          </w:p>
        </w:tc>
        <w:tc>
          <w:tcPr>
            <w:tcW w:w="780" w:type="dxa"/>
            <w:vAlign w:val="bottom"/>
          </w:tcPr>
          <w:p>
            <w:pPr>
              <w:jc w:val="center"/>
              <w:ind w:left="58"/>
              <w:spacing w:after="0"/>
              <w:rPr>
                <w:sz w:val="20"/>
                <w:szCs w:val="20"/>
                <w:color w:val="auto"/>
              </w:rPr>
            </w:pPr>
            <w:r>
              <w:rPr>
                <w:rFonts w:ascii="Arial" w:cs="Arial" w:eastAsia="Arial" w:hAnsi="Arial"/>
                <w:sz w:val="12"/>
                <w:szCs w:val="12"/>
                <w:color w:val="auto"/>
              </w:rPr>
              <w:t>─</w:t>
            </w:r>
          </w:p>
        </w:tc>
        <w:tc>
          <w:tcPr>
            <w:tcW w:w="62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700" w:type="dxa"/>
            <w:vAlign w:val="bottom"/>
          </w:tcPr>
          <w:p>
            <w:pPr>
              <w:jc w:val="center"/>
              <w:spacing w:after="0"/>
              <w:rPr>
                <w:sz w:val="20"/>
                <w:szCs w:val="20"/>
                <w:color w:val="auto"/>
              </w:rPr>
            </w:pPr>
            <w:r>
              <w:rPr>
                <w:rFonts w:ascii="Arial" w:cs="Arial" w:eastAsia="Arial" w:hAnsi="Arial"/>
                <w:sz w:val="12"/>
                <w:szCs w:val="12"/>
                <w:color w:val="auto"/>
              </w:rPr>
              <w:t>─</w:t>
            </w: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64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940" w:type="dxa"/>
            <w:vAlign w:val="bottom"/>
          </w:tcPr>
          <w:p>
            <w:pPr>
              <w:jc w:val="center"/>
              <w:spacing w:after="0"/>
              <w:rPr>
                <w:sz w:val="20"/>
                <w:szCs w:val="20"/>
                <w:color w:val="auto"/>
              </w:rPr>
            </w:pPr>
            <w:r>
              <w:rPr>
                <w:rFonts w:ascii="Arial" w:cs="Arial" w:eastAsia="Arial" w:hAnsi="Arial"/>
                <w:sz w:val="12"/>
                <w:szCs w:val="12"/>
                <w:color w:val="auto"/>
              </w:rPr>
              <w:t>$735</w:t>
            </w: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680" w:type="dxa"/>
            <w:vAlign w:val="bottom"/>
          </w:tcPr>
          <w:p>
            <w:pPr>
              <w:jc w:val="center"/>
              <w:spacing w:after="0"/>
              <w:rPr>
                <w:sz w:val="20"/>
                <w:szCs w:val="20"/>
                <w:color w:val="auto"/>
              </w:rPr>
            </w:pPr>
            <w:r>
              <w:rPr>
                <w:rFonts w:ascii="Arial" w:cs="Arial" w:eastAsia="Arial" w:hAnsi="Arial"/>
                <w:sz w:val="12"/>
                <w:szCs w:val="12"/>
                <w:color w:val="auto"/>
              </w:rPr>
              <w:t>N</w:t>
            </w:r>
          </w:p>
        </w:tc>
        <w:tc>
          <w:tcPr>
            <w:tcW w:w="720" w:type="dxa"/>
            <w:vAlign w:val="bottom"/>
          </w:tcPr>
          <w:p>
            <w:pPr>
              <w:jc w:val="center"/>
              <w:spacing w:after="0"/>
              <w:rPr>
                <w:sz w:val="20"/>
                <w:szCs w:val="20"/>
                <w:color w:val="auto"/>
              </w:rPr>
            </w:pPr>
            <w:r>
              <w:rPr>
                <w:rFonts w:ascii="Arial" w:cs="Arial" w:eastAsia="Arial" w:hAnsi="Arial"/>
                <w:sz w:val="12"/>
                <w:szCs w:val="12"/>
                <w:color w:val="auto"/>
              </w:rPr>
              <w:t>N</w:t>
            </w:r>
          </w:p>
        </w:tc>
        <w:tc>
          <w:tcPr>
            <w:tcW w:w="64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62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660" w:type="dxa"/>
            <w:vAlign w:val="bottom"/>
          </w:tcPr>
          <w:p>
            <w:pPr>
              <w:jc w:val="center"/>
              <w:spacing w:after="0"/>
              <w:rPr>
                <w:sz w:val="20"/>
                <w:szCs w:val="20"/>
                <w:color w:val="auto"/>
              </w:rPr>
            </w:pPr>
            <w:r>
              <w:rPr>
                <w:rFonts w:ascii="Arial" w:cs="Arial" w:eastAsia="Arial" w:hAnsi="Arial"/>
                <w:sz w:val="12"/>
                <w:szCs w:val="12"/>
                <w:color w:val="auto"/>
              </w:rPr>
              <w:t>─</w:t>
            </w:r>
          </w:p>
        </w:tc>
      </w:tr>
      <w:tr>
        <w:trPr>
          <w:trHeight w:val="288"/>
        </w:trPr>
        <w:tc>
          <w:tcPr>
            <w:tcW w:w="1960" w:type="dxa"/>
            <w:vAlign w:val="bottom"/>
          </w:tcPr>
          <w:p>
            <w:pPr>
              <w:ind w:left="20"/>
              <w:spacing w:after="0"/>
              <w:rPr>
                <w:sz w:val="20"/>
                <w:szCs w:val="20"/>
                <w:color w:val="auto"/>
              </w:rPr>
            </w:pPr>
            <w:r>
              <w:rPr>
                <w:rFonts w:ascii="Arial" w:cs="Arial" w:eastAsia="Arial" w:hAnsi="Arial"/>
                <w:sz w:val="12"/>
                <w:szCs w:val="12"/>
                <w:color w:val="auto"/>
              </w:rPr>
              <w:t>Mountain Springs Beneficiation</w:t>
            </w:r>
          </w:p>
        </w:tc>
        <w:tc>
          <w:tcPr>
            <w:tcW w:w="780" w:type="dxa"/>
            <w:vAlign w:val="bottom"/>
          </w:tcPr>
          <w:p>
            <w:pPr>
              <w:jc w:val="center"/>
              <w:ind w:left="58"/>
              <w:spacing w:after="0"/>
              <w:rPr>
                <w:sz w:val="20"/>
                <w:szCs w:val="20"/>
                <w:color w:val="auto"/>
              </w:rPr>
            </w:pPr>
            <w:r>
              <w:rPr>
                <w:rFonts w:ascii="Arial" w:cs="Arial" w:eastAsia="Arial" w:hAnsi="Arial"/>
                <w:sz w:val="12"/>
                <w:szCs w:val="12"/>
                <w:color w:val="auto"/>
              </w:rPr>
              <w:t>─</w:t>
            </w:r>
          </w:p>
        </w:tc>
        <w:tc>
          <w:tcPr>
            <w:tcW w:w="62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700" w:type="dxa"/>
            <w:vAlign w:val="bottom"/>
          </w:tcPr>
          <w:p>
            <w:pPr>
              <w:jc w:val="center"/>
              <w:spacing w:after="0"/>
              <w:rPr>
                <w:sz w:val="20"/>
                <w:szCs w:val="20"/>
                <w:color w:val="auto"/>
              </w:rPr>
            </w:pPr>
            <w:r>
              <w:rPr>
                <w:rFonts w:ascii="Arial" w:cs="Arial" w:eastAsia="Arial" w:hAnsi="Arial"/>
                <w:sz w:val="12"/>
                <w:szCs w:val="12"/>
                <w:color w:val="auto"/>
              </w:rPr>
              <w:t>─</w:t>
            </w: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64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940" w:type="dxa"/>
            <w:vAlign w:val="bottom"/>
          </w:tcPr>
          <w:p>
            <w:pPr>
              <w:jc w:val="center"/>
              <w:spacing w:after="0"/>
              <w:rPr>
                <w:sz w:val="20"/>
                <w:szCs w:val="20"/>
                <w:color w:val="auto"/>
              </w:rPr>
            </w:pPr>
            <w:r>
              <w:rPr>
                <w:rFonts w:ascii="Arial" w:cs="Arial" w:eastAsia="Arial" w:hAnsi="Arial"/>
                <w:sz w:val="12"/>
                <w:szCs w:val="12"/>
                <w:color w:val="auto"/>
              </w:rPr>
              <w:t>$147</w:t>
            </w: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680" w:type="dxa"/>
            <w:vAlign w:val="bottom"/>
          </w:tcPr>
          <w:p>
            <w:pPr>
              <w:jc w:val="center"/>
              <w:spacing w:after="0"/>
              <w:rPr>
                <w:sz w:val="20"/>
                <w:szCs w:val="20"/>
                <w:color w:val="auto"/>
              </w:rPr>
            </w:pPr>
            <w:r>
              <w:rPr>
                <w:rFonts w:ascii="Arial" w:cs="Arial" w:eastAsia="Arial" w:hAnsi="Arial"/>
                <w:sz w:val="12"/>
                <w:szCs w:val="12"/>
                <w:color w:val="auto"/>
              </w:rPr>
              <w:t>N</w:t>
            </w:r>
          </w:p>
        </w:tc>
        <w:tc>
          <w:tcPr>
            <w:tcW w:w="720" w:type="dxa"/>
            <w:vAlign w:val="bottom"/>
          </w:tcPr>
          <w:p>
            <w:pPr>
              <w:jc w:val="center"/>
              <w:spacing w:after="0"/>
              <w:rPr>
                <w:sz w:val="20"/>
                <w:szCs w:val="20"/>
                <w:color w:val="auto"/>
              </w:rPr>
            </w:pPr>
            <w:r>
              <w:rPr>
                <w:rFonts w:ascii="Arial" w:cs="Arial" w:eastAsia="Arial" w:hAnsi="Arial"/>
                <w:sz w:val="12"/>
                <w:szCs w:val="12"/>
                <w:color w:val="auto"/>
              </w:rPr>
              <w:t>N</w:t>
            </w:r>
          </w:p>
        </w:tc>
        <w:tc>
          <w:tcPr>
            <w:tcW w:w="64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62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660" w:type="dxa"/>
            <w:vAlign w:val="bottom"/>
          </w:tcPr>
          <w:p>
            <w:pPr>
              <w:jc w:val="center"/>
              <w:spacing w:after="0"/>
              <w:rPr>
                <w:sz w:val="20"/>
                <w:szCs w:val="20"/>
                <w:color w:val="auto"/>
              </w:rPr>
            </w:pPr>
            <w:r>
              <w:rPr>
                <w:rFonts w:ascii="Arial" w:cs="Arial" w:eastAsia="Arial" w:hAnsi="Arial"/>
                <w:sz w:val="12"/>
                <w:szCs w:val="12"/>
                <w:color w:val="auto"/>
              </w:rPr>
              <w:t>─</w:t>
            </w:r>
          </w:p>
        </w:tc>
      </w:tr>
      <w:tr>
        <w:trPr>
          <w:trHeight w:val="164"/>
        </w:trPr>
        <w:tc>
          <w:tcPr>
            <w:tcW w:w="1960" w:type="dxa"/>
            <w:vAlign w:val="bottom"/>
          </w:tcPr>
          <w:p>
            <w:pPr>
              <w:ind w:left="20"/>
              <w:spacing w:after="0"/>
              <w:rPr>
                <w:sz w:val="20"/>
                <w:szCs w:val="20"/>
                <w:color w:val="auto"/>
              </w:rPr>
            </w:pPr>
            <w:r>
              <w:rPr>
                <w:rFonts w:ascii="Arial" w:cs="Arial" w:eastAsia="Arial" w:hAnsi="Arial"/>
                <w:sz w:val="12"/>
                <w:szCs w:val="12"/>
                <w:color w:val="auto"/>
              </w:rPr>
              <w:t>Plant/2601390</w:t>
            </w: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323" w:lineRule="exact"/>
        <w:rPr>
          <w:sz w:val="20"/>
          <w:szCs w:val="20"/>
          <w:color w:val="auto"/>
        </w:rPr>
      </w:pPr>
    </w:p>
    <w:p>
      <w:pPr>
        <w:jc w:val="both"/>
        <w:ind w:left="900" w:hanging="519"/>
        <w:spacing w:after="0" w:line="250" w:lineRule="auto"/>
        <w:tabs>
          <w:tab w:leader="none" w:pos="9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Amounts included are the total dollar value of proposed assessments received from MSHA on or before December 31, 2024, regardless of whether the assessment has been challenged or appealed, for citations and orders occurring during the full year 2024.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1148080</wp:posOffset>
            </wp:positionV>
            <wp:extent cx="7159625"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80" w:name="page81"/>
    <w:bookmarkEnd w:id="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3"/>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2"/>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1."/>
      <w:numFmt w:val="decimal"/>
      <w:start w:val="3"/>
    </w:lvl>
    <w:lvl w:ilvl="1">
      <w:lvlJc w:val="left"/>
      <w:lvlText w:val="•"/>
      <w:numFmt w:val="bullet"/>
      <w:start w:val="1"/>
    </w:lvl>
  </w:abstractNum>
  <w:abstractNum w:abstractNumId="28">
    <w:nsid w:val="1D4ED43B"/>
    <w:multiLevelType w:val="hybridMultilevel"/>
    <w:lvl w:ilvl="0">
      <w:lvlJc w:val="left"/>
      <w:lvlText w:val="%1."/>
      <w:numFmt w:val="decimal"/>
      <w:start w:val="5"/>
    </w:lvl>
  </w:abstractNum>
  <w:abstractNum w:abstractNumId="29">
    <w:nsid w:val="725A06FB"/>
    <w:multiLevelType w:val="hybridMultilevel"/>
    <w:lvl w:ilvl="0">
      <w:lvlJc w:val="left"/>
      <w:lvlText w:val="%1."/>
      <w:numFmt w:val="decimal"/>
      <w:start w:val="6"/>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2"/>
    </w:lvl>
  </w:abstractNum>
  <w:abstractNum w:abstractNumId="32">
    <w:nsid w:val="7A6D8D3C"/>
    <w:multiLevelType w:val="hybridMultilevel"/>
    <w:lvl w:ilvl="0">
      <w:lvlJc w:val="left"/>
      <w:lvlText w:val="%1."/>
      <w:numFmt w:val="decimal"/>
      <w:start w:val="7"/>
    </w:lvl>
  </w:abstractNum>
  <w:abstractNum w:abstractNumId="33">
    <w:nsid w:val="4B588F54"/>
    <w:multiLevelType w:val="hybridMultilevel"/>
    <w:lvl w:ilvl="0">
      <w:lvlJc w:val="left"/>
      <w:lvlText w:val="%1."/>
      <w:numFmt w:val="decimal"/>
      <w:start w:val="9"/>
    </w:lvl>
  </w:abstractNum>
  <w:abstractNum w:abstractNumId="34">
    <w:nsid w:val="542289EC"/>
    <w:multiLevelType w:val="hybridMultilevel"/>
    <w:lvl w:ilvl="0">
      <w:lvlJc w:val="left"/>
      <w:lvlText w:val="%1."/>
      <w:numFmt w:val="decimal"/>
      <w:start w:val="10"/>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1."/>
      <w:numFmt w:val="decimal"/>
      <w:start w:val="11"/>
    </w:lvl>
  </w:abstractNum>
  <w:abstractNum w:abstractNumId="38">
    <w:nsid w:val="32FFF902"/>
    <w:multiLevelType w:val="hybridMultilevel"/>
    <w:lvl w:ilvl="0">
      <w:lvlJc w:val="left"/>
      <w:lvlText w:val="%1."/>
      <w:numFmt w:val="decimal"/>
      <w:start w:val="12"/>
    </w:lvl>
  </w:abstractNum>
  <w:abstractNum w:abstractNumId="39">
    <w:nsid w:val="684A481A"/>
    <w:multiLevelType w:val="hybridMultilevel"/>
    <w:lvl w:ilvl="0">
      <w:lvlJc w:val="left"/>
      <w:lvlText w:val="%1."/>
      <w:numFmt w:val="decimal"/>
      <w:start w:val="13"/>
    </w:lvl>
  </w:abstractNum>
  <w:abstractNum w:abstractNumId="40">
    <w:nsid w:val="579478FE"/>
    <w:multiLevelType w:val="hybridMultilevel"/>
    <w:lvl w:ilvl="0">
      <w:lvlJc w:val="left"/>
      <w:lvlText w:val="%1."/>
      <w:numFmt w:val="decimal"/>
      <w:start w:val="14"/>
    </w:lvl>
  </w:abstractNum>
  <w:abstractNum w:abstractNumId="41">
    <w:nsid w:val="749ABB43"/>
    <w:multiLevelType w:val="hybridMultilevel"/>
    <w:lvl w:ilvl="0">
      <w:lvlJc w:val="left"/>
      <w:lvlText w:val="%1."/>
      <w:numFmt w:val="decimal"/>
      <w:start w:val="15"/>
    </w:lvl>
  </w:abstractNum>
  <w:abstractNum w:abstractNumId="42">
    <w:nsid w:val="3DC240FB"/>
    <w:multiLevelType w:val="hybridMultilevel"/>
    <w:lvl w:ilvl="0">
      <w:lvlJc w:val="left"/>
      <w:lvlText w:val="%1."/>
      <w:numFmt w:val="decimal"/>
      <w:start w:val="16"/>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decimal"/>
      <w:start w:val="17"/>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1"/>
      <w:numFmt w:val="lowerLetter"/>
      <w:start w:val="1"/>
    </w:lvl>
    <w:lvl w:ilvl="1">
      <w:lvlJc w:val="left"/>
      <w:lvlText w:val="(%2)"/>
      <w:numFmt w:val="decimal"/>
      <w:start w:val="2"/>
    </w:lvl>
  </w:abstractNum>
  <w:abstractNum w:abstractNumId="48">
    <w:nsid w:val="520EEDD1"/>
    <w:multiLevelType w:val="hybridMultilevel"/>
    <w:lvl w:ilvl="0">
      <w:lvlJc w:val="left"/>
      <w:lvlText w:val="(%1)"/>
      <w:numFmt w:val="lowerLetter"/>
      <w:start w:val="2"/>
    </w:lvl>
    <w:lvl w:ilvl="1">
      <w:lvlJc w:val="left"/>
      <w:lvlText w:val="%2"/>
      <w:numFmt w:val="decimal"/>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52">
    <w:nsid w:val="649BB77C"/>
    <w:multiLevelType w:val="hybridMultilevel"/>
    <w:lvl w:ilvl="0">
      <w:lvlJc w:val="left"/>
      <w:lvlText w:val="%1."/>
      <w:numFmt w:val="lowerLetter"/>
      <w:start w:val="1"/>
    </w:lvl>
    <w:lvl w:ilvl="1">
      <w:lvlJc w:val="left"/>
      <w:lvlText w:val="%2."/>
      <w:numFmt w:val="lowerLetter"/>
      <w:start w:val="2"/>
    </w:lvl>
  </w:abstractNum>
  <w:abstractNum w:abstractNumId="53">
    <w:nsid w:val="275AC794"/>
    <w:multiLevelType w:val="hybridMultilevel"/>
    <w:lvl w:ilvl="0">
      <w:lvlJc w:val="left"/>
      <w:lvlText w:val="%1."/>
      <w:numFmt w:val="decimal"/>
      <w:start w:val="1"/>
    </w:lvl>
    <w:lvl w:ilvl="1">
      <w:lvlJc w:val="left"/>
      <w:lvlText w:val="%2)"/>
      <w:numFmt w:val="lowerLetter"/>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13" Type="http://schemas.openxmlformats.org/officeDocument/2006/relationships/image" Target="media/image498.png"/><Relationship Id="rId514" Type="http://schemas.openxmlformats.org/officeDocument/2006/relationships/image" Target="media/image499.png"/><Relationship Id="rId516" Type="http://schemas.openxmlformats.org/officeDocument/2006/relationships/image" Target="media/image500.png"/><Relationship Id="rId518" Type="http://schemas.openxmlformats.org/officeDocument/2006/relationships/image" Target="media/image501.png"/><Relationship Id="rId519" Type="http://schemas.openxmlformats.org/officeDocument/2006/relationships/image" Target="media/image502.png"/><Relationship Id="rId520" Type="http://schemas.openxmlformats.org/officeDocument/2006/relationships/image" Target="media/image503.png"/><Relationship Id="rId522" Type="http://schemas.openxmlformats.org/officeDocument/2006/relationships/image" Target="media/image504.png"/><Relationship Id="rId523" Type="http://schemas.openxmlformats.org/officeDocument/2006/relationships/image" Target="media/image505.png"/><Relationship Id="rId524" Type="http://schemas.openxmlformats.org/officeDocument/2006/relationships/image" Target="media/image506.png"/><Relationship Id="rId526" Type="http://schemas.openxmlformats.org/officeDocument/2006/relationships/image" Target="media/image507.png"/><Relationship Id="rId527" Type="http://schemas.openxmlformats.org/officeDocument/2006/relationships/image" Target="media/image508.png"/><Relationship Id="rId528" Type="http://schemas.openxmlformats.org/officeDocument/2006/relationships/image" Target="media/image509.png"/><Relationship Id="rId530" Type="http://schemas.openxmlformats.org/officeDocument/2006/relationships/image" Target="media/image510.png"/><Relationship Id="rId531" Type="http://schemas.openxmlformats.org/officeDocument/2006/relationships/image" Target="media/image511.png"/><Relationship Id="rId533" Type="http://schemas.openxmlformats.org/officeDocument/2006/relationships/image" Target="media/image512.png"/><Relationship Id="rId534" Type="http://schemas.openxmlformats.org/officeDocument/2006/relationships/image" Target="media/image513.png"/><Relationship Id="rId535" Type="http://schemas.openxmlformats.org/officeDocument/2006/relationships/image" Target="media/image514.png"/><Relationship Id="rId537" Type="http://schemas.openxmlformats.org/officeDocument/2006/relationships/image" Target="media/image515.png"/><Relationship Id="rId538" Type="http://schemas.openxmlformats.org/officeDocument/2006/relationships/image" Target="media/image516.png"/><Relationship Id="rId540" Type="http://schemas.openxmlformats.org/officeDocument/2006/relationships/image" Target="media/image517.png"/><Relationship Id="rId541" Type="http://schemas.openxmlformats.org/officeDocument/2006/relationships/image" Target="media/image518.png"/><Relationship Id="rId543" Type="http://schemas.openxmlformats.org/officeDocument/2006/relationships/image" Target="media/image519.png"/><Relationship Id="rId544" Type="http://schemas.openxmlformats.org/officeDocument/2006/relationships/image" Target="media/image520.png"/><Relationship Id="rId546" Type="http://schemas.openxmlformats.org/officeDocument/2006/relationships/image" Target="media/image521.png"/><Relationship Id="rId547" Type="http://schemas.openxmlformats.org/officeDocument/2006/relationships/image" Target="media/image522.png"/><Relationship Id="rId549" Type="http://schemas.openxmlformats.org/officeDocument/2006/relationships/image" Target="media/image523.png"/><Relationship Id="rId550" Type="http://schemas.openxmlformats.org/officeDocument/2006/relationships/image" Target="media/image524.png"/><Relationship Id="rId552" Type="http://schemas.openxmlformats.org/officeDocument/2006/relationships/image" Target="media/image525.png"/><Relationship Id="rId553" Type="http://schemas.openxmlformats.org/officeDocument/2006/relationships/image" Target="media/image526.png"/><Relationship Id="rId555" Type="http://schemas.openxmlformats.org/officeDocument/2006/relationships/image" Target="media/image527.png"/><Relationship Id="rId556" Type="http://schemas.openxmlformats.org/officeDocument/2006/relationships/image" Target="media/image528.png"/><Relationship Id="rId558" Type="http://schemas.openxmlformats.org/officeDocument/2006/relationships/image" Target="media/image529.png"/><Relationship Id="rId559" Type="http://schemas.openxmlformats.org/officeDocument/2006/relationships/image" Target="media/image530.png"/><Relationship Id="rId561" Type="http://schemas.openxmlformats.org/officeDocument/2006/relationships/image" Target="media/image531.png"/><Relationship Id="rId562" Type="http://schemas.openxmlformats.org/officeDocument/2006/relationships/image" Target="media/image532.png"/><Relationship Id="rId563" Type="http://schemas.openxmlformats.org/officeDocument/2006/relationships/image" Target="media/image533.png"/><Relationship Id="rId565" Type="http://schemas.openxmlformats.org/officeDocument/2006/relationships/image" Target="media/image534.png"/><Relationship Id="rId566" Type="http://schemas.openxmlformats.org/officeDocument/2006/relationships/image" Target="media/image535.png"/><Relationship Id="rId567" Type="http://schemas.openxmlformats.org/officeDocument/2006/relationships/image" Target="media/image536.png"/><Relationship Id="rId568" Type="http://schemas.openxmlformats.org/officeDocument/2006/relationships/image" Target="media/image537.png"/><Relationship Id="rId570" Type="http://schemas.openxmlformats.org/officeDocument/2006/relationships/image" Target="media/image538.png"/><Relationship Id="rId571" Type="http://schemas.openxmlformats.org/officeDocument/2006/relationships/image" Target="media/image539.png"/><Relationship Id="rId572" Type="http://schemas.openxmlformats.org/officeDocument/2006/relationships/image" Target="media/image540.png"/><Relationship Id="rId574" Type="http://schemas.openxmlformats.org/officeDocument/2006/relationships/image" Target="media/image541.png"/><Relationship Id="rId575" Type="http://schemas.openxmlformats.org/officeDocument/2006/relationships/image" Target="media/image542.png"/><Relationship Id="rId577" Type="http://schemas.openxmlformats.org/officeDocument/2006/relationships/image" Target="media/image543.png"/><Relationship Id="rId578" Type="http://schemas.openxmlformats.org/officeDocument/2006/relationships/image" Target="media/image544.png"/><Relationship Id="rId580" Type="http://schemas.openxmlformats.org/officeDocument/2006/relationships/image" Target="media/image545.png"/><Relationship Id="rId581" Type="http://schemas.openxmlformats.org/officeDocument/2006/relationships/image" Target="media/image546.png"/><Relationship Id="rId583" Type="http://schemas.openxmlformats.org/officeDocument/2006/relationships/image" Target="media/image547.png"/><Relationship Id="rId584" Type="http://schemas.openxmlformats.org/officeDocument/2006/relationships/image" Target="media/image548.png"/><Relationship Id="rId586" Type="http://schemas.openxmlformats.org/officeDocument/2006/relationships/image" Target="media/image549.png"/><Relationship Id="rId587" Type="http://schemas.openxmlformats.org/officeDocument/2006/relationships/image" Target="media/image550.png"/><Relationship Id="rId588" Type="http://schemas.openxmlformats.org/officeDocument/2006/relationships/image" Target="media/image551.png"/><Relationship Id="rId589" Type="http://schemas.openxmlformats.org/officeDocument/2006/relationships/image" Target="media/image552.png"/><Relationship Id="rId590" Type="http://schemas.openxmlformats.org/officeDocument/2006/relationships/image" Target="media/image553.png"/><Relationship Id="rId591" Type="http://schemas.openxmlformats.org/officeDocument/2006/relationships/image" Target="media/image554.png"/><Relationship Id="rId592" Type="http://schemas.openxmlformats.org/officeDocument/2006/relationships/image" Target="media/image555.png"/><Relationship Id="rId593" Type="http://schemas.openxmlformats.org/officeDocument/2006/relationships/image" Target="media/image556.png"/><Relationship Id="rId594" Type="http://schemas.openxmlformats.org/officeDocument/2006/relationships/image" Target="media/image557.png"/><Relationship Id="rId595" Type="http://schemas.openxmlformats.org/officeDocument/2006/relationships/image" Target="media/image558.png"/><Relationship Id="rId596" Type="http://schemas.openxmlformats.org/officeDocument/2006/relationships/image" Target="media/image559.png"/><Relationship Id="rId597" Type="http://schemas.openxmlformats.org/officeDocument/2006/relationships/image" Target="media/image560.png"/><Relationship Id="rId598" Type="http://schemas.openxmlformats.org/officeDocument/2006/relationships/image" Target="media/image561.png"/><Relationship Id="rId599" Type="http://schemas.openxmlformats.org/officeDocument/2006/relationships/image" Target="media/image562.png"/><Relationship Id="rId600" Type="http://schemas.openxmlformats.org/officeDocument/2006/relationships/image" Target="media/image563.png"/><Relationship Id="rId601" Type="http://schemas.openxmlformats.org/officeDocument/2006/relationships/image" Target="media/image564.png"/><Relationship Id="rId603" Type="http://schemas.openxmlformats.org/officeDocument/2006/relationships/image" Target="media/image565.png"/><Relationship Id="rId604" Type="http://schemas.openxmlformats.org/officeDocument/2006/relationships/image" Target="media/image566.png"/><Relationship Id="rId605" Type="http://schemas.openxmlformats.org/officeDocument/2006/relationships/image" Target="media/image567.png"/><Relationship Id="rId606" Type="http://schemas.openxmlformats.org/officeDocument/2006/relationships/image" Target="media/image568.png"/><Relationship Id="rId607" Type="http://schemas.openxmlformats.org/officeDocument/2006/relationships/image" Target="media/image569.png"/><Relationship Id="rId608" Type="http://schemas.openxmlformats.org/officeDocument/2006/relationships/image" Target="media/image570.png"/><Relationship Id="rId609" Type="http://schemas.openxmlformats.org/officeDocument/2006/relationships/image" Target="media/image571.png"/><Relationship Id="rId610" Type="http://schemas.openxmlformats.org/officeDocument/2006/relationships/image" Target="media/image572.jpeg"/><Relationship Id="rId611" Type="http://schemas.openxmlformats.org/officeDocument/2006/relationships/image" Target="media/image573.jpeg"/><Relationship Id="rId612" Type="http://schemas.openxmlformats.org/officeDocument/2006/relationships/image" Target="media/image574.png"/><Relationship Id="rId613" Type="http://schemas.openxmlformats.org/officeDocument/2006/relationships/image" Target="media/image575.png"/><Relationship Id="rId614" Type="http://schemas.openxmlformats.org/officeDocument/2006/relationships/image" Target="media/image576.jpeg"/><Relationship Id="rId615" Type="http://schemas.openxmlformats.org/officeDocument/2006/relationships/image" Target="media/image577.png"/><Relationship Id="rId616" Type="http://schemas.openxmlformats.org/officeDocument/2006/relationships/image" Target="media/image578.png"/><Relationship Id="rId617" Type="http://schemas.openxmlformats.org/officeDocument/2006/relationships/image" Target="media/image579.png"/><Relationship Id="rId618" Type="http://schemas.openxmlformats.org/officeDocument/2006/relationships/image" Target="media/image580.png"/><Relationship Id="rId619" Type="http://schemas.openxmlformats.org/officeDocument/2006/relationships/image" Target="media/image581.png"/><Relationship Id="rId620" Type="http://schemas.openxmlformats.org/officeDocument/2006/relationships/image" Target="media/image582.png"/><Relationship Id="rId621" Type="http://schemas.openxmlformats.org/officeDocument/2006/relationships/image" Target="media/image583.png"/><Relationship Id="rId622" Type="http://schemas.openxmlformats.org/officeDocument/2006/relationships/image" Target="media/image584.png"/><Relationship Id="rId623" Type="http://schemas.openxmlformats.org/officeDocument/2006/relationships/image" Target="media/image585.png"/><Relationship Id="rId624" Type="http://schemas.openxmlformats.org/officeDocument/2006/relationships/image" Target="media/image586.png"/><Relationship Id="rId625" Type="http://schemas.openxmlformats.org/officeDocument/2006/relationships/image" Target="media/image587.png"/><Relationship Id="rId626" Type="http://schemas.openxmlformats.org/officeDocument/2006/relationships/image" Target="media/image588.png"/><Relationship Id="rId627" Type="http://schemas.openxmlformats.org/officeDocument/2006/relationships/image" Target="media/image589.png"/><Relationship Id="rId628" Type="http://schemas.openxmlformats.org/officeDocument/2006/relationships/image" Target="media/image590.png"/><Relationship Id="rId629" Type="http://schemas.openxmlformats.org/officeDocument/2006/relationships/image" Target="media/image591.png"/><Relationship Id="rId630" Type="http://schemas.openxmlformats.org/officeDocument/2006/relationships/image" Target="media/image592.png"/><Relationship Id="rId631" Type="http://schemas.openxmlformats.org/officeDocument/2006/relationships/image" Target="media/image593.png"/><Relationship Id="rId632" Type="http://schemas.openxmlformats.org/officeDocument/2006/relationships/image" Target="media/image594.png"/><Relationship Id="rId633" Type="http://schemas.openxmlformats.org/officeDocument/2006/relationships/image" Target="media/image595.png"/><Relationship Id="rId634" Type="http://schemas.openxmlformats.org/officeDocument/2006/relationships/image" Target="media/image596.png"/><Relationship Id="rId635" Type="http://schemas.openxmlformats.org/officeDocument/2006/relationships/image" Target="media/image597.png"/><Relationship Id="rId636" Type="http://schemas.openxmlformats.org/officeDocument/2006/relationships/image" Target="media/image598.png"/><Relationship Id="rId637" Type="http://schemas.openxmlformats.org/officeDocument/2006/relationships/image" Target="media/image599.png"/><Relationship Id="rId638" Type="http://schemas.openxmlformats.org/officeDocument/2006/relationships/image" Target="media/image600.png"/><Relationship Id="rId639" Type="http://schemas.openxmlformats.org/officeDocument/2006/relationships/image" Target="media/image601.png"/><Relationship Id="rId640" Type="http://schemas.openxmlformats.org/officeDocument/2006/relationships/image" Target="media/image602.png"/><Relationship Id="rId505" Type="http://schemas.openxmlformats.org/officeDocument/2006/relationships/hyperlink" Target="https://www.sec.gov/Archives/edgar/data/87347/000119312524085160/d735749dex2.htm" TargetMode="External"/><Relationship Id="rId506" Type="http://schemas.openxmlformats.org/officeDocument/2006/relationships/hyperlink" Target="https://www.sec.gov/Archives/edgar/data/87347/000119312516532046/d176097dex31.htm" TargetMode="External"/><Relationship Id="rId507" Type="http://schemas.openxmlformats.org/officeDocument/2006/relationships/hyperlink" Target="https://www.sec.gov/Archives/edgar/data/87347/000119312523110532/d470769dex3.htm" TargetMode="External"/><Relationship Id="rId508" Type="http://schemas.openxmlformats.org/officeDocument/2006/relationships/hyperlink" Target="https://www.sec.gov/Archives/edgar/data/87347/000156459021002477/slb-ex41_56.htm" TargetMode="External"/><Relationship Id="rId509" Type="http://schemas.openxmlformats.org/officeDocument/2006/relationships/hyperlink" Target="https://www.sec.gov/Archives/edgar/data/87347/000119312513460494/d637672dex41.htm" TargetMode="External"/><Relationship Id="rId510" Type="http://schemas.openxmlformats.org/officeDocument/2006/relationships/hyperlink" Target="https://www.sec.gov/Archives/edgar/data/87347/000119312520180957/d925505dex41.htm" TargetMode="External"/><Relationship Id="rId511" Type="http://schemas.openxmlformats.org/officeDocument/2006/relationships/hyperlink" Target="https://www.sec.gov/Archives/edgar/data/87347/000119312523145038/d289147dex41.htm" TargetMode="External"/><Relationship Id="rId512" Type="http://schemas.openxmlformats.org/officeDocument/2006/relationships/hyperlink" Target="https://www.sec.gov/Archives/edgar/data/87347/000119312524149220/d808766dex41.htm" TargetMode="External"/><Relationship Id="rId515" Type="http://schemas.openxmlformats.org/officeDocument/2006/relationships/hyperlink" Target="https://www.sec.gov/Archives/edgar/data/87347/000119312520216304/d926535dex41.htm" TargetMode="External"/><Relationship Id="rId517" Type="http://schemas.openxmlformats.org/officeDocument/2006/relationships/hyperlink" Target="https://www.sec.gov/Archives/edgar/data/87347/000119312520248823/d75000dex41.htm" TargetMode="External"/><Relationship Id="rId521" Type="http://schemas.openxmlformats.org/officeDocument/2006/relationships/hyperlink" Target="https://www.sec.gov/Archives/edgar/data/87347/000119312520248823/d75000dex42.htm" TargetMode="External"/><Relationship Id="rId525" Type="http://schemas.openxmlformats.org/officeDocument/2006/relationships/hyperlink" Target="https://www.sec.gov/Archives/edgar/data/87347/000095017023055042/slb-ex10_1.htm" TargetMode="External"/><Relationship Id="rId529" Type="http://schemas.openxmlformats.org/officeDocument/2006/relationships/hyperlink" Target="https://www.sec.gov/Archives/edgar/data/87347/000095017023055042/slb-ex10_2.htm" TargetMode="External"/><Relationship Id="rId532" Type="http://schemas.openxmlformats.org/officeDocument/2006/relationships/hyperlink" Target="https://www.sec.gov/Archives/edgar/data/87347/000095017024006884/slb-ex10_3.htm" TargetMode="External"/><Relationship Id="rId536" Type="http://schemas.openxmlformats.org/officeDocument/2006/relationships/hyperlink" Target="https://www.sec.gov/Archives/edgar/data/87347/000156459019000928/slb-ex108_547.htm" TargetMode="External"/><Relationship Id="rId539" Type="http://schemas.openxmlformats.org/officeDocument/2006/relationships/hyperlink" Target="https://www.sec.gov/Archives/edgar/data/87347/000119312513299983/d550034dex1010.htm" TargetMode="External"/><Relationship Id="rId542" Type="http://schemas.openxmlformats.org/officeDocument/2006/relationships/hyperlink" Target="https://www.sec.gov/Archives/edgar/data/87347/000119312513299983/d550034dex1011.htm" TargetMode="External"/><Relationship Id="rId545" Type="http://schemas.openxmlformats.org/officeDocument/2006/relationships/hyperlink" Target="https://www.sec.gov/Archives/edgar/data/87347/000130817918000016/lslb2018_def14a.htm" TargetMode="External"/><Relationship Id="rId548" Type="http://schemas.openxmlformats.org/officeDocument/2006/relationships/hyperlink" Target="https://www.sec.gov/Archives/edgar/data/87347/000156459019000928/slb-ex1015_548.htm" TargetMode="External"/><Relationship Id="rId551" Type="http://schemas.openxmlformats.org/officeDocument/2006/relationships/hyperlink" Target="https://www.sec.gov/Archives/edgar/data/87347/000156459015005555/slb-ex101_758.htm" TargetMode="External"/><Relationship Id="rId554" Type="http://schemas.openxmlformats.org/officeDocument/2006/relationships/hyperlink" Target="https://www.sec.gov/Archives/edgar/data/87347/000156459021002477/slb-ex1015_106.htm" TargetMode="External"/><Relationship Id="rId557" Type="http://schemas.openxmlformats.org/officeDocument/2006/relationships/hyperlink" Target="https://www.sec.gov/Archives/edgar/data/87347/000156459017007214/slb-ex104_112.htm" TargetMode="External"/><Relationship Id="rId560" Type="http://schemas.openxmlformats.org/officeDocument/2006/relationships/hyperlink" Target="https://www.sec.gov/Archives/edgar/data/87347/000156459019000928/slb-ex1027_1834.htm" TargetMode="External"/><Relationship Id="rId564" Type="http://schemas.openxmlformats.org/officeDocument/2006/relationships/hyperlink" Target="https://www.sec.gov/Archives/edgar/data/87347/000156459022015889/slb-ex103_142.htm" TargetMode="External"/><Relationship Id="rId569" Type="http://schemas.openxmlformats.org/officeDocument/2006/relationships/hyperlink" Target="https://www.sec.gov/Archives/edgar/data/87347/000156459022015889/slb-ex104_143.htm" TargetMode="External"/><Relationship Id="rId573" Type="http://schemas.openxmlformats.org/officeDocument/2006/relationships/hyperlink" Target="https://www.sec.gov/Archives/edgar/data/87347/000156459022015889/slb-ex105_144.htm" TargetMode="External"/><Relationship Id="rId576" Type="http://schemas.openxmlformats.org/officeDocument/2006/relationships/hyperlink" Target="https://www.sec.gov/Archives/edgar/data/87347/000119312521109039/d128317dex101.htm" TargetMode="External"/><Relationship Id="rId579" Type="http://schemas.openxmlformats.org/officeDocument/2006/relationships/hyperlink" Target="https://www.sec.gov/Archives/edgar/data/87347/000156459022026594/slb-ex101_61.htm" TargetMode="External"/><Relationship Id="rId582" Type="http://schemas.openxmlformats.org/officeDocument/2006/relationships/hyperlink" Target="https://www.sec.gov/Archives/edgar/data/87347/000119312521109039/d128317dex103.htm" TargetMode="External"/><Relationship Id="rId585" Type="http://schemas.openxmlformats.org/officeDocument/2006/relationships/hyperlink" Target="https://www.sec.gov/Archives/edgar/data/87347/000095017024006884/slb-ex10_19.htm" TargetMode="External"/><Relationship Id="rId602" Type="http://schemas.openxmlformats.org/officeDocument/2006/relationships/hyperlink" Target="https://www.sec.gov/Archives/edgar/data/87347/000095017024006884/slb-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2025-01-22T11:41:39Z</dcterms:created>
  <dcterms:modified xsi:type="dcterms:W3CDTF">2025-01-22T11:41:39Z</dcterms:modified>
</cp:coreProperties>
</file>