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1"/>
                <w:szCs w:val="11"/>
                <w:color w:val="auto"/>
                <w:w w:val="96"/>
              </w:rPr>
              <w:t>OMB Number:</w:t>
            </w:r>
          </w:p>
        </w:tc>
        <w:tc>
          <w:tcPr>
            <w:tcW w:w="132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540" w:type="dxa"/>
            <w:vAlign w:val="bottom"/>
            <w:gridSpan w:val="9"/>
          </w:tcPr>
          <w:p>
            <w:pPr>
              <w:jc w:val="center"/>
              <w:ind w:left="1253"/>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3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540" w:type="dxa"/>
            <w:vAlign w:val="bottom"/>
            <w:gridSpan w:val="9"/>
            <w:vMerge w:val="restart"/>
          </w:tcPr>
          <w:p>
            <w:pPr>
              <w:jc w:val="center"/>
              <w:ind w:left="1253"/>
              <w:spacing w:after="0"/>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Pr>
          <w:p>
            <w:pPr>
              <w:spacing w:after="0"/>
              <w:rPr>
                <w:sz w:val="4"/>
                <w:szCs w:val="4"/>
                <w:color w:val="auto"/>
              </w:rPr>
            </w:pPr>
          </w:p>
        </w:tc>
        <w:tc>
          <w:tcPr>
            <w:tcW w:w="4540" w:type="dxa"/>
            <w:vAlign w:val="bottom"/>
            <w:gridSpan w:val="9"/>
            <w:vMerge w:val="continue"/>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540" w:type="dxa"/>
            <w:vAlign w:val="bottom"/>
            <w:gridSpan w:val="9"/>
            <w:vMerge w:val="continue"/>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780" w:type="dxa"/>
            <w:vAlign w:val="bottom"/>
            <w:gridSpan w:val="12"/>
            <w:vMerge w:val="restart"/>
          </w:tcPr>
          <w:p>
            <w:pPr>
              <w:jc w:val="center"/>
              <w:ind w:left="33"/>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Pr>
          <w:p>
            <w:pPr>
              <w:spacing w:after="0"/>
              <w:rPr>
                <w:sz w:val="7"/>
                <w:szCs w:val="7"/>
                <w:color w:val="auto"/>
              </w:rPr>
            </w:pPr>
          </w:p>
        </w:tc>
        <w:tc>
          <w:tcPr>
            <w:tcW w:w="5780" w:type="dxa"/>
            <w:vAlign w:val="bottom"/>
            <w:gridSpan w:val="12"/>
            <w:vMerge w:val="continue"/>
          </w:tcPr>
          <w:p>
            <w:pPr>
              <w:spacing w:after="0"/>
              <w:rPr>
                <w:sz w:val="7"/>
                <w:szCs w:val="7"/>
                <w:color w:val="auto"/>
              </w:rPr>
            </w:pPr>
          </w:p>
        </w:tc>
        <w:tc>
          <w:tcPr>
            <w:tcW w:w="4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2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2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4"/>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2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6"/>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1720" w:type="dxa"/>
            <w:vAlign w:val="bottom"/>
            <w:tcBorders>
              <w:left w:val="single" w:sz="8" w:color="auto"/>
            </w:tcBorders>
            <w:gridSpan w:val="4"/>
          </w:tcPr>
          <w:p>
            <w:pPr>
              <w:ind w:left="80"/>
              <w:spacing w:after="0"/>
              <w:rPr>
                <w:sz w:val="20"/>
                <w:szCs w:val="20"/>
                <w:color w:val="auto"/>
              </w:rPr>
            </w:pPr>
            <w:r>
              <w:rPr>
                <w:rFonts w:ascii="Arial" w:cs="Arial" w:eastAsia="Arial" w:hAnsi="Arial"/>
                <w:sz w:val="18"/>
                <w:szCs w:val="18"/>
                <w:color w:val="auto"/>
                <w:w w:val="92"/>
              </w:rPr>
              <w:t>Schlumberger Limited</w:t>
            </w:r>
          </w:p>
        </w:tc>
        <w:tc>
          <w:tcPr>
            <w:tcW w:w="1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5"/>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349"/>
              <w:spacing w:after="0"/>
              <w:rPr>
                <w:sz w:val="20"/>
                <w:szCs w:val="20"/>
                <w:color w:val="auto"/>
              </w:rPr>
            </w:pPr>
            <w:r>
              <w:rPr>
                <w:rFonts w:ascii="Arial" w:cs="Arial" w:eastAsia="Arial" w:hAnsi="Arial"/>
                <w:sz w:val="18"/>
                <w:szCs w:val="18"/>
                <w:color w:val="auto"/>
                <w:w w:val="96"/>
              </w:rPr>
              <w:t>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2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2100" w:type="dxa"/>
            <w:vAlign w:val="bottom"/>
            <w:tcBorders>
              <w:top w:val="single" w:sz="8" w:color="auto"/>
            </w:tcBorders>
            <w:gridSpan w:val="2"/>
          </w:tcPr>
          <w:p>
            <w:pPr>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0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2100" w:type="dxa"/>
            <w:vAlign w:val="bottom"/>
            <w:gridSpan w:val="2"/>
            <w:vMerge w:val="restart"/>
          </w:tcPr>
          <w:p>
            <w:pPr>
              <w:ind w:left="4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3"/>
            <w:vMerge w:val="restart"/>
          </w:tcPr>
          <w:p>
            <w:pPr>
              <w:jc w:val="right"/>
              <w:ind w:right="6"/>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7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3"/>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60" w:type="dxa"/>
            <w:vAlign w:val="bottom"/>
          </w:tcPr>
          <w:p>
            <w:pPr>
              <w:spacing w:after="0"/>
              <w:rPr>
                <w:sz w:val="13"/>
                <w:szCs w:val="13"/>
                <w:color w:val="auto"/>
              </w:rPr>
            </w:pPr>
          </w:p>
        </w:tc>
        <w:tc>
          <w:tcPr>
            <w:tcW w:w="178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Ashok Belani</w:t>
            </w: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8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20" w:type="dxa"/>
            <w:vAlign w:val="bottom"/>
          </w:tcPr>
          <w:p>
            <w:pPr>
              <w:spacing w:after="0"/>
              <w:rPr>
                <w:sz w:val="16"/>
                <w:szCs w:val="16"/>
                <w:color w:val="auto"/>
              </w:rPr>
            </w:pP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8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6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(b)</w:t>
            </w:r>
          </w:p>
        </w:tc>
        <w:tc>
          <w:tcPr>
            <w:tcW w:w="2100" w:type="dxa"/>
            <w:vAlign w:val="bottom"/>
            <w:tcBorders>
              <w:right w:val="single" w:sz="8" w:color="auto"/>
            </w:tcBorders>
            <w:gridSpan w:val="2"/>
          </w:tcPr>
          <w:p>
            <w:pPr>
              <w:jc w:val="center"/>
              <w:ind w:left="13"/>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1020" w:type="dxa"/>
            <w:vAlign w:val="bottom"/>
            <w:tcBorders>
              <w:right w:val="single" w:sz="8" w:color="auto"/>
            </w:tcBorders>
            <w:gridSpan w:val="2"/>
            <w:shd w:val="clear" w:color="auto" w:fill="BFBFBF"/>
          </w:tcPr>
          <w:p>
            <w:pPr>
              <w:jc w:val="center"/>
              <w:ind w:right="8"/>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28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100" w:type="dxa"/>
            <w:vAlign w:val="bottom"/>
            <w:tcBorders>
              <w:right w:val="single" w:sz="8" w:color="auto"/>
            </w:tcBorders>
            <w:gridSpan w:val="2"/>
          </w:tcPr>
          <w:p>
            <w:pPr>
              <w:jc w:val="center"/>
              <w:ind w:left="33"/>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10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gridSpan w:val="2"/>
          </w:tcPr>
          <w:p>
            <w:pPr>
              <w:ind w:left="4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13"/>
              <w:spacing w:after="0" w:line="143" w:lineRule="exact"/>
              <w:rPr>
                <w:sz w:val="20"/>
                <w:szCs w:val="20"/>
                <w:color w:val="auto"/>
              </w:rPr>
            </w:pPr>
            <w:r>
              <w:rPr>
                <w:rFonts w:ascii="Arial" w:cs="Arial" w:eastAsia="Arial" w:hAnsi="Arial"/>
                <w:sz w:val="13"/>
                <w:szCs w:val="13"/>
                <w:b w:val="1"/>
                <w:bCs w:val="1"/>
                <w:color w:val="auto"/>
                <w:w w:val="86"/>
              </w:rPr>
              <w:t>Securities are to be Offered or</w:t>
            </w:r>
          </w:p>
        </w:tc>
        <w:tc>
          <w:tcPr>
            <w:tcW w:w="1020" w:type="dxa"/>
            <w:vAlign w:val="bottom"/>
            <w:tcBorders>
              <w:right w:val="single" w:sz="8" w:color="auto"/>
            </w:tcBorders>
            <w:gridSpan w:val="2"/>
            <w:shd w:val="clear" w:color="auto" w:fill="BFBFBF"/>
          </w:tcPr>
          <w:p>
            <w:pPr>
              <w:jc w:val="center"/>
              <w:ind w:right="8"/>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160" w:type="dxa"/>
            <w:vAlign w:val="bottom"/>
          </w:tcPr>
          <w:p>
            <w:pPr>
              <w:spacing w:after="0"/>
              <w:rPr>
                <w:sz w:val="12"/>
                <w:szCs w:val="12"/>
                <w:color w:val="auto"/>
              </w:rPr>
            </w:pPr>
          </w:p>
        </w:tc>
        <w:tc>
          <w:tcPr>
            <w:tcW w:w="2100" w:type="dxa"/>
            <w:vAlign w:val="bottom"/>
            <w:tcBorders>
              <w:right w:val="single" w:sz="8" w:color="auto"/>
            </w:tcBorders>
            <w:gridSpan w:val="2"/>
          </w:tcPr>
          <w:p>
            <w:pPr>
              <w:jc w:val="center"/>
              <w:ind w:left="33"/>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1020" w:type="dxa"/>
            <w:vAlign w:val="bottom"/>
            <w:tcBorders>
              <w:right w:val="single" w:sz="8" w:color="auto"/>
            </w:tcBorders>
            <w:gridSpan w:val="2"/>
            <w:shd w:val="clear" w:color="auto" w:fill="BFBFBF"/>
          </w:tcPr>
          <w:p>
            <w:pPr>
              <w:jc w:val="center"/>
              <w:ind w:right="8"/>
              <w:spacing w:after="0" w:line="144" w:lineRule="exact"/>
              <w:rPr>
                <w:sz w:val="20"/>
                <w:szCs w:val="20"/>
                <w:color w:val="auto"/>
              </w:rPr>
            </w:pPr>
            <w:r>
              <w:rPr>
                <w:rFonts w:ascii="Arial" w:cs="Arial" w:eastAsia="Arial" w:hAnsi="Arial"/>
                <w:sz w:val="13"/>
                <w:szCs w:val="13"/>
                <w:b w:val="1"/>
                <w:bCs w:val="1"/>
                <w:color w:val="auto"/>
                <w:w w:val="93"/>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5"/>
              </w:rPr>
              <w:t>To Be Sold</w:t>
            </w:r>
          </w:p>
        </w:tc>
        <w:tc>
          <w:tcPr>
            <w:tcW w:w="10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ind w:left="2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00" w:type="dxa"/>
            <w:vAlign w:val="bottom"/>
            <w:tcBorders>
              <w:bottom w:val="single" w:sz="8" w:color="auto"/>
              <w:right w:val="single" w:sz="8" w:color="auto"/>
            </w:tcBorders>
            <w:gridSpan w:val="2"/>
          </w:tcPr>
          <w:p>
            <w:pPr>
              <w:jc w:val="center"/>
              <w:ind w:left="33"/>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7"/>
              </w:rPr>
              <w:t>(See instr. 3(c))</w:t>
            </w:r>
          </w:p>
        </w:tc>
        <w:tc>
          <w:tcPr>
            <w:tcW w:w="10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4"/>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3"/>
          </w:tcPr>
          <w:p>
            <w:pPr>
              <w:spacing w:after="0" w:line="195" w:lineRule="exact"/>
              <w:rPr>
                <w:sz w:val="20"/>
                <w:szCs w:val="20"/>
                <w:color w:val="auto"/>
              </w:rPr>
            </w:pPr>
            <w:r>
              <w:rPr>
                <w:rFonts w:ascii="Arial" w:cs="Arial" w:eastAsia="Arial" w:hAnsi="Arial"/>
                <w:sz w:val="18"/>
                <w:szCs w:val="18"/>
                <w:color w:val="auto"/>
              </w:rPr>
              <w:t>Morgan Stanley Smith</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Barney LLC</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w w:val="96"/>
              </w:rPr>
              <w:t>Executive Financial 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restart"/>
          </w:tcPr>
          <w:p>
            <w:pPr>
              <w:jc w:val="right"/>
              <w:ind w:right="349"/>
              <w:spacing w:after="0"/>
              <w:rPr>
                <w:sz w:val="20"/>
                <w:szCs w:val="20"/>
                <w:color w:val="auto"/>
              </w:rPr>
            </w:pPr>
            <w:r>
              <w:rPr>
                <w:rFonts w:ascii="Arial" w:cs="Arial" w:eastAsia="Arial" w:hAnsi="Arial"/>
                <w:sz w:val="18"/>
                <w:szCs w:val="18"/>
                <w:color w:val="auto"/>
              </w:rPr>
              <w:t>10,791</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restart"/>
          </w:tcPr>
          <w:p>
            <w:pPr>
              <w:jc w:val="right"/>
              <w:ind w:right="83"/>
              <w:spacing w:after="0"/>
              <w:rPr>
                <w:sz w:val="20"/>
                <w:szCs w:val="20"/>
                <w:color w:val="auto"/>
              </w:rPr>
            </w:pPr>
            <w:r>
              <w:rPr>
                <w:rFonts w:ascii="Arial" w:cs="Arial" w:eastAsia="Arial" w:hAnsi="Arial"/>
                <w:sz w:val="18"/>
                <w:szCs w:val="18"/>
                <w:color w:val="auto"/>
                <w:w w:val="92"/>
              </w:rPr>
              <w:t>$1,025,145.00</w:t>
            </w:r>
          </w:p>
        </w:tc>
        <w:tc>
          <w:tcPr>
            <w:tcW w:w="1260" w:type="dxa"/>
            <w:vAlign w:val="bottom"/>
            <w:gridSpan w:val="2"/>
            <w:vMerge w:val="restart"/>
          </w:tcPr>
          <w:p>
            <w:pPr>
              <w:jc w:val="right"/>
              <w:spacing w:after="0"/>
              <w:rPr>
                <w:sz w:val="20"/>
                <w:szCs w:val="20"/>
                <w:color w:val="auto"/>
              </w:rPr>
            </w:pPr>
            <w:r>
              <w:rPr>
                <w:rFonts w:ascii="Arial" w:cs="Arial" w:eastAsia="Arial" w:hAnsi="Arial"/>
                <w:sz w:val="18"/>
                <w:szCs w:val="18"/>
                <w:color w:val="auto"/>
              </w:rPr>
              <w:t>1,313,082,327</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11/11/2013</w:t>
            </w: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restart"/>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vMerge w:val="continue"/>
          </w:tcPr>
          <w:p>
            <w:pPr>
              <w:spacing w:after="0"/>
              <w:rPr>
                <w:sz w:val="18"/>
                <w:szCs w:val="18"/>
                <w:color w:val="auto"/>
              </w:rPr>
            </w:pPr>
          </w:p>
        </w:tc>
        <w:tc>
          <w:tcPr>
            <w:tcW w:w="2260" w:type="dxa"/>
            <w:vAlign w:val="bottom"/>
            <w:tcBorders>
              <w:right w:val="single" w:sz="8" w:color="auto"/>
            </w:tcBorders>
            <w:gridSpan w:val="3"/>
          </w:tcPr>
          <w:p>
            <w:pPr>
              <w:spacing w:after="0" w:line="216" w:lineRule="exact"/>
              <w:rPr>
                <w:sz w:val="20"/>
                <w:szCs w:val="20"/>
                <w:color w:val="auto"/>
              </w:rPr>
            </w:pPr>
            <w:r>
              <w:rPr>
                <w:rFonts w:ascii="Arial" w:cs="Arial" w:eastAsia="Arial" w:hAnsi="Arial"/>
                <w:sz w:val="18"/>
                <w:szCs w:val="18"/>
                <w:color w:val="auto"/>
              </w:rPr>
              <w:t>787 Seventh Avenue, 13</w:t>
            </w:r>
            <w:r>
              <w:rPr>
                <w:rFonts w:ascii="Arial" w:cs="Arial" w:eastAsia="Arial" w:hAnsi="Arial"/>
                <w:sz w:val="25"/>
                <w:szCs w:val="25"/>
                <w:color w:val="auto"/>
                <w:vertAlign w:val="superscript"/>
              </w:rPr>
              <w:t>th</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Borders>
              <w:right w:val="single" w:sz="8" w:color="auto"/>
            </w:tcBorders>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vMerge w:val="continue"/>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3"/>
          </w:tcPr>
          <w:p>
            <w:pPr>
              <w:spacing w:after="0"/>
              <w:rPr>
                <w:sz w:val="20"/>
                <w:szCs w:val="20"/>
                <w:color w:val="auto"/>
              </w:rPr>
            </w:pPr>
            <w:r>
              <w:rPr>
                <w:rFonts w:ascii="Arial" w:cs="Arial" w:eastAsia="Arial" w:hAnsi="Arial"/>
                <w:sz w:val="18"/>
                <w:szCs w:val="18"/>
                <w:color w:val="auto"/>
              </w:rPr>
              <w:t>floor</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gridSpan w:val="3"/>
          </w:tcPr>
          <w:p>
            <w:pPr>
              <w:spacing w:after="0"/>
              <w:rPr>
                <w:sz w:val="20"/>
                <w:szCs w:val="20"/>
                <w:color w:val="auto"/>
              </w:rPr>
            </w:pPr>
            <w:r>
              <w:rPr>
                <w:rFonts w:ascii="Arial" w:cs="Arial" w:eastAsia="Arial" w:hAnsi="Arial"/>
                <w:sz w:val="18"/>
                <w:szCs w:val="18"/>
                <w:color w:val="auto"/>
              </w:rPr>
              <w:t>New York, NY 10019</w:t>
            </w:r>
          </w:p>
        </w:tc>
        <w:tc>
          <w:tcPr>
            <w:tcW w:w="740" w:type="dxa"/>
            <w:vAlign w:val="bottom"/>
            <w:tcBorders>
              <w:bottom w:val="single" w:sz="8" w:color="auto"/>
              <w:right w:val="single" w:sz="8" w:color="BFBFBF"/>
            </w:tcBorders>
            <w:shd w:val="clear" w:color="auto" w:fill="BFBFBF"/>
          </w:tcPr>
          <w:p>
            <w:pPr>
              <w:spacing w:after="0"/>
              <w:rPr>
                <w:sz w:val="20"/>
                <w:szCs w:val="20"/>
                <w:color w:val="auto"/>
              </w:rPr>
            </w:pPr>
          </w:p>
        </w:tc>
        <w:tc>
          <w:tcPr>
            <w:tcW w:w="280" w:type="dxa"/>
            <w:vAlign w:val="bottom"/>
            <w:tcBorders>
              <w:bottom w:val="single" w:sz="8" w:color="auto"/>
              <w:right w:val="single" w:sz="8" w:color="auto"/>
            </w:tcBorders>
            <w:shd w:val="clear" w:color="auto" w:fill="BFBFBF"/>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78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2"/>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80" w:type="dxa"/>
            <w:vAlign w:val="bottom"/>
            <w:gridSpan w:val="14"/>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0"/>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5"/>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jc w:val="center"/>
              <w:ind w:right="283"/>
              <w:spacing w:after="0" w:line="135" w:lineRule="exact"/>
              <w:rPr>
                <w:sz w:val="20"/>
                <w:szCs w:val="20"/>
                <w:color w:val="auto"/>
              </w:rPr>
            </w:pPr>
            <w:r>
              <w:rPr>
                <w:rFonts w:ascii="Arial" w:cs="Arial" w:eastAsia="Arial" w:hAnsi="Arial"/>
                <w:sz w:val="13"/>
                <w:szCs w:val="13"/>
                <w:color w:val="auto"/>
                <w:w w:val="86"/>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80" w:type="dxa"/>
            <w:vAlign w:val="bottom"/>
            <w:gridSpan w:val="10"/>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5"/>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2"/>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ind w:left="380"/>
              <w:spacing w:after="0" w:line="112" w:lineRule="exact"/>
              <w:rPr>
                <w:sz w:val="20"/>
                <w:szCs w:val="20"/>
                <w:color w:val="auto"/>
              </w:rPr>
            </w:pPr>
            <w:r>
              <w:rPr>
                <w:rFonts w:ascii="Arial" w:cs="Arial" w:eastAsia="Arial" w:hAnsi="Arial"/>
                <w:sz w:val="12"/>
                <w:szCs w:val="12"/>
                <w:color w:val="auto"/>
              </w:rPr>
              <w:t>6/1/1999</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6"/>
              </w:rPr>
              <w:t>Stock Option Exercise</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2"/>
              </w:rPr>
              <w:t>10,791</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4"/>
              </w:rPr>
              <w:t>6/1/1999</w:t>
            </w:r>
          </w:p>
        </w:tc>
        <w:tc>
          <w:tcPr>
            <w:tcW w:w="14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56"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4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11/11/2013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/s/Ashok Belani</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2019-12-05T14:40:57Z</dcterms:created>
  <dcterms:modified xsi:type="dcterms:W3CDTF">2019-12-05T14:40:57Z</dcterms:modified>
</cp:coreProperties>
</file>