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jc w:val="center"/>
              <w:ind w:left="1630"/>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10"/>
            <w:vMerge w:val="restart"/>
          </w:tcPr>
          <w:p>
            <w:pPr>
              <w:jc w:val="center"/>
              <w:ind w:left="1630"/>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20" w:type="dxa"/>
            <w:vAlign w:val="bottom"/>
            <w:gridSpan w:val="10"/>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0"/>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18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82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52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ind w:left="22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20" w:type="dxa"/>
            <w:vAlign w:val="bottom"/>
            <w:tcBorders>
              <w:left w:val="single" w:sz="8" w:color="auto"/>
            </w:tcBorders>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1040" w:type="dxa"/>
            <w:vAlign w:val="bottom"/>
            <w:tcBorders>
              <w:right w:val="single" w:sz="8" w:color="auto"/>
            </w:tcBorders>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8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Charles Woodburn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80" w:type="dxa"/>
            <w:vAlign w:val="bottom"/>
            <w:tcBorders>
              <w:left w:val="single" w:sz="8" w:color="auto"/>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jc w:val="right"/>
              <w:ind w:right="224"/>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8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0"/>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80" w:type="dxa"/>
            <w:vAlign w:val="bottom"/>
          </w:tcPr>
          <w:p>
            <w:pPr>
              <w:spacing w:after="0"/>
              <w:rPr>
                <w:sz w:val="8"/>
                <w:szCs w:val="8"/>
                <w:color w:val="auto"/>
              </w:rPr>
            </w:pPr>
          </w:p>
        </w:tc>
        <w:tc>
          <w:tcPr>
            <w:tcW w:w="980" w:type="dxa"/>
            <w:vAlign w:val="bottom"/>
            <w:gridSpan w:val="2"/>
          </w:tcPr>
          <w:p>
            <w:pPr>
              <w:jc w:val="center"/>
              <w:ind w:left="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0"/>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0"/>
              <w:spacing w:after="0" w:line="144" w:lineRule="exact"/>
              <w:rPr>
                <w:sz w:val="20"/>
                <w:szCs w:val="20"/>
                <w:color w:val="auto"/>
              </w:rPr>
            </w:pPr>
            <w:r>
              <w:rPr>
                <w:rFonts w:ascii="Arial" w:cs="Arial" w:eastAsia="Arial" w:hAnsi="Arial"/>
                <w:sz w:val="13"/>
                <w:szCs w:val="13"/>
                <w:b w:val="1"/>
                <w:bCs w:val="1"/>
                <w:color w:val="auto"/>
              </w:rPr>
              <w:t>Maker</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left="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tcBorders>
            <w:gridSpan w:val="2"/>
          </w:tcPr>
          <w:p>
            <w:pPr>
              <w:jc w:val="center"/>
              <w:ind w:left="370"/>
              <w:spacing w:after="0"/>
              <w:rPr>
                <w:sz w:val="20"/>
                <w:szCs w:val="20"/>
                <w:color w:val="auto"/>
              </w:rPr>
            </w:pPr>
            <w:r>
              <w:rPr>
                <w:rFonts w:ascii="Arial" w:cs="Arial" w:eastAsia="Arial" w:hAnsi="Arial"/>
                <w:sz w:val="13"/>
                <w:szCs w:val="13"/>
                <w:b w:val="1"/>
                <w:bCs w:val="1"/>
                <w:color w:val="auto"/>
                <w:w w:val="85"/>
              </w:rPr>
              <w:t>who is Acquiring the Securities</w:t>
            </w:r>
          </w:p>
        </w:tc>
        <w:tc>
          <w:tcPr>
            <w:tcW w:w="1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18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96"/>
              </w:rPr>
              <w:t>Fidelity Brokerage Services</w:t>
            </w:r>
          </w:p>
        </w:tc>
        <w:tc>
          <w:tcPr>
            <w:tcW w:w="180" w:type="dxa"/>
            <w:vAlign w:val="bottom"/>
            <w:tcBorders>
              <w:right w:val="single" w:sz="8" w:color="auto"/>
            </w:tcBorders>
          </w:tcPr>
          <w:p>
            <w:pPr>
              <w:spacing w:after="0"/>
              <w:rPr>
                <w:sz w:val="16"/>
                <w:szCs w:val="16"/>
                <w:color w:val="auto"/>
              </w:rPr>
            </w:pP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w w:val="97"/>
              </w:rPr>
              <w:t>National Financial Services</w:t>
            </w:r>
          </w:p>
        </w:tc>
        <w:tc>
          <w:tcPr>
            <w:tcW w:w="180" w:type="dxa"/>
            <w:vAlign w:val="bottom"/>
            <w:tcBorders>
              <w:right w:val="single" w:sz="8" w:color="auto"/>
            </w:tcBorders>
          </w:tcPr>
          <w:p>
            <w:pPr>
              <w:spacing w:after="0"/>
              <w:rPr>
                <w:sz w:val="18"/>
                <w:szCs w:val="18"/>
                <w:color w:val="auto"/>
              </w:rPr>
            </w:pPr>
          </w:p>
        </w:tc>
        <w:tc>
          <w:tcPr>
            <w:tcW w:w="860" w:type="dxa"/>
            <w:vAlign w:val="bottom"/>
            <w:tcBorders>
              <w:right w:val="single" w:sz="8" w:color="BFBFBF"/>
            </w:tcBorders>
            <w:shd w:val="clear" w:color="auto" w:fill="BFBFBF"/>
          </w:tcPr>
          <w:p>
            <w:pPr>
              <w:spacing w:after="0"/>
              <w:rPr>
                <w:sz w:val="18"/>
                <w:szCs w:val="18"/>
                <w:color w:val="auto"/>
              </w:rPr>
            </w:pPr>
          </w:p>
        </w:tc>
        <w:tc>
          <w:tcPr>
            <w:tcW w:w="40" w:type="dxa"/>
            <w:vAlign w:val="bottom"/>
            <w:shd w:val="clear" w:color="auto" w:fill="BFBFBF"/>
          </w:tcPr>
          <w:p>
            <w:pPr>
              <w:spacing w:after="0"/>
              <w:rPr>
                <w:sz w:val="18"/>
                <w:szCs w:val="18"/>
                <w:color w:val="auto"/>
              </w:rPr>
            </w:pPr>
          </w:p>
        </w:tc>
        <w:tc>
          <w:tcPr>
            <w:tcW w:w="160" w:type="dxa"/>
            <w:vAlign w:val="bottom"/>
            <w:tcBorders>
              <w:right w:val="single" w:sz="8" w:color="auto"/>
            </w:tcBorders>
            <w:shd w:val="clear" w:color="auto" w:fill="BFBFBF"/>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LLC</w:t>
            </w:r>
          </w:p>
        </w:tc>
        <w:tc>
          <w:tcPr>
            <w:tcW w:w="180" w:type="dxa"/>
            <w:vAlign w:val="bottom"/>
            <w:tcBorders>
              <w:right w:val="single" w:sz="8" w:color="auto"/>
            </w:tcBorders>
          </w:tcPr>
          <w:p>
            <w:pPr>
              <w:spacing w:after="0"/>
              <w:rPr>
                <w:sz w:val="18"/>
                <w:szCs w:val="18"/>
                <w:color w:val="auto"/>
              </w:rPr>
            </w:pPr>
          </w:p>
        </w:tc>
        <w:tc>
          <w:tcPr>
            <w:tcW w:w="860" w:type="dxa"/>
            <w:vAlign w:val="bottom"/>
            <w:tcBorders>
              <w:right w:val="single" w:sz="8" w:color="BFBFBF"/>
            </w:tcBorders>
            <w:shd w:val="clear" w:color="auto" w:fill="BFBFBF"/>
          </w:tcPr>
          <w:p>
            <w:pPr>
              <w:spacing w:after="0"/>
              <w:rPr>
                <w:sz w:val="18"/>
                <w:szCs w:val="18"/>
                <w:color w:val="auto"/>
              </w:rPr>
            </w:pPr>
          </w:p>
        </w:tc>
        <w:tc>
          <w:tcPr>
            <w:tcW w:w="40" w:type="dxa"/>
            <w:vAlign w:val="bottom"/>
            <w:shd w:val="clear" w:color="auto" w:fill="BFBFBF"/>
          </w:tcPr>
          <w:p>
            <w:pPr>
              <w:spacing w:after="0"/>
              <w:rPr>
                <w:sz w:val="18"/>
                <w:szCs w:val="18"/>
                <w:color w:val="auto"/>
              </w:rPr>
            </w:pPr>
          </w:p>
        </w:tc>
        <w:tc>
          <w:tcPr>
            <w:tcW w:w="160" w:type="dxa"/>
            <w:vAlign w:val="bottom"/>
            <w:tcBorders>
              <w:right w:val="single" w:sz="8" w:color="auto"/>
            </w:tcBorders>
            <w:shd w:val="clear" w:color="auto" w:fill="BFBFBF"/>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w w:val="95"/>
              </w:rPr>
              <w:t>Attn: Restricted stock services</w:t>
            </w: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restart"/>
          </w:tcPr>
          <w:p>
            <w:pPr>
              <w:jc w:val="right"/>
              <w:ind w:right="406"/>
              <w:spacing w:after="0"/>
              <w:rPr>
                <w:sz w:val="20"/>
                <w:szCs w:val="20"/>
                <w:color w:val="auto"/>
              </w:rPr>
            </w:pPr>
            <w:r>
              <w:rPr>
                <w:rFonts w:ascii="Arial" w:cs="Arial" w:eastAsia="Arial" w:hAnsi="Arial"/>
                <w:sz w:val="18"/>
                <w:szCs w:val="18"/>
                <w:color w:val="auto"/>
              </w:rPr>
              <w:t>3,625</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$230,966.00</w:t>
            </w:r>
          </w:p>
        </w:tc>
        <w:tc>
          <w:tcPr>
            <w:tcW w:w="120" w:type="dxa"/>
            <w:vAlign w:val="bottom"/>
          </w:tcPr>
          <w:p>
            <w:pPr>
              <w:spacing w:after="0"/>
              <w:rPr>
                <w:sz w:val="9"/>
                <w:szCs w:val="9"/>
                <w:color w:val="auto"/>
              </w:rPr>
            </w:pPr>
          </w:p>
        </w:tc>
        <w:tc>
          <w:tcPr>
            <w:tcW w:w="122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w w:val="93"/>
              </w:rPr>
              <w:t>1,200,764,289</w:t>
            </w:r>
          </w:p>
        </w:tc>
        <w:tc>
          <w:tcPr>
            <w:tcW w:w="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2"/>
            <w:vMerge w:val="restart"/>
          </w:tcPr>
          <w:p>
            <w:pPr>
              <w:jc w:val="right"/>
              <w:ind w:right="244"/>
              <w:spacing w:after="0"/>
              <w:rPr>
                <w:sz w:val="20"/>
                <w:szCs w:val="20"/>
                <w:color w:val="auto"/>
              </w:rPr>
            </w:pPr>
            <w:r>
              <w:rPr>
                <w:rFonts w:ascii="Arial" w:cs="Arial" w:eastAsia="Arial" w:hAnsi="Arial"/>
                <w:sz w:val="18"/>
                <w:szCs w:val="18"/>
                <w:color w:val="auto"/>
                <w:w w:val="94"/>
              </w:rPr>
              <w:t>10/29/09</w:t>
            </w: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vMerge w:val="continue"/>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180" w:type="dxa"/>
            <w:vAlign w:val="bottom"/>
            <w:gridSpan w:val="2"/>
            <w:vMerge w:val="restart"/>
          </w:tcPr>
          <w:p>
            <w:pPr>
              <w:ind w:left="40"/>
              <w:spacing w:after="0"/>
              <w:rPr>
                <w:sz w:val="20"/>
                <w:szCs w:val="20"/>
                <w:color w:val="auto"/>
              </w:rPr>
            </w:pPr>
            <w:r>
              <w:rPr>
                <w:rFonts w:ascii="Arial" w:cs="Arial" w:eastAsia="Arial" w:hAnsi="Arial"/>
                <w:sz w:val="18"/>
                <w:szCs w:val="18"/>
                <w:color w:val="auto"/>
              </w:rPr>
              <w:t>200 Liberty Street</w:t>
            </w:r>
          </w:p>
        </w:tc>
        <w:tc>
          <w:tcPr>
            <w:tcW w:w="18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0" w:type="dxa"/>
            <w:vAlign w:val="bottom"/>
            <w:tcBorders>
              <w:lef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180" w:type="dxa"/>
            <w:vAlign w:val="bottom"/>
            <w:gridSpan w:val="2"/>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860" w:type="dxa"/>
            <w:vAlign w:val="bottom"/>
            <w:tcBorders>
              <w:right w:val="single" w:sz="8" w:color="BFBFBF"/>
            </w:tcBorders>
            <w:shd w:val="clear" w:color="auto" w:fill="BFBFBF"/>
          </w:tcPr>
          <w:p>
            <w:pPr>
              <w:spacing w:after="0"/>
              <w:rPr>
                <w:sz w:val="8"/>
                <w:szCs w:val="8"/>
                <w:color w:val="auto"/>
              </w:rPr>
            </w:pPr>
          </w:p>
        </w:tc>
        <w:tc>
          <w:tcPr>
            <w:tcW w:w="40" w:type="dxa"/>
            <w:vAlign w:val="bottom"/>
            <w:shd w:val="clear" w:color="auto" w:fill="BFBFBF"/>
          </w:tcPr>
          <w:p>
            <w:pPr>
              <w:spacing w:after="0"/>
              <w:rPr>
                <w:sz w:val="8"/>
                <w:szCs w:val="8"/>
                <w:color w:val="auto"/>
              </w:rPr>
            </w:pPr>
          </w:p>
        </w:tc>
        <w:tc>
          <w:tcPr>
            <w:tcW w:w="160" w:type="dxa"/>
            <w:vAlign w:val="bottom"/>
            <w:tcBorders>
              <w:right w:val="single" w:sz="8" w:color="auto"/>
            </w:tcBorders>
            <w:shd w:val="clear" w:color="auto" w:fill="BFBFBF"/>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rPr>
              <w:t>Mailzone NY5 M</w:t>
            </w:r>
          </w:p>
        </w:tc>
        <w:tc>
          <w:tcPr>
            <w:tcW w:w="180" w:type="dxa"/>
            <w:vAlign w:val="bottom"/>
            <w:tcBorders>
              <w:right w:val="single" w:sz="8" w:color="auto"/>
            </w:tcBorders>
          </w:tcPr>
          <w:p>
            <w:pPr>
              <w:spacing w:after="0"/>
              <w:rPr>
                <w:sz w:val="18"/>
                <w:szCs w:val="18"/>
                <w:color w:val="auto"/>
              </w:rPr>
            </w:pPr>
          </w:p>
        </w:tc>
        <w:tc>
          <w:tcPr>
            <w:tcW w:w="860" w:type="dxa"/>
            <w:vAlign w:val="bottom"/>
            <w:tcBorders>
              <w:right w:val="single" w:sz="8" w:color="BFBFBF"/>
            </w:tcBorders>
            <w:shd w:val="clear" w:color="auto" w:fill="BFBFBF"/>
          </w:tcPr>
          <w:p>
            <w:pPr>
              <w:spacing w:after="0"/>
              <w:rPr>
                <w:sz w:val="18"/>
                <w:szCs w:val="18"/>
                <w:color w:val="auto"/>
              </w:rPr>
            </w:pPr>
          </w:p>
        </w:tc>
        <w:tc>
          <w:tcPr>
            <w:tcW w:w="40" w:type="dxa"/>
            <w:vAlign w:val="bottom"/>
            <w:shd w:val="clear" w:color="auto" w:fill="BFBFBF"/>
          </w:tcPr>
          <w:p>
            <w:pPr>
              <w:spacing w:after="0"/>
              <w:rPr>
                <w:sz w:val="18"/>
                <w:szCs w:val="18"/>
                <w:color w:val="auto"/>
              </w:rPr>
            </w:pPr>
          </w:p>
        </w:tc>
        <w:tc>
          <w:tcPr>
            <w:tcW w:w="160" w:type="dxa"/>
            <w:vAlign w:val="bottom"/>
            <w:tcBorders>
              <w:right w:val="single" w:sz="8" w:color="auto"/>
            </w:tcBorders>
            <w:shd w:val="clear" w:color="auto" w:fill="BFBFBF"/>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New York, NY 10281</w:t>
            </w:r>
          </w:p>
        </w:tc>
        <w:tc>
          <w:tcPr>
            <w:tcW w:w="1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BFBFBF"/>
            </w:tcBorders>
            <w:shd w:val="clear" w:color="auto" w:fill="BFBFBF"/>
          </w:tcPr>
          <w:p>
            <w:pPr>
              <w:spacing w:after="0"/>
              <w:rPr>
                <w:sz w:val="20"/>
                <w:szCs w:val="20"/>
                <w:color w:val="auto"/>
              </w:rPr>
            </w:pPr>
          </w:p>
        </w:tc>
        <w:tc>
          <w:tcPr>
            <w:tcW w:w="40" w:type="dxa"/>
            <w:vAlign w:val="bottom"/>
            <w:tcBorders>
              <w:bottom w:val="single" w:sz="8" w:color="auto"/>
            </w:tcBorders>
            <w:shd w:val="clear" w:color="auto" w:fill="BFBFBF"/>
          </w:tcPr>
          <w:p>
            <w:pPr>
              <w:spacing w:after="0"/>
              <w:rPr>
                <w:sz w:val="20"/>
                <w:szCs w:val="20"/>
                <w:color w:val="auto"/>
              </w:rPr>
            </w:pPr>
          </w:p>
        </w:tc>
        <w:tc>
          <w:tcPr>
            <w:tcW w:w="160" w:type="dxa"/>
            <w:vAlign w:val="bottom"/>
            <w:tcBorders>
              <w:bottom w:val="single" w:sz="8" w:color="auto"/>
              <w:right w:val="single" w:sz="8" w:color="auto"/>
            </w:tcBorders>
            <w:shd w:val="clear" w:color="auto" w:fill="BFBFBF"/>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8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80" w:type="dxa"/>
            <w:vAlign w:val="bottom"/>
          </w:tcPr>
          <w:p>
            <w:pPr>
              <w:spacing w:after="0"/>
              <w:rPr>
                <w:sz w:val="11"/>
                <w:szCs w:val="11"/>
                <w:color w:val="auto"/>
              </w:rPr>
            </w:pPr>
          </w:p>
        </w:tc>
        <w:tc>
          <w:tcPr>
            <w:tcW w:w="542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8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8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4/11/2006</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2,585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4/11/2006</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6/30/1998</w:t>
            </w:r>
          </w:p>
        </w:tc>
        <w:tc>
          <w:tcPr>
            <w:tcW w:w="2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Discounted Stock Purchase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156</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6/30/1998</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Plan</w:t>
            </w: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vMerge w:val="continue"/>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6/30/1999</w:t>
            </w:r>
          </w:p>
        </w:tc>
        <w:tc>
          <w:tcPr>
            <w:tcW w:w="2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Discounted Stock Purchase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170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6/30/1999</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Plan</w:t>
            </w: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vMerge w:val="continue"/>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6/30/2000</w:t>
            </w:r>
          </w:p>
        </w:tc>
        <w:tc>
          <w:tcPr>
            <w:tcW w:w="2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Discounted Stock Purchase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149</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6/30/2000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Plan</w:t>
            </w: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vMerge w:val="continue"/>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6/30/2001</w:t>
            </w:r>
          </w:p>
        </w:tc>
        <w:tc>
          <w:tcPr>
            <w:tcW w:w="2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Discounted Stock Purchase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6/30/2001</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Plan</w:t>
            </w: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vMerge w:val="continue"/>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3/01/2006</w:t>
            </w:r>
          </w:p>
        </w:tc>
        <w:tc>
          <w:tcPr>
            <w:tcW w:w="2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Discounted Stock Purchase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520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3/1/2006</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Plan</w:t>
            </w: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vMerge w:val="continue"/>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4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2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10/29/2009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9"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/s/Charles Woodburn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9"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(SIGNATURE)</w:t>
      </w:r>
    </w:p>
    <w:p>
      <w:pPr>
        <w:spacing w:after="0" w:line="200" w:lineRule="exact"/>
        <w:rPr>
          <w:sz w:val="20"/>
          <w:szCs w:val="20"/>
          <w:color w:val="auto"/>
        </w:rPr>
      </w:pPr>
    </w:p>
    <w:p>
      <w:pPr>
        <w:sectPr>
          <w:pgSz w:w="11900" w:h="16838" w:orient="portrait"/>
          <w:cols w:equalWidth="0" w:num="2">
            <w:col w:w="5480" w:space="420"/>
            <w:col w:w="5520"/>
          </w:cols>
          <w:pgMar w:left="240" w:top="364"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2019-12-21T02:03:27Z</dcterms:created>
  <dcterms:modified xsi:type="dcterms:W3CDTF">2019-12-21T02:03:27Z</dcterms:modified>
</cp:coreProperties>
</file>