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19, 2006</w:t>
      </w:r>
    </w:p>
    <w:p>
      <w:pPr>
        <w:spacing w:after="0" w:line="1"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81915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81915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tbl>
      <w:tblPr>
        <w:tblLayout w:type="fixed"/>
        <w:tblInd w:w="1980" w:type="dxa"/>
        <w:tblCellMar>
          <w:top w:w="0" w:type="dxa"/>
          <w:left w:w="0" w:type="dxa"/>
          <w:bottom w:w="0" w:type="dxa"/>
          <w:right w:w="0" w:type="dxa"/>
        </w:tblCellMar>
      </w:tblPr>
      <w:tr>
        <w:trPr>
          <w:trHeight w:val="172"/>
        </w:trPr>
        <w:tc>
          <w:tcPr>
            <w:tcW w:w="2060" w:type="dxa"/>
            <w:vAlign w:val="bottom"/>
          </w:tcPr>
          <w:p>
            <w:pPr>
              <w:spacing w:after="0"/>
              <w:rPr>
                <w:sz w:val="14"/>
                <w:szCs w:val="14"/>
                <w:color w:val="auto"/>
              </w:rPr>
            </w:pPr>
          </w:p>
        </w:tc>
        <w:tc>
          <w:tcPr>
            <w:tcW w:w="5140" w:type="dxa"/>
            <w:vAlign w:val="bottom"/>
            <w:gridSpan w:val="3"/>
          </w:tcPr>
          <w:p>
            <w:pPr>
              <w:jc w:val="center"/>
              <w:ind w:right="1732"/>
              <w:spacing w:after="0"/>
              <w:rPr>
                <w:sz w:val="20"/>
                <w:szCs w:val="20"/>
                <w:color w:val="auto"/>
              </w:rPr>
            </w:pPr>
            <w:r>
              <w:rPr>
                <w:rFonts w:ascii="Arial" w:cs="Arial" w:eastAsia="Arial" w:hAnsi="Arial"/>
                <w:sz w:val="14"/>
                <w:szCs w:val="14"/>
                <w:color w:val="auto"/>
                <w:w w:val="87"/>
              </w:rPr>
              <w:t>(Exact name of registrant as specified in its charter)</w:t>
            </w:r>
          </w:p>
        </w:tc>
      </w:tr>
      <w:tr>
        <w:trPr>
          <w:trHeight w:val="180"/>
        </w:trPr>
        <w:tc>
          <w:tcPr>
            <w:tcW w:w="2060" w:type="dxa"/>
            <w:vAlign w:val="bottom"/>
          </w:tcPr>
          <w:p>
            <w:pPr>
              <w:jc w:val="center"/>
              <w:ind w:right="212"/>
              <w:spacing w:after="0"/>
              <w:rPr>
                <w:sz w:val="20"/>
                <w:szCs w:val="20"/>
                <w:color w:val="auto"/>
              </w:rPr>
            </w:pPr>
            <w:r>
              <w:rPr>
                <w:rFonts w:ascii="Arial" w:cs="Arial" w:eastAsia="Arial" w:hAnsi="Arial"/>
                <w:sz w:val="14"/>
                <w:szCs w:val="14"/>
                <w:b w:val="1"/>
                <w:bCs w:val="1"/>
                <w:color w:val="auto"/>
                <w:w w:val="87"/>
              </w:rPr>
              <w:t>Netherlands Antilles</w:t>
            </w:r>
          </w:p>
        </w:tc>
        <w:tc>
          <w:tcPr>
            <w:tcW w:w="5140" w:type="dxa"/>
            <w:vAlign w:val="bottom"/>
            <w:gridSpan w:val="3"/>
          </w:tcPr>
          <w:p>
            <w:pPr>
              <w:jc w:val="center"/>
              <w:ind w:left="4092"/>
              <w:spacing w:after="0"/>
              <w:rPr>
                <w:sz w:val="20"/>
                <w:szCs w:val="20"/>
                <w:color w:val="auto"/>
              </w:rPr>
            </w:pPr>
            <w:r>
              <w:rPr>
                <w:rFonts w:ascii="Arial" w:cs="Arial" w:eastAsia="Arial" w:hAnsi="Arial"/>
                <w:sz w:val="14"/>
                <w:szCs w:val="14"/>
                <w:b w:val="1"/>
                <w:bCs w:val="1"/>
                <w:color w:val="auto"/>
                <w:w w:val="88"/>
              </w:rPr>
              <w:t>52-0684746</w:t>
            </w:r>
          </w:p>
        </w:tc>
      </w:tr>
      <w:tr>
        <w:trPr>
          <w:trHeight w:val="149"/>
        </w:trPr>
        <w:tc>
          <w:tcPr>
            <w:tcW w:w="206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8"/>
              </w:rPr>
              <w:t>(State or other jurisdiction</w:t>
            </w:r>
          </w:p>
        </w:tc>
        <w:tc>
          <w:tcPr>
            <w:tcW w:w="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60" w:type="dxa"/>
            <w:vAlign w:val="bottom"/>
          </w:tcPr>
          <w:p>
            <w:pPr>
              <w:jc w:val="center"/>
              <w:ind w:left="1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60" w:type="dxa"/>
            <w:vAlign w:val="bottom"/>
          </w:tcPr>
          <w:p>
            <w:pPr>
              <w:jc w:val="center"/>
              <w:ind w:right="212"/>
              <w:spacing w:after="0"/>
              <w:rPr>
                <w:sz w:val="20"/>
                <w:szCs w:val="20"/>
                <w:color w:val="auto"/>
              </w:rPr>
            </w:pPr>
            <w:r>
              <w:rPr>
                <w:rFonts w:ascii="Arial" w:cs="Arial" w:eastAsia="Arial" w:hAnsi="Arial"/>
                <w:sz w:val="14"/>
                <w:szCs w:val="14"/>
                <w:color w:val="auto"/>
                <w:w w:val="90"/>
              </w:rPr>
              <w:t>of incorporation or organization)</w:t>
            </w:r>
          </w:p>
        </w:tc>
        <w:tc>
          <w:tcPr>
            <w:tcW w:w="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60" w:type="dxa"/>
            <w:vAlign w:val="bottom"/>
          </w:tcPr>
          <w:p>
            <w:pPr>
              <w:jc w:val="center"/>
              <w:ind w:left="1292"/>
              <w:spacing w:after="0"/>
              <w:rPr>
                <w:sz w:val="20"/>
                <w:szCs w:val="20"/>
                <w:color w:val="auto"/>
              </w:rPr>
            </w:pPr>
            <w:r>
              <w:rPr>
                <w:rFonts w:ascii="Arial" w:cs="Arial" w:eastAsia="Arial" w:hAnsi="Arial"/>
                <w:sz w:val="14"/>
                <w:szCs w:val="14"/>
                <w:color w:val="auto"/>
                <w:w w:val="91"/>
              </w:rPr>
              <w:t>Identification No.)</w:t>
            </w:r>
          </w:p>
        </w:tc>
      </w:tr>
      <w:tr>
        <w:trPr>
          <w:trHeight w:val="122"/>
        </w:trPr>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r>
      <w:tr>
        <w:trPr>
          <w:trHeight w:val="237"/>
        </w:trPr>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2"/>
          </w:tcPr>
          <w:p>
            <w:pPr>
              <w:jc w:val="center"/>
              <w:ind w:right="2292"/>
              <w:spacing w:after="0"/>
              <w:rPr>
                <w:sz w:val="20"/>
                <w:szCs w:val="20"/>
                <w:color w:val="auto"/>
              </w:rPr>
            </w:pPr>
            <w:r>
              <w:rPr>
                <w:rFonts w:ascii="Arial" w:cs="Arial" w:eastAsia="Arial" w:hAnsi="Arial"/>
                <w:sz w:val="14"/>
                <w:szCs w:val="14"/>
                <w:b w:val="1"/>
                <w:bCs w:val="1"/>
                <w:color w:val="auto"/>
                <w:w w:val="87"/>
              </w:rPr>
              <w:t>153 East 53rd Street, 57th Floor</w:t>
            </w:r>
          </w:p>
        </w:tc>
      </w:tr>
      <w:tr>
        <w:trPr>
          <w:trHeight w:val="149"/>
        </w:trPr>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gridSpan w:val="2"/>
          </w:tcPr>
          <w:p>
            <w:pPr>
              <w:jc w:val="center"/>
              <w:ind w:right="2312"/>
              <w:spacing w:after="0" w:line="149" w:lineRule="exact"/>
              <w:rPr>
                <w:sz w:val="20"/>
                <w:szCs w:val="20"/>
                <w:color w:val="auto"/>
              </w:rPr>
            </w:pPr>
            <w:r>
              <w:rPr>
                <w:rFonts w:ascii="Arial" w:cs="Arial" w:eastAsia="Arial" w:hAnsi="Arial"/>
                <w:sz w:val="14"/>
                <w:szCs w:val="14"/>
                <w:b w:val="1"/>
                <w:bCs w:val="1"/>
                <w:color w:val="auto"/>
                <w:w w:val="88"/>
              </w:rPr>
              <w:t>New York, New York 10022-4624</w:t>
            </w:r>
          </w:p>
        </w:tc>
      </w:tr>
      <w:tr>
        <w:trPr>
          <w:trHeight w:val="174"/>
        </w:trPr>
        <w:tc>
          <w:tcPr>
            <w:tcW w:w="2060" w:type="dxa"/>
            <w:vAlign w:val="bottom"/>
          </w:tcPr>
          <w:p>
            <w:pPr>
              <w:spacing w:after="0"/>
              <w:rPr>
                <w:sz w:val="15"/>
                <w:szCs w:val="15"/>
                <w:color w:val="auto"/>
              </w:rPr>
            </w:pPr>
          </w:p>
        </w:tc>
        <w:tc>
          <w:tcPr>
            <w:tcW w:w="27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rPr>
              <w:t>(212) 350-9400</w:t>
            </w:r>
          </w:p>
        </w:tc>
        <w:tc>
          <w:tcPr>
            <w:tcW w:w="2360" w:type="dxa"/>
            <w:vAlign w:val="bottom"/>
          </w:tcPr>
          <w:p>
            <w:pPr>
              <w:spacing w:after="0"/>
              <w:rPr>
                <w:sz w:val="15"/>
                <w:szCs w:val="15"/>
                <w:color w:val="auto"/>
              </w:rPr>
            </w:pPr>
          </w:p>
        </w:tc>
      </w:tr>
      <w:tr>
        <w:trPr>
          <w:trHeight w:val="163"/>
        </w:trPr>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60" w:type="dxa"/>
            <w:vAlign w:val="bottom"/>
            <w:gridSpan w:val="2"/>
          </w:tcPr>
          <w:p>
            <w:pPr>
              <w:jc w:val="center"/>
              <w:ind w:right="2312"/>
              <w:spacing w:after="0"/>
              <w:rPr>
                <w:sz w:val="20"/>
                <w:szCs w:val="20"/>
                <w:color w:val="auto"/>
              </w:rPr>
            </w:pPr>
            <w:r>
              <w:rPr>
                <w:rFonts w:ascii="Arial" w:cs="Arial" w:eastAsia="Arial" w:hAnsi="Arial"/>
                <w:sz w:val="14"/>
                <w:szCs w:val="14"/>
                <w:b w:val="1"/>
                <w:bCs w:val="1"/>
                <w:color w:val="auto"/>
                <w:w w:val="88"/>
              </w:rPr>
              <w:t>42, rue Saint-Dominique</w:t>
            </w:r>
          </w:p>
        </w:tc>
      </w:tr>
      <w:tr>
        <w:trPr>
          <w:trHeight w:val="149"/>
        </w:trPr>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gridSpan w:val="2"/>
          </w:tcPr>
          <w:p>
            <w:pPr>
              <w:jc w:val="center"/>
              <w:ind w:right="2312"/>
              <w:spacing w:after="0" w:line="149" w:lineRule="exact"/>
              <w:rPr>
                <w:sz w:val="20"/>
                <w:szCs w:val="20"/>
                <w:color w:val="auto"/>
              </w:rPr>
            </w:pPr>
            <w:r>
              <w:rPr>
                <w:rFonts w:ascii="Arial" w:cs="Arial" w:eastAsia="Arial" w:hAnsi="Arial"/>
                <w:sz w:val="14"/>
                <w:szCs w:val="14"/>
                <w:b w:val="1"/>
                <w:bCs w:val="1"/>
                <w:color w:val="auto"/>
                <w:w w:val="87"/>
              </w:rPr>
              <w:t>Paris, France 75007</w:t>
            </w:r>
          </w:p>
        </w:tc>
      </w:tr>
      <w:tr>
        <w:trPr>
          <w:trHeight w:val="174"/>
        </w:trPr>
        <w:tc>
          <w:tcPr>
            <w:tcW w:w="2060" w:type="dxa"/>
            <w:vAlign w:val="bottom"/>
          </w:tcPr>
          <w:p>
            <w:pPr>
              <w:spacing w:after="0"/>
              <w:rPr>
                <w:sz w:val="15"/>
                <w:szCs w:val="15"/>
                <w:color w:val="auto"/>
              </w:rPr>
            </w:pPr>
          </w:p>
        </w:tc>
        <w:tc>
          <w:tcPr>
            <w:tcW w:w="278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33-1-4062-1000</w:t>
            </w:r>
          </w:p>
        </w:tc>
        <w:tc>
          <w:tcPr>
            <w:tcW w:w="2360" w:type="dxa"/>
            <w:vAlign w:val="bottom"/>
          </w:tcPr>
          <w:p>
            <w:pPr>
              <w:spacing w:after="0"/>
              <w:rPr>
                <w:sz w:val="15"/>
                <w:szCs w:val="15"/>
                <w:color w:val="auto"/>
              </w:rPr>
            </w:pP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Parkstraat 83, The Hague</w:t>
      </w:r>
    </w:p>
    <w:p>
      <w:pPr>
        <w:jc w:val="center"/>
        <w:spacing w:after="0" w:line="223" w:lineRule="auto"/>
        <w:rPr>
          <w:sz w:val="20"/>
          <w:szCs w:val="20"/>
          <w:color w:val="auto"/>
        </w:rPr>
      </w:pPr>
      <w:r>
        <w:rPr>
          <w:rFonts w:ascii="Arial" w:cs="Arial" w:eastAsia="Arial" w:hAnsi="Arial"/>
          <w:sz w:val="14"/>
          <w:szCs w:val="14"/>
          <w:b w:val="1"/>
          <w:bCs w:val="1"/>
          <w:color w:val="auto"/>
        </w:rPr>
        <w:t>The Netherlands, 2514 JG</w:t>
      </w:r>
    </w:p>
    <w:p>
      <w:pPr>
        <w:jc w:val="center"/>
        <w:spacing w:after="0" w:line="222" w:lineRule="auto"/>
        <w:rPr>
          <w:sz w:val="20"/>
          <w:szCs w:val="20"/>
          <w:color w:val="auto"/>
        </w:rPr>
      </w:pPr>
      <w:r>
        <w:rPr>
          <w:rFonts w:ascii="Arial" w:cs="Arial" w:eastAsia="Arial" w:hAnsi="Arial"/>
          <w:sz w:val="14"/>
          <w:szCs w:val="14"/>
          <w:b w:val="1"/>
          <w:bCs w:val="1"/>
          <w:color w:val="auto"/>
        </w:rPr>
        <w:t>31-70-310-5400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77470</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Ellen Summer, Esq.</w:t>
      </w:r>
    </w:p>
    <w:p>
      <w:pPr>
        <w:jc w:val="center"/>
        <w:spacing w:after="0" w:line="223"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Schlumberger Limited</w:t>
      </w:r>
    </w:p>
    <w:p>
      <w:pPr>
        <w:jc w:val="center"/>
        <w:spacing w:after="0" w:line="221" w:lineRule="auto"/>
        <w:rPr>
          <w:sz w:val="20"/>
          <w:szCs w:val="20"/>
          <w:color w:val="auto"/>
        </w:rPr>
      </w:pPr>
      <w:r>
        <w:rPr>
          <w:rFonts w:ascii="Arial" w:cs="Arial" w:eastAsia="Arial" w:hAnsi="Arial"/>
          <w:sz w:val="14"/>
          <w:szCs w:val="14"/>
          <w:b w:val="1"/>
          <w:bCs w:val="1"/>
          <w:color w:val="auto"/>
        </w:rPr>
        <w:t>153 East 53rd Street, 57th Floor</w:t>
      </w:r>
    </w:p>
    <w:p>
      <w:pPr>
        <w:jc w:val="center"/>
        <w:spacing w:after="0" w:line="222" w:lineRule="auto"/>
        <w:rPr>
          <w:sz w:val="20"/>
          <w:szCs w:val="20"/>
          <w:color w:val="auto"/>
        </w:rPr>
      </w:pPr>
      <w:r>
        <w:rPr>
          <w:rFonts w:ascii="Arial" w:cs="Arial" w:eastAsia="Arial" w:hAnsi="Arial"/>
          <w:sz w:val="14"/>
          <w:szCs w:val="14"/>
          <w:b w:val="1"/>
          <w:bCs w:val="1"/>
          <w:color w:val="auto"/>
        </w:rPr>
        <w:t>New York, New York 10022-4624</w:t>
      </w:r>
    </w:p>
    <w:p>
      <w:pPr>
        <w:jc w:val="center"/>
        <w:spacing w:after="0" w:line="221" w:lineRule="auto"/>
        <w:rPr>
          <w:sz w:val="20"/>
          <w:szCs w:val="20"/>
          <w:color w:val="auto"/>
        </w:rPr>
      </w:pPr>
      <w:r>
        <w:rPr>
          <w:rFonts w:ascii="Arial" w:cs="Arial" w:eastAsia="Arial" w:hAnsi="Arial"/>
          <w:sz w:val="14"/>
          <w:szCs w:val="14"/>
          <w:b w:val="1"/>
          <w:bCs w:val="1"/>
          <w:color w:val="auto"/>
        </w:rPr>
        <w:t>(212) 350-9400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77470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 David Kirkland, Jr.</w:t>
      </w:r>
    </w:p>
    <w:p>
      <w:pPr>
        <w:jc w:val="center"/>
        <w:spacing w:after="0" w:line="223" w:lineRule="auto"/>
        <w:rPr>
          <w:sz w:val="20"/>
          <w:szCs w:val="20"/>
          <w:color w:val="auto"/>
        </w:rPr>
      </w:pPr>
      <w:r>
        <w:rPr>
          <w:rFonts w:ascii="Arial" w:cs="Arial" w:eastAsia="Arial" w:hAnsi="Arial"/>
          <w:sz w:val="14"/>
          <w:szCs w:val="14"/>
          <w:b w:val="1"/>
          <w:bCs w:val="1"/>
          <w:color w:val="auto"/>
        </w:rPr>
        <w:t>Baker Botts L.L.P.</w:t>
      </w:r>
    </w:p>
    <w:p>
      <w:pPr>
        <w:jc w:val="center"/>
        <w:spacing w:after="0" w:line="222" w:lineRule="auto"/>
        <w:rPr>
          <w:sz w:val="20"/>
          <w:szCs w:val="20"/>
          <w:color w:val="auto"/>
        </w:rPr>
      </w:pPr>
      <w:r>
        <w:rPr>
          <w:rFonts w:ascii="Arial" w:cs="Arial" w:eastAsia="Arial" w:hAnsi="Arial"/>
          <w:sz w:val="14"/>
          <w:szCs w:val="14"/>
          <w:b w:val="1"/>
          <w:bCs w:val="1"/>
          <w:color w:val="auto"/>
        </w:rPr>
        <w:t>One Shell Plaza, 910 Louisiana</w:t>
      </w:r>
    </w:p>
    <w:p>
      <w:pPr>
        <w:jc w:val="center"/>
        <w:spacing w:after="0" w:line="221" w:lineRule="auto"/>
        <w:rPr>
          <w:sz w:val="20"/>
          <w:szCs w:val="20"/>
          <w:color w:val="auto"/>
        </w:rPr>
      </w:pPr>
      <w:r>
        <w:rPr>
          <w:rFonts w:ascii="Arial" w:cs="Arial" w:eastAsia="Arial" w:hAnsi="Arial"/>
          <w:sz w:val="14"/>
          <w:szCs w:val="14"/>
          <w:b w:val="1"/>
          <w:bCs w:val="1"/>
          <w:color w:val="auto"/>
        </w:rPr>
        <w:t>Houston, Texas 77002</w:t>
      </w:r>
    </w:p>
    <w:p>
      <w:pPr>
        <w:jc w:val="center"/>
        <w:spacing w:after="0"/>
        <w:rPr>
          <w:sz w:val="20"/>
          <w:szCs w:val="20"/>
          <w:color w:val="auto"/>
        </w:rPr>
      </w:pPr>
      <w:r>
        <w:rPr>
          <w:rFonts w:ascii="Arial" w:cs="Arial" w:eastAsia="Arial" w:hAnsi="Arial"/>
          <w:sz w:val="14"/>
          <w:szCs w:val="14"/>
          <w:b w:val="1"/>
          <w:bCs w:val="1"/>
          <w:color w:val="auto"/>
        </w:rPr>
        <w:t>(713) 229-1101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77470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11" w:lineRule="exact"/>
        <w:rPr>
          <w:sz w:val="24"/>
          <w:szCs w:val="24"/>
          <w:color w:val="auto"/>
        </w:rPr>
      </w:pPr>
    </w:p>
    <w:p>
      <w:pPr>
        <w:ind w:left="360"/>
        <w:spacing w:after="0"/>
        <w:tabs>
          <w:tab w:leader="none" w:pos="436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From time to time after the effective date of this Registration Statement.</w:t>
      </w:r>
    </w:p>
    <w:p>
      <w:pPr>
        <w:spacing w:after="0" w:line="13"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9" w:lineRule="exact"/>
        <w:rPr>
          <w:sz w:val="24"/>
          <w:szCs w:val="24"/>
          <w:color w:val="auto"/>
        </w:rPr>
      </w:pPr>
    </w:p>
    <w:p>
      <w:pPr>
        <w:ind w:right="60" w:firstLine="342"/>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42"/>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42"/>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8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20" w:type="dxa"/>
            <w:vAlign w:val="bottom"/>
            <w:tcBorders>
              <w:top w:val="single" w:sz="8" w:color="auto"/>
              <w:bottom w:val="single" w:sz="8" w:color="auto"/>
            </w:tcBorders>
          </w:tcPr>
          <w:p>
            <w:pPr>
              <w:spacing w:after="0"/>
              <w:rPr>
                <w:sz w:val="3"/>
                <w:szCs w:val="3"/>
                <w:color w:val="auto"/>
              </w:rPr>
            </w:pPr>
          </w:p>
        </w:tc>
        <w:tc>
          <w:tcPr>
            <w:tcW w:w="268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30"/>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6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3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3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2680" w:type="dxa"/>
            <w:vAlign w:val="bottom"/>
          </w:tcPr>
          <w:p>
            <w:pPr>
              <w:jc w:val="center"/>
              <w:ind w:left="75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36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61"/>
        </w:trPr>
        <w:tc>
          <w:tcPr>
            <w:tcW w:w="20" w:type="dxa"/>
            <w:vAlign w:val="bottom"/>
          </w:tcPr>
          <w:p>
            <w:pPr>
              <w:spacing w:after="0"/>
              <w:rPr>
                <w:sz w:val="14"/>
                <w:szCs w:val="14"/>
                <w:color w:val="auto"/>
              </w:rPr>
            </w:pPr>
          </w:p>
        </w:tc>
        <w:tc>
          <w:tcPr>
            <w:tcW w:w="4320" w:type="dxa"/>
            <w:vAlign w:val="bottom"/>
            <w:tcBorders>
              <w:bottom w:val="single" w:sz="8" w:color="auto"/>
            </w:tcBorders>
          </w:tcPr>
          <w:p>
            <w:pPr>
              <w:jc w:val="center"/>
              <w:ind w:left="332"/>
              <w:spacing w:after="0"/>
              <w:rPr>
                <w:sz w:val="20"/>
                <w:szCs w:val="20"/>
                <w:color w:val="auto"/>
              </w:rPr>
            </w:pPr>
            <w:r>
              <w:rPr>
                <w:rFonts w:ascii="Arial" w:cs="Arial" w:eastAsia="Arial" w:hAnsi="Arial"/>
                <w:sz w:val="14"/>
                <w:szCs w:val="14"/>
                <w:b w:val="1"/>
                <w:bCs w:val="1"/>
                <w:color w:val="auto"/>
                <w:w w:val="84"/>
              </w:rPr>
              <w:t>Securities to be Registered</w:t>
            </w:r>
          </w:p>
        </w:tc>
        <w:tc>
          <w:tcPr>
            <w:tcW w:w="2680" w:type="dxa"/>
            <w:vAlign w:val="bottom"/>
            <w:tcBorders>
              <w:bottom w:val="single" w:sz="8" w:color="auto"/>
            </w:tcBorders>
          </w:tcPr>
          <w:p>
            <w:pPr>
              <w:jc w:val="center"/>
              <w:ind w:left="752"/>
              <w:spacing w:after="0"/>
              <w:rPr>
                <w:sz w:val="20"/>
                <w:szCs w:val="20"/>
                <w:color w:val="auto"/>
              </w:rPr>
            </w:pPr>
            <w:r>
              <w:rPr>
                <w:rFonts w:ascii="Arial" w:cs="Arial" w:eastAsia="Arial" w:hAnsi="Arial"/>
                <w:sz w:val="14"/>
                <w:szCs w:val="14"/>
                <w:b w:val="1"/>
                <w:bCs w:val="1"/>
                <w:color w:val="auto"/>
                <w:w w:val="85"/>
              </w:rPr>
              <w:t>Registered</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5"/>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2680" w:type="dxa"/>
            <w:vAlign w:val="bottom"/>
            <w:tcBorders>
              <w:bottom w:val="single" w:sz="8" w:color="auto"/>
            </w:tcBorders>
          </w:tcPr>
          <w:p>
            <w:pPr>
              <w:jc w:val="center"/>
              <w:ind w:left="732"/>
              <w:spacing w:after="0" w:line="142" w:lineRule="exact"/>
              <w:rPr>
                <w:sz w:val="20"/>
                <w:szCs w:val="20"/>
                <w:color w:val="auto"/>
              </w:rPr>
            </w:pPr>
            <w:r>
              <w:rPr>
                <w:rFonts w:ascii="Arial" w:cs="Arial" w:eastAsia="Arial" w:hAnsi="Arial"/>
                <w:sz w:val="14"/>
                <w:szCs w:val="14"/>
                <w:color w:val="auto"/>
                <w:w w:val="86"/>
              </w:rPr>
              <w:t>4,636,341 shares(1)</w:t>
            </w:r>
          </w:p>
        </w:tc>
        <w:tc>
          <w:tcPr>
            <w:tcW w:w="140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color w:val="auto"/>
              </w:rPr>
              <w:t>$65.45(2)</w:t>
            </w:r>
          </w:p>
        </w:tc>
        <w:tc>
          <w:tcPr>
            <w:tcW w:w="16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$303,448,519</w:t>
            </w:r>
          </w:p>
        </w:tc>
        <w:tc>
          <w:tcPr>
            <w:tcW w:w="136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color w:val="auto"/>
              </w:rPr>
              <w:t>$32,469</w:t>
            </w: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 w:lineRule="exact"/>
        <w:rPr>
          <w:sz w:val="24"/>
          <w:szCs w:val="24"/>
          <w:color w:val="auto"/>
        </w:rPr>
      </w:pPr>
    </w:p>
    <w:p>
      <w:pPr>
        <w:ind w:left="340" w:right="36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we are also registering an indeterminable number of shares of common stock as may be issued in connection with a stock split, stock dividend, recapitalization or similar event.</w:t>
      </w:r>
    </w:p>
    <w:p>
      <w:pPr>
        <w:spacing w:after="0" w:line="3"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on the basis of the average high and low sales prices of the common stock on the New York Stock Exchange on May 18,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4,636,341 Shares</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229870</wp:posOffset>
            </wp:positionV>
            <wp:extent cx="1620520"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4,636,341 shares of our common stock offered by this prospectus were originally issued by us in offshore transactions and in private placements in connection with our acquisition of interests in PetroAlliance Services Company Limited. All of the shares of common stock offered by this prospectus may be sold from time to time by or on behalf the selling stockholders named herein. The shares of common stock covered by this prospectus may be sold at fixed prices, at market prices prevailing at the time of sale, at prices related to such prevailing market prices or at negotiated prices. We will not receive any of the proceeds from the sale of our common stock by the selling stockholders. Please read “Plan of Distribution.”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May 18, 2006, the closing sale price of our common stock as reported on the New York Stock Exchange was $64.40 per share.</w:t>
      </w:r>
    </w:p>
    <w:p>
      <w:pPr>
        <w:spacing w:after="0" w:line="132" w:lineRule="exact"/>
        <w:rPr>
          <w:sz w:val="20"/>
          <w:szCs w:val="20"/>
          <w:color w:val="auto"/>
        </w:rPr>
      </w:pPr>
    </w:p>
    <w:p>
      <w:pPr>
        <w:ind w:left="24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common stock involves risk. Please read “ </w:t>
      </w:r>
      <w:hyperlink w:anchor="page4">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208280</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150495</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19, 2006.</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we have provided or incorporated by reference in this prospectus. We have not authorized any person to provide you with additional or different information. We are not making an offer of these securities in any jurisdiction where the offer is not permitted.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prospectus may have changed since those dates.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200" w:type="dxa"/>
            <w:vAlign w:val="bottom"/>
            <w:gridSpan w:val="7"/>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SCHLUMBERGER LIMITED</w:t>
              </w:r>
            </w:hyperlink>
          </w:p>
        </w:tc>
        <w:tc>
          <w:tcPr>
            <w:tcW w:w="8940" w:type="dxa"/>
            <w:vAlign w:val="bottom"/>
            <w:gridSpan w:val="5"/>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200" w:type="dxa"/>
            <w:vAlign w:val="bottom"/>
            <w:tcBorders>
              <w:bottom w:val="single" w:sz="8" w:color="0000EE"/>
            </w:tcBorders>
            <w:gridSpan w:val="7"/>
            <w:vMerge w:val="continue"/>
          </w:tcPr>
          <w:p>
            <w:pPr>
              <w:spacing w:after="0"/>
              <w:rPr>
                <w:sz w:val="14"/>
                <w:szCs w:val="14"/>
                <w:color w:val="auto"/>
              </w:rPr>
            </w:pPr>
          </w:p>
        </w:tc>
        <w:tc>
          <w:tcPr>
            <w:tcW w:w="8940" w:type="dxa"/>
            <w:vAlign w:val="bottom"/>
            <w:gridSpan w:val="5"/>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82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SELECTED HISTORICAL CONSOLIDATED FINANCIAL DATA</w:t>
              </w:r>
            </w:hyperlink>
          </w:p>
        </w:tc>
        <w:tc>
          <w:tcPr>
            <w:tcW w:w="63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89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82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97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Founded in 1927, we are the world’s leading oilfield services company, supplying technology, project management, and information solutions that optimize performance in the oil and gas industry. As of December 31, 2005, we employed more than 60,000 people of over 140 nationalities operating in more than 80 countries. We have two business segments:</w:t>
      </w:r>
    </w:p>
    <w:p>
      <w:pPr>
        <w:spacing w:after="0" w:line="59" w:lineRule="exact"/>
        <w:rPr>
          <w:sz w:val="20"/>
          <w:szCs w:val="20"/>
          <w:color w:val="auto"/>
        </w:rPr>
      </w:pPr>
    </w:p>
    <w:p>
      <w:pPr>
        <w:ind w:left="780" w:right="2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 Oilfield Services is the world’s premier oilfield services company supplying a wide range of technology services and solutions to the international oil and gas industry.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WesternGeco is the world’s largest and most advanced surface seismic company.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are incorporated under the laws of the Netherlands Antilles. The mailing addresses and telephone numbers of our principal executive offices are:</w:t>
      </w:r>
    </w:p>
    <w:p>
      <w:pPr>
        <w:spacing w:after="0" w:line="113"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153 East 53rd Street, 57th Floor, New York, New York, 10022-4624, 212-350-9400;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42 Rue Saint-Dominique, Paris, France, 75007, 33-1-4062-1000;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Parkstraat 83, The Hague, The Netherlands 2514 JG, 31-70-310-5400.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in the documents incorporated by reference in this prospectus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218"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26"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4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non-United States operations accounted for approximately 75% of our consolidated revenues in 2005 and 74% in both 2004 and 2003. Operations in countries other than the United States are subject to various risks, including:</w:t>
      </w:r>
    </w:p>
    <w:p>
      <w:pPr>
        <w:spacing w:after="0" w:line="5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Libya and Cuba, which are subject to trade, economic sanctions or other restrictions imposed by the United States government.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44"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costs or become the basis of new or increased liabilities that could reduce our earnings and our cash available for operations. We believe we are currently in substantial compliance with environmental laws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19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oilfield service businesses intensifies as activity increases. In periods of high utilization it may become more difficult to find and retain qualified individuals. This could increase our costs or have other adverse effects on our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(the “Securities Act”) and Section 21E of the Securities Exchange Act of 1934 (the “Exchange Act”). Forward-looking statements include the information concerning our possible or assumed future results of operations, including statements about the following subjects:</w:t>
      </w:r>
    </w:p>
    <w:p>
      <w:pPr>
        <w:spacing w:after="0" w:line="32"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and market outlook;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growth as a whole and growth for each of Oilfield Services and WesternGeco;</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capital expenditures by us and the oil and gas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customers’ business strategies;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depreciation and amortization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pension and post-retirement funding;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SFAS 123R and stock-based compensation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buy-back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benefits from contract awards and performance of contracts;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outcomes of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results of operations and/or financial position;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Forward-looking statements in this prospectus or in the documents incorporated by reference in this prospectus are generally identifiable by use of the following words and other similar expressions, among others: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“anticipate”;</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“estimate”;</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“may”;</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“project”;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“believe”;</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“expect”;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“might”;</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“shall”;</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“budget”;</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“forecast”;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“plan”;</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w w:val="89"/>
              </w:rPr>
              <w:t>“should”; and</w:t>
            </w:r>
          </w:p>
        </w:tc>
      </w:t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“could”;</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“intend”;</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“predict”;</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“will.”</w:t>
            </w:r>
          </w:p>
        </w:tc>
      </w:tr>
    </w:tbl>
    <w:p>
      <w:pPr>
        <w:spacing w:after="0" w:line="15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Assumptions, beliefs, expectations, intentions and projections about future events may and often do vary materially from actual results. Therefore, actual results may differ materially from those expressed or implied by our forward-looking statements. Some of the factors that could cause actual results to differ from those expressed or implied by our forward-looking statements are described in the “Risk Factors” section of this prospectus, in the “Management’s Discussion and Analysis of Financial Condition and Results of Operations” and “Risk Factors” sections of our Annual Report on Form 10-K for the fiscal year ended December 31, 2005, and in our subsequent filings with the Securities and Exchange Commission (“SEC”).</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shares of common stock by the selling stockholders.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January 19, 2006, our Board of Directors approved a two-for-one split of our common stock. Stockholders of record as of March 1, 2006 were entitled to one additional share for every share outstanding, which was distributed on April 7, 2006. The following table sets forth the restated earnings per share, cash dividends declared per share and average shares outstanding data to reflect the effect of the stock split and other selected financial data (in millions,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9"/>
          </w:tcPr>
          <w:p>
            <w:pPr>
              <w:jc w:val="right"/>
              <w:ind w:right="12"/>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4"/>
          </w:tcPr>
          <w:p>
            <w:pPr>
              <w:jc w:val="right"/>
              <w:ind w:right="5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2003</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Operating revenue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4,239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3,159</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14,309</w:t>
            </w:r>
          </w:p>
        </w:tc>
        <w:tc>
          <w:tcPr>
            <w:tcW w:w="880" w:type="dxa"/>
            <w:vAlign w:val="bottom"/>
            <w:gridSpan w:val="6"/>
          </w:tcPr>
          <w:p>
            <w:pPr>
              <w:jc w:val="right"/>
              <w:ind w:right="120"/>
              <w:spacing w:after="0"/>
              <w:rPr>
                <w:sz w:val="20"/>
                <w:szCs w:val="20"/>
                <w:color w:val="auto"/>
              </w:rPr>
            </w:pPr>
            <w:r>
              <w:rPr>
                <w:rFonts w:ascii="Arial" w:cs="Arial" w:eastAsia="Arial" w:hAnsi="Arial"/>
                <w:sz w:val="18"/>
                <w:szCs w:val="18"/>
                <w:color w:val="auto"/>
              </w:rPr>
              <w:t>$11,480</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$10,017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9,657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1,014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2,207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1,224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(2,320)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Income from continuing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(loss) from discontinued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880"/>
              <w:spacing w:after="0" w:line="243" w:lineRule="exact"/>
              <w:rPr>
                <w:sz w:val="20"/>
                <w:szCs w:val="20"/>
                <w:color w:val="auto"/>
              </w:rPr>
            </w:pPr>
            <w:r>
              <w:rPr>
                <w:rFonts w:ascii="Arial" w:cs="Arial" w:eastAsia="Arial" w:hAnsi="Arial"/>
                <w:sz w:val="18"/>
                <w:szCs w:val="18"/>
                <w:color w:val="auto"/>
              </w:rPr>
              <w:t>Net income (loss)</w:t>
            </w:r>
            <w:r>
              <w:rPr>
                <w:rFonts w:ascii="Arial" w:cs="Arial" w:eastAsia="Arial" w:hAnsi="Arial"/>
                <w:sz w:val="22"/>
                <w:szCs w:val="22"/>
                <w:color w:val="auto"/>
                <w:vertAlign w:val="superscript"/>
              </w:rPr>
              <w:t>(1)</w:t>
            </w: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Add back amortization of goodwill</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880"/>
              <w:spacing w:after="0" w:line="223"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2"/>
                <w:szCs w:val="22"/>
                <w:color w:val="auto"/>
                <w:vertAlign w:val="superscript"/>
              </w:rPr>
              <w:t>(1)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Income from continuing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(loss) from discontinued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Add back amortization of goodwill</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Adjusted net income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Avg. number of shares outstanding:</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1,180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1,179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1,168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Assuming dilution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7"/>
              </w:rPr>
              <w:t>1,241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Cash dividends declared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0.125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0.105</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0.420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0.375</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0.375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0.375</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INFORMATION: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Working capital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3,350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88"/>
              </w:rPr>
              <w:t>3,039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2,359</w:t>
            </w:r>
          </w:p>
        </w:tc>
        <w:tc>
          <w:tcPr>
            <w:tcW w:w="1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18,542</w:t>
            </w:r>
          </w:p>
        </w:tc>
        <w:tc>
          <w:tcPr>
            <w:tcW w:w="8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87"/>
              </w:rPr>
              <w:t>$  18,077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16,001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20,041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19,435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22,326</w:t>
            </w: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3,635</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88"/>
              </w:rPr>
              <w:t>3,591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3,944</w:t>
            </w:r>
          </w:p>
        </w:tc>
        <w:tc>
          <w:tcPr>
            <w:tcW w:w="1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6,097</w:t>
            </w: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6,029</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8,131</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7,592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6,117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5,606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Amounts may not add due to rounding.</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selected historical data in the table above for the three-month periods ended March 31, 2006 and 2005 were derived from our unaudited consolidated financial statements. The data for the five years ended December 31, 2005 were derived from our audited consolidated financial statements.</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Financial information incorporated by reference into this prospectus from our Annual Report on Form 10-K for the fiscal year ended December 31, 2005 has not been restated to reflect the two-for-one stock split.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table sets forth the total number of shares of our common stock held by each selling stockholder as of the date of this prospectus and the number of shares of our common stock of each selling stockholder offered by this prospectus. No estimate can be given as to the number of shares of our common stock that each selling stockholder will own after the sale of any shares under this prospectus, because the selling stockholders may offer all, some or none of their respective shares. No selling stockholder named in the table below owns or will own more than 1% of our outstanding common stock before or after the offering.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8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7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r>
      <w:tr>
        <w:trPr>
          <w:trHeight w:val="182"/>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5"/>
                <w:szCs w:val="15"/>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8"/>
              </w:rPr>
              <w:t>Owned</w:t>
            </w:r>
            <w:r>
              <w:rPr>
                <w:rFonts w:ascii="Arial" w:cs="Arial" w:eastAsia="Arial" w:hAnsi="Arial"/>
                <w:sz w:val="18"/>
                <w:szCs w:val="18"/>
                <w:b w:val="1"/>
                <w:bCs w:val="1"/>
                <w:color w:val="auto"/>
                <w:w w:val="98"/>
                <w:vertAlign w:val="superscript"/>
              </w:rPr>
              <w:t>(1)</w:t>
            </w:r>
          </w:p>
        </w:tc>
        <w:tc>
          <w:tcPr>
            <w:tcW w:w="86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 be Offered</w:t>
            </w:r>
          </w:p>
        </w:tc>
      </w:tr>
      <w:tr>
        <w:trPr>
          <w:trHeight w:val="195"/>
        </w:trPr>
        <w:tc>
          <w:tcPr>
            <w:tcW w:w="7580" w:type="dxa"/>
            <w:vAlign w:val="bottom"/>
          </w:tcPr>
          <w:p>
            <w:pPr>
              <w:spacing w:after="0" w:line="195" w:lineRule="exact"/>
              <w:rPr>
                <w:sz w:val="20"/>
                <w:szCs w:val="20"/>
                <w:color w:val="auto"/>
              </w:rPr>
            </w:pPr>
            <w:r>
              <w:rPr>
                <w:rFonts w:ascii="Arial" w:cs="Arial" w:eastAsia="Arial" w:hAnsi="Arial"/>
                <w:sz w:val="18"/>
                <w:szCs w:val="18"/>
                <w:color w:val="auto"/>
              </w:rPr>
              <w:t>Janak Kumar Basnet</w:t>
            </w:r>
          </w:p>
        </w:tc>
        <w:tc>
          <w:tcPr>
            <w:tcW w:w="860" w:type="dxa"/>
            <w:vAlign w:val="bottom"/>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47,309</w:t>
            </w:r>
          </w:p>
        </w:tc>
        <w:tc>
          <w:tcPr>
            <w:tcW w:w="860" w:type="dxa"/>
            <w:vAlign w:val="bottom"/>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47,309</w:t>
            </w:r>
          </w:p>
        </w:tc>
        <w:tc>
          <w:tcPr>
            <w:tcW w:w="20" w:type="dxa"/>
            <w:vAlign w:val="bottom"/>
          </w:tcPr>
          <w:p>
            <w:pPr>
              <w:spacing w:after="0"/>
              <w:rPr>
                <w:sz w:val="16"/>
                <w:szCs w:val="16"/>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Glen Bird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Marjoram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1,182,744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1,182,744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Yulievich Djaparidze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709,646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709,646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Efraim Dory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V. Gavura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6,999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6,999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Martin Hansen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94,619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Inter Jura Cy (Services)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4,827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4,827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Igor N. Kerysov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Vassili Kyvelidi</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94,619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Vladimir V. Metlin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Andrei Niziev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416,373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416,373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Petro Alliance Directors, Officers and Employees Benefits Plan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99,207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99,207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Petro Alliance Stock Incentive Plan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529,821</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529,821</w:t>
            </w:r>
          </w:p>
        </w:tc>
      </w:tr>
      <w:tr>
        <w:trPr>
          <w:trHeight w:val="216"/>
        </w:trPr>
        <w:tc>
          <w:tcPr>
            <w:tcW w:w="7580" w:type="dxa"/>
            <w:vAlign w:val="bottom"/>
          </w:tcPr>
          <w:p>
            <w:pPr>
              <w:spacing w:after="0" w:line="217" w:lineRule="exact"/>
              <w:rPr>
                <w:sz w:val="20"/>
                <w:szCs w:val="20"/>
                <w:color w:val="auto"/>
              </w:rPr>
            </w:pPr>
            <w:r>
              <w:rPr>
                <w:rFonts w:ascii="Arial" w:cs="Arial" w:eastAsia="Arial" w:hAnsi="Arial"/>
                <w:sz w:val="18"/>
                <w:szCs w:val="18"/>
                <w:color w:val="auto"/>
              </w:rPr>
              <w:t>The Rice Family Living Trust</w:t>
            </w:r>
            <w:r>
              <w:rPr>
                <w:rFonts w:ascii="Arial" w:cs="Arial" w:eastAsia="Arial" w:hAnsi="Arial"/>
                <w:sz w:val="22"/>
                <w:szCs w:val="22"/>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94,619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Thomas A. Russell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236,548</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Murat Sampiev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321,753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321,753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Isa Sharaputtinovich Shabanov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47,309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47,309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Sizov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416,373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416,373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Vladimir Stenin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85,205</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85,205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A. Vaigel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47,309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47,309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Vadim E. Usakovsky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106,446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106,446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David Gray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4,827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4,827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Fuad Aliev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w:t>
            </w:r>
          </w:p>
        </w:tc>
      </w:tr>
      <w:tr>
        <w:trPr>
          <w:trHeight w:val="222"/>
        </w:trPr>
        <w:tc>
          <w:tcPr>
            <w:tcW w:w="7580" w:type="dxa"/>
            <w:vAlign w:val="bottom"/>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4,636,341</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4,636,341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May 19, 2006,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3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William Rice and Karen Rice serve as trustees of The Rice Family Living Trust and they share investment and voting power with respect to the shares of our common stock beneficially owned by The Rice Family Living Trust.</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of the selling stockholders is a former security holder of PetroAlliance Services Company Limited immediately prior to our acquisition of interests in PetroAlliance Services Company Limited. 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set forth above, none of the selling stockholders has, or within the past three years has had, any position, office or other material relationship with us or, insofar as we are aware, any of our predecessors or affiliates.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by Selling Stockholders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registering the shares of common stock on behalf of the selling stockholders pursuant to the terms of a registration rights agreement entered into in connection with our acquisition of interests in PetroAlliance Services Company Limited. A copy of the registration rights agreement has been filed as an exhibit to the registration statement of which this prospectus is a part.</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Any or all of the selling stockholders may offer the shares of common stock from time to time, either in increments or in a single transaction. The selling stockholders may also decide not to sell all the shares of common stock they are allowed to sell under this prospectus. The selling stockholders will act independently of us in making decisions with respect to the timing, manner and size of each sale.</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Sale Transactions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selling stockholders may sell the shares of common stock offered by this prospectus at market prices prevailing at the time of sale, at prices related to such prevailing market prices, at negotiated prices or at fixed prices that may be changed. Sales of shares of our common stock by the selling stockholders may occur from time to time in one or more of the following types of transactions (which may involve crosses or block transactions):</w:t>
      </w:r>
    </w:p>
    <w:p>
      <w:pPr>
        <w:spacing w:after="0" w:line="2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New York Stock Exchange or any other securities exchange that quotes the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transactions other than on those exchanges or in the over-the-counter market (including negotiated transactions and other private transactions);</w:t>
      </w:r>
    </w:p>
    <w:p>
      <w:pPr>
        <w:spacing w:after="0" w:line="113"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short sales (sales of shares completed by delivery of borrowed stock) of the common stock, in transactions to cover short sales or otherwise in connection with short sales;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pledge to secure debts and other obligations or on foreclosure of a pledge;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put or call options, including the writing of exchange-traded call options, or other hedging transactions related to the common stock;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combination of any of the above transactions.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stockholders may enter into hedging transactions from time to time in which a selling stockholder may:</w:t>
      </w:r>
    </w:p>
    <w:p>
      <w:pPr>
        <w:spacing w:after="0" w:line="90" w:lineRule="exact"/>
        <w:rPr>
          <w:sz w:val="20"/>
          <w:szCs w:val="20"/>
          <w:color w:val="auto"/>
        </w:rPr>
      </w:pPr>
    </w:p>
    <w:p>
      <w:pPr>
        <w:ind w:left="7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59"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common stock short itself and redeliver shares offered by this prospectus to close out its short positions or to close out stock loans incurred in connection with its short positions;</w:t>
      </w:r>
    </w:p>
    <w:p>
      <w:pPr>
        <w:spacing w:after="0" w:line="5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common stock to a broker-dealer or any other person, who will then resell or transfer the common stock under this prospectus;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any other person, who may sell the loaned shares or, in an event of default in the case of a pledge, sell the pledged shares under this prospectus.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stockholders may use broker-dealers or other persons to sell their shares in transactions that may include one or more of the following:</w:t>
      </w:r>
    </w:p>
    <w:p>
      <w:pPr>
        <w:spacing w:after="0" w:line="113"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block trade in which a broker-dealer or other person may resell a portion of the block, as principal or agent, in order to facilitate the transaction;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or other person, as principal, and resale by the broker-dealer or other person for its account;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Resales by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stockholder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4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selling stockholders and any agent, broker or dealer that participates in sales of common stock offered by this prospectus may be deemed “underwriters” under the Securities Act, and any commissions or other consideration received by any agent, broker or dealer may be considered underwriting discounts or commissions under the Securities Act.</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Instead of selling shares of common stock under this prospectus, the selling stockholders may sell shares of common stock in compliance with the provisions of Rule 144 under the Securities Act, if available.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informed the selling stockholders that the anti-manipulation provisions of Regulation M under the Exchange Act may apply to their sales of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Delivery Requirements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a selling stockholder may be deemed an underwriter, the selling stockholders must deliver this prospectus and any supplements to this prospectus in the manner required by the Securities Act. This might include delivery through the facilities of the New York Stock Exchange in accordance with Rule 153 under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to indemnify selling stockholders against certain liabilities arising under the Securities Act from sales of common stock. The selling stockholders may agree to indemnify any agent, broker or dealer that participates in sales of common stock against liabilities arising under the Securities Act from sales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of Registration Statement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Under the registration rights agreement, we will use our commercially reasonable efforts to keep the registration statement of which this prospectus is a part effective until the earlier of (1) the sale of all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registrable securities registered under the registration statement; and (2) two years after the date of the third closing at which we acquired additional interests in PetroAlliance Services Company Limited.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permitted to suspend the use of this prospectus for a period not to exceed 90 consecutive days and an aggregate of 150 days during any calendar year if the use of this prospectus would be significantly disadvantageous to us or our stockholders for any reason, including the existence, or in anticipation, of any acquisition, divestiture or financing activity involving us or the unavailability of any required financial statements, or any disclosure that would be required to be made or any other event or condition of similar significance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this Offering</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have agreed, among other things, to pay all expenses in connection with the registration and sale of the shares of common stock covered by this prospectus, other than underwriting fees, discounts, selling commissions and stock transfer taxes applicable to the sale of our common stock by the selling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summarizes the material terms of our capital stock. Reference is made to our articles of incorporation and our bylaws, each as amended to date. Please read “Where You Can Find More Information” for information on how to obtain a copy of our articles of incorporation or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Issued and Treasury Shares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issue an aggregate of 3,000,000,000 shares of common stock, par value $0.01 per share. As of April 30, 2006, 1,334,212,164 shares were issued, of which 1,181,344,225 shares were outstanding and 152,867,939 shares were held by us as treasury stock.</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the articles of incorporation, our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outstanding shares of our common stock (i.e.,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Entitlement to Vote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No action may be taken at any general meeting of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us or the amendment of our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Required Vote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the articles of incorporation this requirement does not apply to a reorganization or rearrangement of us or any of our subsidiaries or any of our assets in any transaction that does not result in any diminution of the beneficial interest of the stockholders in our assets.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articles of incorporation, the board of directors may move our corporate seat to, or convert us into a legal entity under the laws of, another jurisdiction, and may change our corporate domicile from the Netherlands Antilles to another jurisdiction to the extent allowed by applicable law. In certain cases, stockholder approval of such action may not be required under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shares of our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our nominal capital.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stockholders may be called at any time upon the direction of the chairman, the vice chairman, the chief executive 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articles of incorporation, any one person, or any two or more legal entities belonging to the same group, holding shares representing at least 90% of our equity can require the remaining stockholders to transfer their shares as provided by and in accordance with the provisions of Netherlands Antilles law. This provision is somewhat similar to statutes that exist in Delaware and most states in the United States, which typically allow the owner or owners of 90% of a company’s outstanding equity to effect a “short-form” merger. In order to effect a compulsory share transfer, the owner or owners of 90% of our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common stock is listed for trading on the New York Stock Exchange, The London Stock Exchange, Euronext Paris, Euronext Amsterdam and The SWS Swiss Exchange. The transfer agent and registrar for the common stock is Computershare Trust Company, N.A., Canton, Massachusetts.</w:t>
      </w: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common stock will be passed upon for us by Ellen Summer, Esq., our General Counsel.</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our Annual Report on Form 10-K have been so incorporated in reliance on the report of PricewaterhouseCoopers LLP, an independent registered public accounting firm, given on the authority of said firm as experts in auditing and accounting.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over the Internet at our website at www.slb.com and at the SEC’s website 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www.sec.gov. You may also read and copy any document we file at the SEC’s Public Reference Room at 100 F. Street N.E.,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prospectus is part of a registration statement that we have filed with the SEC relating to the common stock.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 (c), 14 and 15(d) of the Exchange Act after the date of the initial registration statement and prior to the effectiveness of the registration statement:</w:t>
      </w:r>
    </w:p>
    <w:p>
      <w:pPr>
        <w:spacing w:after="0" w:line="39"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19, 2006 (two reports), January 24, 2006, April 18, 2006 and April 21, 2006 (Item 8.01 only);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with the SEC on April 29, 2005.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350-9400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estimated expenses payable by Schlumberger Limited (the “Registrant”) in connection with the issuance and distribution of the securities being registered. All amounts shown are estimates, except the registration fee.</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32,469</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r>
      <w:tr>
        <w:trPr>
          <w:trHeight w:val="222"/>
        </w:trPr>
        <w:tc>
          <w:tcPr>
            <w:tcW w:w="880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100,000</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4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the Board of Directors.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10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9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5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32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10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Articles of Incorporation of Schlumberger N.V. (Schlumberger Limited) as last amended on April 12, 2006 (incorporated by reference to Exhibit</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c>
          <w:tcPr>
            <w:tcW w:w="0" w:type="dxa"/>
            <w:vAlign w:val="bottom"/>
          </w:tcPr>
          <w:p>
            <w:pPr>
              <w:spacing w:after="0"/>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Amended and Restated Bylaws of Schlumberger N.V. (Schlumberger Limited) as last amended on April 21, 2005 (incorporated by reference to</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Exhibit 3.1 to Schlumberger’s Form 8-K filed on April 22, 2005).</w:t>
            </w:r>
          </w:p>
        </w:tc>
        <w:tc>
          <w:tcPr>
            <w:tcW w:w="0" w:type="dxa"/>
            <w:vAlign w:val="bottom"/>
          </w:tcPr>
          <w:p>
            <w:pPr>
              <w:spacing w:after="0"/>
              <w:rPr>
                <w:sz w:val="1"/>
                <w:szCs w:val="1"/>
                <w:color w:val="auto"/>
              </w:rPr>
            </w:pPr>
          </w:p>
        </w:tc>
      </w:tr>
      <w:tr>
        <w:trPr>
          <w:trHeight w:val="318"/>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8"/>
              </w:rPr>
              <w:t>Registration Rights Agreement, dated as of May 27, 2004, by and between Schlumberger and the other parties thereto (incorporated by reference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to Exhibit 4.3 to Schlumberger’s Registration Statement on Form S-3 filed on May 2, 2005).</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Opinion of Ellen Summer, Esq. regarding the legality of the securities being offered.</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 of Ellen Summer, Esq. (included in Exhibit 5.1).</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Powers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Incorporated by reference as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40" w:firstLine="421"/>
        <w:spacing w:after="0" w:line="268" w:lineRule="auto"/>
        <w:tabs>
          <w:tab w:leader="none" w:pos="1647"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provided, however, that the undertakings set forth in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62" w:lineRule="exact"/>
        <w:rPr>
          <w:sz w:val="20"/>
          <w:szCs w:val="20"/>
          <w:color w:val="auto"/>
        </w:rPr>
      </w:pPr>
    </w:p>
    <w:p>
      <w:pPr>
        <w:ind w:left="460" w:right="20" w:firstLine="443"/>
        <w:spacing w:after="0" w:line="259"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left="920" w:right="20" w:firstLine="421"/>
        <w:spacing w:after="0" w:line="268" w:lineRule="auto"/>
        <w:tabs>
          <w:tab w:leader="none" w:pos="162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50" w:lineRule="exact"/>
        <w:rPr>
          <w:rFonts w:ascii="Arial" w:cs="Arial" w:eastAsia="Arial" w:hAnsi="Arial"/>
          <w:sz w:val="18"/>
          <w:szCs w:val="18"/>
          <w:color w:val="auto"/>
        </w:rPr>
      </w:pPr>
    </w:p>
    <w:p>
      <w:pPr>
        <w:ind w:left="920" w:right="20" w:firstLine="421"/>
        <w:spacing w:after="0" w:line="288" w:lineRule="auto"/>
        <w:tabs>
          <w:tab w:leader="none" w:pos="16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effective date, supersede or modify any statement that was made in the registration statement or prospectus that was part of the registration statement or made in any such document immediately prior to such effective date.</w:t>
      </w:r>
    </w:p>
    <w:p>
      <w:pPr>
        <w:spacing w:after="0" w:line="51" w:lineRule="exact"/>
        <w:rPr>
          <w:sz w:val="20"/>
          <w:szCs w:val="20"/>
          <w:color w:val="auto"/>
        </w:rPr>
      </w:pPr>
    </w:p>
    <w:p>
      <w:pPr>
        <w:ind w:left="460" w:right="80" w:firstLine="443"/>
        <w:spacing w:after="0" w:line="255"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right="80" w:firstLine="464"/>
        <w:spacing w:after="0" w:line="255"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160" w:firstLine="464"/>
        <w:spacing w:after="0" w:line="289"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May 19, 2006.</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Jean-Marc Perraud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4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19, 2006 in the capacities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2"/>
          </w:tcPr>
          <w:p>
            <w:pPr>
              <w:jc w:val="center"/>
              <w:ind w:right="2060"/>
              <w:spacing w:after="0"/>
              <w:rPr>
                <w:sz w:val="20"/>
                <w:szCs w:val="20"/>
                <w:color w:val="auto"/>
              </w:rPr>
            </w:pPr>
            <w:r>
              <w:rPr>
                <w:rFonts w:ascii="Arial" w:cs="Arial" w:eastAsia="Arial" w:hAnsi="Arial"/>
                <w:sz w:val="14"/>
                <w:szCs w:val="14"/>
                <w:b w:val="1"/>
                <w:bCs w:val="1"/>
                <w:color w:val="auto"/>
                <w:w w:val="86"/>
              </w:rPr>
              <w:t>Signature</w:t>
            </w:r>
          </w:p>
        </w:tc>
        <w:tc>
          <w:tcPr>
            <w:tcW w:w="580" w:type="dxa"/>
            <w:vAlign w:val="bottom"/>
          </w:tcPr>
          <w:p>
            <w:pPr>
              <w:spacing w:after="0"/>
              <w:rPr>
                <w:sz w:val="14"/>
                <w:szCs w:val="14"/>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329"/>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Director, Chairman and Chief Executive Officer (Principal Executive</w:t>
            </w:r>
          </w:p>
        </w:tc>
      </w:tr>
      <w:tr>
        <w:trPr>
          <w:trHeight w:val="202"/>
        </w:trPr>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7"/>
              </w:rPr>
              <w:t>Andrew Gould</w:t>
            </w:r>
          </w:p>
        </w:tc>
        <w:tc>
          <w:tcPr>
            <w:tcW w:w="58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Officer)</w:t>
            </w:r>
          </w:p>
        </w:tc>
      </w:tr>
      <w:tr>
        <w:trPr>
          <w:trHeight w:val="318"/>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3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EAN</w:t>
            </w: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P</w:t>
            </w:r>
            <w:r>
              <w:rPr>
                <w:rFonts w:ascii="Arial" w:cs="Arial" w:eastAsia="Arial" w:hAnsi="Arial"/>
                <w:sz w:val="14"/>
                <w:szCs w:val="14"/>
                <w:color w:val="auto"/>
              </w:rPr>
              <w:t>ERRAUD</w:t>
            </w: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02"/>
        </w:trPr>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0"/>
              </w:rPr>
              <w:t>Jean-Marc Perraud</w:t>
            </w:r>
          </w:p>
        </w:tc>
        <w:tc>
          <w:tcPr>
            <w:tcW w:w="58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Financial Officer)</w:t>
            </w:r>
          </w:p>
        </w:tc>
      </w:tr>
      <w:tr>
        <w:trPr>
          <w:trHeight w:val="319"/>
        </w:trPr>
        <w:tc>
          <w:tcPr>
            <w:tcW w:w="5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Accounting Officer (Principal Accounting Officer)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2"/>
              </w:rPr>
              <w:t>Howard Guild</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4"/>
              </w:rPr>
              <w:t>John Deutch</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87"/>
              </w:rPr>
              <w:t>Jamie S. Gorelick</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85"/>
              </w:rPr>
              <w:t>Tony Isaac</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9"/>
              </w:rPr>
              <w:t>Adrian Lajous</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0"/>
              </w:rPr>
              <w:t>Andre Levy-Lang</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2"/>
              </w:rPr>
              <w:t>Michael E. Marks</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1"/>
              </w:rPr>
              <w:t>Didier Primat</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8"/>
              </w:rPr>
              <w:t>Tore I. Sandvold</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83"/>
              </w:rPr>
              <w:t>Nicolas Seydoux</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9"/>
              </w:rPr>
              <w:t>Linda G. Stuntz</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08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2"/>
              </w:rPr>
              <w:t>Rana Talwar</w:t>
            </w: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58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tcPr>
          <w:p>
            <w:pPr>
              <w:ind w:left="1300"/>
              <w:spacing w:after="0"/>
              <w:rPr>
                <w:sz w:val="20"/>
                <w:szCs w:val="20"/>
                <w:color w:val="auto"/>
              </w:rPr>
            </w:pPr>
            <w:r>
              <w:rPr>
                <w:rFonts w:ascii="Arial" w:cs="Arial" w:eastAsia="Arial" w:hAnsi="Arial"/>
                <w:sz w:val="18"/>
                <w:szCs w:val="18"/>
                <w:color w:val="auto"/>
              </w:rPr>
              <w:t>/s/</w:t>
            </w:r>
          </w:p>
        </w:tc>
        <w:tc>
          <w:tcPr>
            <w:tcW w:w="3740" w:type="dxa"/>
            <w:vAlign w:val="bottom"/>
            <w:gridSpan w:val="2"/>
          </w:tcPr>
          <w:p>
            <w:pPr>
              <w:jc w:val="center"/>
              <w:ind w:right="234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69"/>
        </w:trPr>
        <w:tc>
          <w:tcPr>
            <w:tcW w:w="540" w:type="dxa"/>
            <w:vAlign w:val="bottom"/>
          </w:tcPr>
          <w:p>
            <w:pPr>
              <w:spacing w:after="0"/>
              <w:rPr>
                <w:sz w:val="14"/>
                <w:szCs w:val="14"/>
                <w:color w:val="auto"/>
              </w:rPr>
            </w:pPr>
          </w:p>
        </w:tc>
        <w:tc>
          <w:tcPr>
            <w:tcW w:w="43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Howard Guild, Attorney-in-Fact</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19,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10022-4624</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connection with the Registration Statement on Form S-3 (the “Registration Statement”) filed by Schlumberger N.V. (Schlumberger Limited), a corporation organized under the laws of the Netherlands Antilles (“Schlumberger”), with the Securities and Exchange Commission under the Securities Act of 1933, as amended (the “Securities Act”), relating to the registration by Schlumberger of the resale of 4,636,341 shares of common stock, par value $0.01 per share, of Schlumberger (the “Shares”), certain legal matters in connection with the Shares are being passed on for you by me. At your request, this opinion is being furnished for filing as Exhibit 5.1 to the Registration Statement.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am a member of the bars of the State of New York and of the District of Columbia, and not of any other jurisdiction. I am not admitted to practice in, nor do I hold myself out as an expert on the laws of, the Netherlands Antilles. I have, however, consulted with the law firm of STvB, counsel qualified to practice in the Netherlands Antilles. Insofar as the opinions expressed below involve conclusions as to matters governed by the laws of the Netherlands Antilles, I am relying on the opinion of such counsel.</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my capacity as General Counsel and Secretary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11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Based on my examination as aforesaid, I am of the opinion that the Shares have been duly authorized and validly issued, and are fully paid and nonassessable.</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 consent to the filing of this opinion as an exhibit to the Registration Statement. I also consent to the reference to me under the heading “Legal Matters” in the prospectus forming a part of the Registration Statement. In giving this consent, I do not thereby concede that I am within the category of persons whose consent is required under Section 7 of the Securities Act or the rules and regulations of the Securities and Exchange Commission promulgated thereunder.</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 Summer,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 Esq.</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22, 2006 relating to the financial statements, management’s assessment of the effectiveness of internal control over financial reporting and the effectiveness of internal control over financial reporting of Schlumberger Limited, which appears in Schlumberger Limited’s Annual Report on Form 10-K for the year ended December 31, 2005. We also consent to the reference to us under the heading “Experts” in such Registration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2006</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TTORNEY</w:t>
      </w:r>
    </w:p>
    <w:p>
      <w:pPr>
        <w:spacing w:after="0" w:line="17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Jean-Marc Perraud, Howard Guild and Ellen Summer, and each of them, the true and lawful attorney or attorneys of the undersigned with power to act with or without the others, and with full power of substitution and resubstitution, for and in the name, place and stead of the undersigned to execute and file with the Securities and Exchange Commission under the Securities Act of 1933, as amended, one or more registration statements (whether on Form S-3 or such other form as may be required) and any and all amendments (including post-effective amendments) or supplements thereto as may be necessary or appropriate, and any and all exhibits and other documents relating to said registration statements or amendments, with respect to the resale of shares of the Corporation’s common stock, par value $0.01 per share, issued or to be issued in connection with the acquisition of PetroAlliance Services Company Limited. Said attorneys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André Lévy-Lang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2006</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April 20, 2006</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April 20, 2006</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 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April 20, 2006</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April 20, 2006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April 20, 2006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Rana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Rana Talwar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Dated: April 20, 2006</w:t>
      </w:r>
    </w:p>
    <w:sectPr>
      <w:pgSz w:w="11900" w:h="16838" w:orient="portrait"/>
      <w:cols w:equalWidth="0" w:num="2">
        <w:col w:w="5340" w:space="720"/>
        <w:col w:w="536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212"/>
    </w:lvl>
  </w:abstractNum>
  <w:abstractNum w:abstractNumId="13">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6B68079A"/>
    <w:multiLevelType w:val="hybridMultilevel"/>
    <w:lvl w:ilvl="0">
      <w:lvlJc w:val="left"/>
      <w:lvlText w:val="(%1)"/>
      <w:numFmt w:val="decimal"/>
      <w:start w:val="2"/>
    </w:lvl>
    <w:lvl w:ilvl="1">
      <w:lvlJc w:val="left"/>
      <w:lvlText w:val="(%2)"/>
      <w:numFmt w:val="upperLetter"/>
      <w:start w:val="1"/>
    </w:lvl>
  </w:abstractNum>
  <w:abstractNum w:abstractNumId="15">
    <w:nsid w:val="4E6AFB66"/>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6">
    <w:nsid w:val="25E45D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2019-12-13T06:41:15Z</dcterms:created>
  <dcterms:modified xsi:type="dcterms:W3CDTF">2019-12-13T06:41:15Z</dcterms:modified>
</cp:coreProperties>
</file>