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8"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Date of Report (date of earliest event reported): April 26, 2005</w:t>
      </w:r>
    </w:p>
    <w:p>
      <w:pPr>
        <w:spacing w:after="0" w:line="12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020"/>
          </w:cols>
          <w:pgMar w:left="240" w:top="503" w:right="639" w:bottom="1440" w:gutter="0" w:footer="0" w:header="0"/>
        </w:sectPr>
      </w:pPr>
    </w:p>
    <w:p>
      <w:pPr>
        <w:spacing w:after="0" w:line="121"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55" w:lineRule="exact"/>
        <w:rPr>
          <w:sz w:val="24"/>
          <w:szCs w:val="24"/>
          <w:color w:val="auto"/>
        </w:rPr>
      </w:pPr>
    </w:p>
    <w:p>
      <w:pPr>
        <w:sectPr>
          <w:pgSz w:w="11900" w:h="16838" w:orient="portrait"/>
          <w:cols w:equalWidth="0" w:num="3">
            <w:col w:w="4880" w:space="720"/>
            <w:col w:w="2860" w:space="720"/>
            <w:col w:w="1840"/>
          </w:cols>
          <w:pgMar w:left="240" w:top="503" w:right="639" w:bottom="1440" w:gutter="0" w:footer="0" w:header="0"/>
          <w:type w:val="continuous"/>
        </w:sectPr>
      </w:pPr>
    </w:p>
    <w:p>
      <w:pPr>
        <w:ind w:left="68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28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30" w:lineRule="exact"/>
        <w:rPr>
          <w:sz w:val="24"/>
          <w:szCs w:val="24"/>
          <w:color w:val="auto"/>
        </w:rPr>
      </w:pPr>
    </w:p>
    <w:p>
      <w:pPr>
        <w:sectPr>
          <w:pgSz w:w="11900" w:h="16838" w:orient="portrait"/>
          <w:cols w:equalWidth="0" w:num="3">
            <w:col w:w="4340" w:space="720"/>
            <w:col w:w="2840" w:space="720"/>
            <w:col w:w="2400"/>
          </w:cols>
          <w:pgMar w:left="240" w:top="503"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153 East 53</w:t>
      </w:r>
      <w:r>
        <w:rPr>
          <w:rFonts w:ascii="Arial" w:cs="Arial" w:eastAsia="Arial" w:hAnsi="Arial"/>
          <w:sz w:val="22"/>
          <w:szCs w:val="22"/>
          <w:b w:val="1"/>
          <w:bCs w:val="1"/>
          <w:color w:val="auto"/>
          <w:vertAlign w:val="superscript"/>
        </w:rPr>
        <w:t>rd</w:t>
      </w:r>
      <w:r>
        <w:rPr>
          <w:rFonts w:ascii="Arial" w:cs="Arial" w:eastAsia="Arial" w:hAnsi="Arial"/>
          <w:sz w:val="18"/>
          <w:szCs w:val="18"/>
          <w:b w:val="1"/>
          <w:bCs w:val="1"/>
          <w:color w:val="auto"/>
        </w:rPr>
        <w:t xml:space="preserve"> Street, 57</w:t>
      </w:r>
      <w:r>
        <w:rPr>
          <w:rFonts w:ascii="Arial" w:cs="Arial" w:eastAsia="Arial" w:hAnsi="Arial"/>
          <w:sz w:val="22"/>
          <w:szCs w:val="22"/>
          <w:b w:val="1"/>
          <w:bCs w:val="1"/>
          <w:color w:val="auto"/>
          <w:vertAlign w:val="superscript"/>
        </w:rPr>
        <w:t>th</w:t>
      </w:r>
      <w:r>
        <w:rPr>
          <w:rFonts w:ascii="Arial" w:cs="Arial" w:eastAsia="Arial" w:hAnsi="Arial"/>
          <w:sz w:val="18"/>
          <w:szCs w:val="18"/>
          <w:b w:val="1"/>
          <w:bCs w:val="1"/>
          <w:color w:val="auto"/>
        </w:rPr>
        <w:t xml:space="preserve"> Floor New York, New York 10022-4624</w:t>
      </w:r>
    </w:p>
    <w:p>
      <w:pPr>
        <w:jc w:val="center"/>
        <w:ind w:right="-39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pacing w:after="0" w:line="124"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(212) 350-9400</w:t>
      </w:r>
    </w:p>
    <w:p>
      <w:pPr>
        <w:spacing w:after="0" w:line="16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503"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8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First Quarter 2005 Press Release furnished hereto as Exhibit 99.1, and the Question and Answer document furnished hereto as Exhibit 99.2, were posted on the Schlumberger internet web site (www.slb.com/ir) on April 26, 2005.</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First Quarter 2005 Press Release and Question and Answer document, these documents also include the following non-GAAP financial measures (as defined under the SEC’s Regulation G):</w:t>
      </w:r>
    </w:p>
    <w:p>
      <w:pPr>
        <w:spacing w:after="0" w:line="46" w:lineRule="exact"/>
        <w:rPr>
          <w:sz w:val="20"/>
          <w:szCs w:val="20"/>
          <w:color w:val="auto"/>
        </w:rPr>
      </w:pPr>
    </w:p>
    <w:p>
      <w:pPr>
        <w:jc w:val="both"/>
        <w:ind w:left="900" w:right="100" w:hanging="446"/>
        <w:spacing w:after="0" w:line="306"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Net debt: </w:t>
      </w:r>
      <w:r>
        <w:rPr>
          <w:rFonts w:ascii="Arial" w:cs="Arial" w:eastAsia="Arial" w:hAnsi="Arial"/>
          <w:sz w:val="16"/>
          <w:szCs w:val="16"/>
          <w:color w:val="auto"/>
        </w:rPr>
        <w:t>Net debt is gross debt less cash, short-term investments and fixed income investments held to maturity. Management believes that net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provides useful information regarding the level of Schlumberger’s indebtedness by reflecting cash and investments that could be used to repay debt, and that the level of net debt provides useful information as to the results of Schlumberger’s deleveraging efforts.</w:t>
      </w:r>
    </w:p>
    <w:p>
      <w:pPr>
        <w:spacing w:after="0" w:line="12" w:lineRule="exact"/>
        <w:rPr>
          <w:rFonts w:ascii="Arial" w:cs="Arial" w:eastAsia="Arial" w:hAnsi="Arial"/>
          <w:sz w:val="16"/>
          <w:szCs w:val="16"/>
          <w:color w:val="auto"/>
        </w:rPr>
      </w:pPr>
    </w:p>
    <w:p>
      <w:pPr>
        <w:ind w:left="900" w:right="200" w:hanging="446"/>
        <w:spacing w:after="0" w:line="298"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Income from continuing operations before credits and charges, diluted earnings per share before credits and charges, pretax return of sales before credits and charges, after tax before minority interest return on sales before credits and charges and effective tax rate before credits and charges: </w:t>
      </w:r>
      <w:r>
        <w:rPr>
          <w:rFonts w:ascii="Arial" w:cs="Arial" w:eastAsia="Arial" w:hAnsi="Arial"/>
          <w:sz w:val="16"/>
          <w:szCs w:val="16"/>
          <w:color w:val="auto"/>
        </w:rPr>
        <w:t>Management believes that the exclusion of credits and charges enables it to evaluate more effectively Schlumberger’s operations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period and to identify operating trends that could otherwise be masked by the excluded items.</w:t>
      </w:r>
    </w:p>
    <w:p>
      <w:pPr>
        <w:spacing w:after="0" w:line="18" w:lineRule="exact"/>
        <w:rPr>
          <w:rFonts w:ascii="Arial" w:cs="Arial" w:eastAsia="Arial" w:hAnsi="Arial"/>
          <w:sz w:val="16"/>
          <w:szCs w:val="16"/>
          <w:color w:val="auto"/>
        </w:rPr>
      </w:pPr>
    </w:p>
    <w:p>
      <w:pPr>
        <w:ind w:left="900" w:hanging="446"/>
        <w:spacing w:after="0" w:line="255"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Return on Capital Employed: </w:t>
      </w:r>
      <w:r>
        <w:rPr>
          <w:rFonts w:ascii="Arial" w:cs="Arial" w:eastAsia="Arial" w:hAnsi="Arial"/>
          <w:sz w:val="18"/>
          <w:szCs w:val="18"/>
          <w:color w:val="auto"/>
        </w:rPr>
        <w:t>Return on capital employed (ROCE) is computed as (1) net income from continuing operations excluding charges plus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minority interest plus interest expense minus interest income minus tax benefit on interest expense, divided by (2) the average of shareholders’ equity plus average net debt plus average minority interest. Management believes that ROCE provides useful information regarding the value Schlumberger creates for the providers of capital, namely stockholders and bondholders, by reflecting the level of net income generated by continuing operations using a given level of capital.</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net income, cash flows or other measures of financial performance prepared in accordance with GAAP as more fully discussed in Schlumberger’s financial statements and filings with the Securities and Exchange Commission.</w:t>
      </w:r>
    </w:p>
    <w:p>
      <w:pPr>
        <w:spacing w:after="0" w:line="1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158" w:lineRule="exact"/>
        <w:rPr>
          <w:sz w:val="20"/>
          <w:szCs w:val="20"/>
          <w:color w:val="auto"/>
        </w:rPr>
      </w:pPr>
    </w:p>
    <w:p>
      <w:pPr>
        <w:ind w:left="54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First Quarter 2005 Press Release dated April 26, 2005.</w:t>
      </w:r>
    </w:p>
    <w:p>
      <w:pPr>
        <w:spacing w:after="0" w:line="117" w:lineRule="exact"/>
        <w:rPr>
          <w:sz w:val="20"/>
          <w:szCs w:val="20"/>
          <w:color w:val="auto"/>
        </w:rPr>
      </w:pPr>
    </w:p>
    <w:p>
      <w:pPr>
        <w:ind w:left="540"/>
        <w:spacing w:after="0"/>
        <w:tabs>
          <w:tab w:leader="none" w:pos="11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Question and Answer document on the April 26, 2005 Press Release.</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2005</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First Quarter 2005 Results</w:t>
      </w:r>
    </w:p>
    <w:p>
      <w:pPr>
        <w:spacing w:after="0" w:line="158"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NEW YORK, April 26, 2005 </w:t>
      </w:r>
      <w:r>
        <w:rPr>
          <w:rFonts w:ascii="Arial" w:cs="Arial" w:eastAsia="Arial" w:hAnsi="Arial"/>
          <w:sz w:val="18"/>
          <w:szCs w:val="18"/>
          <w:color w:val="auto"/>
        </w:rPr>
        <w:t>– Schlumberger Limited (NYSE:SLB) today reported first-quarter 2005 operating revenue of $3.16 billion versus $3.07 billion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fourth quarter of 2004, and $2.67 billion in the first quarter of last year. Income from continuing operations before charges and credits was $390 million, or $0.65 per share-diluted, versus $0.59 in the previous quarter and $0.44 in the first quarter of last year. Income from continuing operations was $0.87 per share-diluted versus $0.59 in the previous quarter and $0.18 in the first quarter of last year.</w:t>
      </w:r>
    </w:p>
    <w:p>
      <w:pPr>
        <w:spacing w:after="0" w:line="12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Net income, including discontinued operations, was $523 million or $0.86 per share-diluted, representing an increase of 56% compared to $0.55 per share-diluted in the previous quarter and $0.37 per share-diluted in the first quarter of last year.</w:t>
      </w:r>
    </w:p>
    <w:p>
      <w:pPr>
        <w:spacing w:after="0" w:line="11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Oilfield Services revenue of $2.78 billion increased 2% sequentially and 18% compared to the same quarter of last year. Pretax business segment operating income of $559 million increased 16% sequentially and 32% year-on-year.</w:t>
      </w:r>
    </w:p>
    <w:p>
      <w:pPr>
        <w:spacing w:after="0" w:line="11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WesternGeco revenue of $378 million increased 14% sequentially and 21% year-on-year. Pretax business segment operating income of $64 million increased 48% sequentially and 89% year-on-year.</w:t>
      </w:r>
    </w:p>
    <w:p>
      <w:pPr>
        <w:spacing w:after="0" w:line="11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Schlumberger Chairman and CEO Andrew Gould commented, “Increasing activity levels around the world reflect the growing response to the current narrow margin of excess production capacity.</w:t>
      </w:r>
    </w:p>
    <w:p>
      <w:pPr>
        <w:spacing w:after="0" w:line="11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While almost all areas of the world showed improvement, activity and pricing in North America were particularly strong, driven, in part, by exceptionally high activity in Canada. Russia produced a remarkable performance with strong monthly sequential growth throughout the quarter as Yuganskneftegaz resumed activity. WesternGeco had good Multiclient revenue in the quarter and increased Marine utilization.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Activity and pricing both contributed to record pretax operating margins at both Oilfield Services and WesternGeco.</w:t>
      </w:r>
    </w:p>
    <w:p>
      <w:pPr>
        <w:spacing w:after="0" w:line="15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Absent any sharp drop in demand due to an economic recession, industry growth is set to continue. The need for technology and the geographical extent of the supply response to today’s lack of excess capacity play to the strengths of Schlumberger.”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Events:</w:t>
      </w:r>
    </w:p>
    <w:p>
      <w:pPr>
        <w:spacing w:after="0" w:line="83" w:lineRule="exact"/>
        <w:rPr>
          <w:sz w:val="20"/>
          <w:szCs w:val="20"/>
          <w:color w:val="auto"/>
        </w:rPr>
      </w:pPr>
    </w:p>
    <w:p>
      <w:pPr>
        <w:ind w:left="900" w:right="22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quarter, Schlumberger sold its facility in Montrouge, France, for €173.5 million ($230 million). The gain related to this sale was $146 million, or $0.24 per share. The sale of the Montrouge facility completes the restructuring and refocusing of the Schlumberger business announced two years ago.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5" w:right="239" w:bottom="1440" w:gutter="0" w:footer="0" w:header="0"/>
        </w:sectPr>
      </w:pPr>
    </w:p>
    <w:bookmarkStart w:id="4" w:name="page5"/>
    <w:bookmarkEnd w:id="4"/>
    <w:p>
      <w:pPr>
        <w:ind w:left="446" w:hanging="446"/>
        <w:spacing w:after="0"/>
        <w:tabs>
          <w:tab w:leader="none" w:pos="446"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part of the 15 million-share buy-back program, Schlumberger has already repurchased 6.2 million shares for a total amount of $393 million.</w:t>
      </w:r>
    </w:p>
    <w:p>
      <w:pPr>
        <w:sectPr>
          <w:pgSz w:w="11900" w:h="16838" w:orient="portrait"/>
          <w:cols w:equalWidth="0" w:num="1">
            <w:col w:w="10506"/>
          </w:cols>
          <w:pgMar w:left="694" w:top="280" w:right="699" w:bottom="1440" w:gutter="0" w:footer="0" w:header="0"/>
        </w:sectPr>
      </w:pPr>
    </w:p>
    <w:p>
      <w:pPr>
        <w:spacing w:after="0" w:line="208" w:lineRule="exact"/>
        <w:rPr>
          <w:sz w:val="20"/>
          <w:szCs w:val="20"/>
          <w:color w:val="auto"/>
        </w:rPr>
      </w:pPr>
    </w:p>
    <w:p>
      <w:pPr>
        <w:jc w:val="center"/>
        <w:ind w:right="-25"/>
        <w:spacing w:after="0"/>
        <w:rPr>
          <w:sz w:val="20"/>
          <w:szCs w:val="20"/>
          <w:color w:val="auto"/>
        </w:rPr>
      </w:pPr>
      <w:r>
        <w:rPr>
          <w:rFonts w:ascii="Arial" w:cs="Arial" w:eastAsia="Arial" w:hAnsi="Arial"/>
          <w:sz w:val="16"/>
          <w:szCs w:val="16"/>
          <w:color w:val="auto"/>
        </w:rPr>
        <w:t>2/16</w:t>
      </w:r>
    </w:p>
    <w:p>
      <w:pPr>
        <w:sectPr>
          <w:pgSz w:w="11900" w:h="16838" w:orient="portrait"/>
          <w:cols w:equalWidth="0" w:num="1">
            <w:col w:w="10506"/>
          </w:cols>
          <w:pgMar w:left="694" w:top="280" w:right="69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 of Income (Unaudited)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780" w:type="dxa"/>
            <w:vAlign w:val="bottom"/>
            <w:gridSpan w:val="7"/>
          </w:tcPr>
          <w:p>
            <w:pPr>
              <w:jc w:val="center"/>
              <w:ind w:right="60"/>
              <w:spacing w:after="0"/>
              <w:rPr>
                <w:sz w:val="20"/>
                <w:szCs w:val="20"/>
                <w:color w:val="auto"/>
              </w:rPr>
            </w:pPr>
            <w:r>
              <w:rPr>
                <w:rFonts w:ascii="Arial" w:cs="Arial" w:eastAsia="Arial" w:hAnsi="Arial"/>
                <w:sz w:val="14"/>
                <w:szCs w:val="14"/>
                <w:i w:val="1"/>
                <w:iCs w:val="1"/>
                <w:color w:val="auto"/>
                <w:w w:val="85"/>
              </w:rPr>
              <w:t>(Stated in thousands except per share amounts)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4"/>
          </w:tcPr>
          <w:p>
            <w:pPr>
              <w:jc w:val="center"/>
              <w:ind w:left="534"/>
              <w:spacing w:after="0"/>
              <w:rPr>
                <w:sz w:val="20"/>
                <w:szCs w:val="20"/>
                <w:color w:val="auto"/>
              </w:rPr>
            </w:pPr>
            <w:r>
              <w:rPr>
                <w:rFonts w:ascii="Arial" w:cs="Arial" w:eastAsia="Arial" w:hAnsi="Arial"/>
                <w:sz w:val="14"/>
                <w:szCs w:val="14"/>
                <w:color w:val="auto"/>
                <w:w w:val="87"/>
              </w:rPr>
              <w:t>Three Months</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120" w:type="dxa"/>
            <w:vAlign w:val="bottom"/>
            <w:gridSpan w:val="2"/>
          </w:tcPr>
          <w:p>
            <w:pPr>
              <w:spacing w:after="0"/>
              <w:rPr>
                <w:sz w:val="8"/>
                <w:szCs w:val="8"/>
                <w:color w:val="auto"/>
              </w:rPr>
            </w:pPr>
          </w:p>
        </w:tc>
        <w:tc>
          <w:tcPr>
            <w:tcW w:w="65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8640" w:type="dxa"/>
            <w:vAlign w:val="bottom"/>
            <w:gridSpan w:val="3"/>
          </w:tcPr>
          <w:p>
            <w:pPr>
              <w:spacing w:after="0"/>
              <w:rPr>
                <w:sz w:val="20"/>
                <w:szCs w:val="20"/>
                <w:color w:val="auto"/>
              </w:rPr>
            </w:pPr>
            <w:r>
              <w:rPr>
                <w:rFonts w:ascii="Arial" w:cs="Arial" w:eastAsia="Arial" w:hAnsi="Arial"/>
                <w:sz w:val="14"/>
                <w:szCs w:val="14"/>
                <w:i w:val="1"/>
                <w:iCs w:val="1"/>
                <w:color w:val="auto"/>
              </w:rPr>
              <w:t>For Periods Ended March 31</w:t>
            </w:r>
          </w:p>
        </w:tc>
        <w:tc>
          <w:tcPr>
            <w:tcW w:w="280" w:type="dxa"/>
            <w:vAlign w:val="bottom"/>
          </w:tcPr>
          <w:p>
            <w:pPr>
              <w:spacing w:after="0"/>
              <w:rPr>
                <w:sz w:val="24"/>
                <w:szCs w:val="24"/>
                <w:color w:val="auto"/>
              </w:rPr>
            </w:pPr>
          </w:p>
        </w:tc>
        <w:tc>
          <w:tcPr>
            <w:tcW w:w="900" w:type="dxa"/>
            <w:vAlign w:val="bottom"/>
          </w:tcPr>
          <w:p>
            <w:pPr>
              <w:jc w:val="right"/>
              <w:ind w:right="374"/>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333"/>
              <w:spacing w:after="0"/>
              <w:rPr>
                <w:sz w:val="20"/>
                <w:szCs w:val="20"/>
                <w:color w:val="auto"/>
              </w:rPr>
            </w:pPr>
            <w:r>
              <w:rPr>
                <w:rFonts w:ascii="Arial" w:cs="Arial" w:eastAsia="Arial" w:hAnsi="Arial"/>
                <w:sz w:val="14"/>
                <w:szCs w:val="14"/>
                <w:color w:val="auto"/>
                <w:w w:val="93"/>
              </w:rPr>
              <w:t>2004</w:t>
            </w:r>
            <w:r>
              <w:rPr>
                <w:rFonts w:ascii="Arial" w:cs="Arial" w:eastAsia="Arial" w:hAnsi="Arial"/>
                <w:sz w:val="22"/>
                <w:szCs w:val="22"/>
                <w:color w:val="auto"/>
                <w:w w:val="93"/>
                <w:vertAlign w:val="superscript"/>
              </w:rPr>
              <w:t>(6)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00" w:type="dxa"/>
            <w:vAlign w:val="bottom"/>
            <w:tcBorders>
              <w:top w:val="single" w:sz="8" w:color="auto"/>
            </w:tcBorders>
          </w:tcPr>
          <w:p>
            <w:pPr>
              <w:spacing w:after="0"/>
              <w:rPr>
                <w:sz w:val="9"/>
                <w:szCs w:val="9"/>
                <w:color w:val="auto"/>
              </w:rPr>
            </w:pPr>
          </w:p>
        </w:tc>
        <w:tc>
          <w:tcPr>
            <w:tcW w:w="652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Operating revenue</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3,159,111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2,672,968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line="217" w:lineRule="exact"/>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22"/>
                <w:szCs w:val="22"/>
                <w:i w:val="1"/>
                <w:iCs w:val="1"/>
                <w:color w:val="auto"/>
                <w:vertAlign w:val="superscript"/>
              </w:rPr>
              <w:t>(1)</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188,553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Cost of goods sold and services</w:t>
            </w:r>
            <w:r>
              <w:rPr>
                <w:rFonts w:ascii="Arial" w:cs="Arial" w:eastAsia="Arial" w:hAnsi="Arial"/>
                <w:sz w:val="22"/>
                <w:szCs w:val="22"/>
                <w:color w:val="auto"/>
                <w:vertAlign w:val="superscript"/>
              </w:rPr>
              <w:t>(2)</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2,405,132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2,121,067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121,220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Marketing</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10,062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85,422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Debt extinguishment costs</w:t>
            </w:r>
            <w:r>
              <w:rPr>
                <w:rFonts w:ascii="Arial" w:cs="Arial" w:eastAsia="Arial" w:hAnsi="Arial"/>
                <w:sz w:val="22"/>
                <w:szCs w:val="22"/>
                <w:color w:val="auto"/>
                <w:vertAlign w:val="superscript"/>
              </w:rPr>
              <w:t>(3)</w:t>
            </w:r>
          </w:p>
        </w:tc>
        <w:tc>
          <w:tcPr>
            <w:tcW w:w="2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77,482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Interest </w:t>
            </w:r>
            <w:r>
              <w:rPr>
                <w:rFonts w:ascii="Arial" w:cs="Arial" w:eastAsia="Arial" w:hAnsi="Arial"/>
                <w:sz w:val="22"/>
                <w:szCs w:val="22"/>
                <w:color w:val="auto"/>
                <w:vertAlign w:val="superscript"/>
              </w:rPr>
              <w:t>(4)</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46,562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5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6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taxes and minority interest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679,266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Taxes on income</w:t>
            </w:r>
            <w:r>
              <w:rPr>
                <w:rFonts w:ascii="Arial" w:cs="Arial" w:eastAsia="Arial" w:hAnsi="Arial"/>
                <w:sz w:val="22"/>
                <w:szCs w:val="22"/>
                <w:color w:val="auto"/>
                <w:vertAlign w:val="superscript"/>
              </w:rPr>
              <w:t>(2) (4)</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137,696</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45,826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6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minority interest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541,570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2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(17,133)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(8,270)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65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6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524,437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20" w:type="dxa"/>
            <w:vAlign w:val="bottom"/>
            <w:gridSpan w:val="2"/>
          </w:tcPr>
          <w:p>
            <w:pPr>
              <w:spacing w:after="0"/>
              <w:rPr>
                <w:sz w:val="20"/>
                <w:szCs w:val="20"/>
                <w:color w:val="auto"/>
              </w:rPr>
            </w:pPr>
            <w:r>
              <w:rPr>
                <w:rFonts w:ascii="Arial" w:cs="Arial" w:eastAsia="Arial" w:hAnsi="Arial"/>
                <w:sz w:val="18"/>
                <w:szCs w:val="18"/>
                <w:i w:val="1"/>
                <w:iCs w:val="1"/>
                <w:color w:val="auto"/>
              </w:rPr>
              <w:t>Income (Loss) from Discontinued Operations</w:t>
            </w:r>
          </w:p>
        </w:tc>
        <w:tc>
          <w:tcPr>
            <w:tcW w:w="2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(1,028)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112,848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65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6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523,409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00" w:type="dxa"/>
            <w:vAlign w:val="bottom"/>
          </w:tcPr>
          <w:p>
            <w:pPr>
              <w:spacing w:after="0"/>
              <w:rPr>
                <w:sz w:val="9"/>
                <w:szCs w:val="9"/>
                <w:color w:val="auto"/>
              </w:rPr>
            </w:pPr>
          </w:p>
        </w:tc>
        <w:tc>
          <w:tcPr>
            <w:tcW w:w="6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42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0.87</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5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6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Net Income</w:t>
            </w:r>
            <w:r>
              <w:rPr>
                <w:rFonts w:ascii="Arial" w:cs="Arial" w:eastAsia="Arial" w:hAnsi="Arial"/>
                <w:sz w:val="22"/>
                <w:szCs w:val="22"/>
                <w:color w:val="auto"/>
                <w:vertAlign w:val="superscript"/>
              </w:rPr>
              <w:t>(7)</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100" w:type="dxa"/>
            <w:vAlign w:val="bottom"/>
          </w:tcPr>
          <w:p>
            <w:pPr>
              <w:spacing w:after="0"/>
              <w:rPr>
                <w:sz w:val="9"/>
                <w:szCs w:val="9"/>
                <w:color w:val="auto"/>
              </w:rPr>
            </w:pPr>
          </w:p>
        </w:tc>
        <w:tc>
          <w:tcPr>
            <w:tcW w:w="6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589,333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line="217" w:lineRule="exact"/>
              <w:rPr>
                <w:sz w:val="20"/>
                <w:szCs w:val="20"/>
                <w:color w:val="auto"/>
              </w:rPr>
            </w:pPr>
            <w:r>
              <w:rPr>
                <w:rFonts w:ascii="Arial" w:cs="Arial" w:eastAsia="Arial" w:hAnsi="Arial"/>
                <w:sz w:val="18"/>
                <w:szCs w:val="18"/>
                <w:color w:val="auto"/>
              </w:rPr>
              <w:t>Average shares outstanding assuming dilution</w:t>
            </w:r>
            <w:r>
              <w:rPr>
                <w:rFonts w:ascii="Arial" w:cs="Arial" w:eastAsia="Arial" w:hAnsi="Arial"/>
                <w:sz w:val="22"/>
                <w:szCs w:val="22"/>
                <w:color w:val="auto"/>
                <w:vertAlign w:val="superscript"/>
              </w:rPr>
              <w:t>(8)</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613,765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592,755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Depreciation &amp; amortization included in expenses</w:t>
            </w:r>
            <w:r>
              <w:rPr>
                <w:rFonts w:ascii="Arial" w:cs="Arial" w:eastAsia="Arial" w:hAnsi="Arial"/>
                <w:sz w:val="22"/>
                <w:szCs w:val="22"/>
                <w:color w:val="auto"/>
                <w:vertAlign w:val="superscript"/>
              </w:rPr>
              <w:t>(5)</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328,465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-1365250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-1365250</wp:posOffset>
            </wp:positionV>
            <wp:extent cx="2159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-1365250</wp:posOffset>
            </wp:positionV>
            <wp:extent cx="3873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-1365250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-1365250</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-1365250</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-507365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-507365</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-507365</wp:posOffset>
            </wp:positionV>
            <wp:extent cx="100774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07745" cy="29845"/>
                    </a:xfrm>
                    <a:prstGeom prst="rect">
                      <a:avLst/>
                    </a:prstGeom>
                    <a:noFill/>
                  </pic:spPr>
                </pic:pic>
              </a:graphicData>
            </a:graphic>
          </wp:anchor>
        </w:drawing>
      </w:r>
    </w:p>
    <w:p>
      <w:pPr>
        <w:spacing w:after="0" w:line="120" w:lineRule="exact"/>
        <w:rPr>
          <w:sz w:val="20"/>
          <w:szCs w:val="20"/>
          <w:color w:val="auto"/>
        </w:rPr>
      </w:pPr>
    </w:p>
    <w:p>
      <w:pPr>
        <w:ind w:left="5560" w:right="3220" w:hanging="5552"/>
        <w:spacing w:after="0" w:line="440" w:lineRule="auto"/>
        <w:tabs>
          <w:tab w:leader="none" w:pos="456"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interest income of $19 million in the first quarter of 2005 and $14 million in the first quarter of 2004. 3/16</w:t>
      </w:r>
    </w:p>
    <w:p>
      <w:pPr>
        <w:sectPr>
          <w:pgSz w:w="11900" w:h="16838" w:orient="portrait"/>
          <w:cols w:equalWidth="0" w:num="1">
            <w:col w:w="11420"/>
          </w:cols>
          <w:pgMar w:left="240" w:top="274" w:right="239" w:bottom="1440" w:gutter="0" w:footer="0" w:header="0"/>
        </w:sectPr>
      </w:pPr>
    </w:p>
    <w:bookmarkStart w:id="6" w:name="page7"/>
    <w:bookmarkEnd w:id="6"/>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first quarter of 2005 includes a pretax and after-tax gain of $146 million ($0.24 per share) on the sale of the Montrouge facility.</w:t>
      </w:r>
    </w:p>
    <w:p>
      <w:pPr>
        <w:spacing w:after="0" w:line="7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first quarter of 2004 includes a pretax and after-tax loss of $14 million ($0.02 per share) on the sale of Atos Origin shares.</w:t>
      </w:r>
    </w:p>
    <w:p>
      <w:pPr>
        <w:spacing w:after="0" w:line="77" w:lineRule="exact"/>
        <w:rPr>
          <w:sz w:val="20"/>
          <w:szCs w:val="20"/>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first quarter of 2005 includes real estate related pretax charges of $12 million ($11 million after-tax, $0.02 per share).</w:t>
      </w:r>
    </w:p>
    <w:p>
      <w:pPr>
        <w:spacing w:after="0" w:line="76" w:lineRule="exact"/>
        <w:rPr>
          <w:rFonts w:ascii="Arial" w:cs="Arial" w:eastAsia="Arial" w:hAnsi="Arial"/>
          <w:sz w:val="18"/>
          <w:szCs w:val="18"/>
          <w:color w:val="auto"/>
        </w:rPr>
      </w:pPr>
    </w:p>
    <w:p>
      <w:pPr>
        <w:ind w:left="452"/>
        <w:spacing w:after="0" w:line="268" w:lineRule="auto"/>
        <w:rPr>
          <w:rFonts w:ascii="Arial" w:cs="Arial" w:eastAsia="Arial" w:hAnsi="Arial"/>
          <w:sz w:val="18"/>
          <w:szCs w:val="18"/>
          <w:color w:val="auto"/>
        </w:rPr>
      </w:pPr>
      <w:r>
        <w:rPr>
          <w:rFonts w:ascii="Arial" w:cs="Arial" w:eastAsia="Arial" w:hAnsi="Arial"/>
          <w:sz w:val="18"/>
          <w:szCs w:val="18"/>
          <w:color w:val="auto"/>
        </w:rPr>
        <w:t>The first quarter of 2004 includes a pretax charge of $20 million ($14 million after-tax, $0.02 per share) related to the restructuring program in the United States.</w:t>
      </w:r>
    </w:p>
    <w:p>
      <w:pPr>
        <w:spacing w:after="0" w:line="37" w:lineRule="exact"/>
        <w:rPr>
          <w:rFonts w:ascii="Arial" w:cs="Arial" w:eastAsia="Arial" w:hAnsi="Arial"/>
          <w:sz w:val="18"/>
          <w:szCs w:val="18"/>
          <w:color w:val="auto"/>
        </w:rPr>
      </w:pPr>
    </w:p>
    <w:p>
      <w:pPr>
        <w:ind w:left="452" w:right="700" w:hanging="452"/>
        <w:spacing w:after="0" w:line="268" w:lineRule="auto"/>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first quarter of 2004 includes a pretax and after-tax charge of $77 million ($0.13 per share) related to the repurchase of UK Pound and Euro denominated Bonds.</w:t>
      </w:r>
    </w:p>
    <w:p>
      <w:pPr>
        <w:spacing w:after="0" w:line="37" w:lineRule="exact"/>
        <w:rPr>
          <w:rFonts w:ascii="Arial" w:cs="Arial" w:eastAsia="Arial" w:hAnsi="Arial"/>
          <w:sz w:val="18"/>
          <w:szCs w:val="18"/>
          <w:color w:val="auto"/>
        </w:rPr>
      </w:pPr>
    </w:p>
    <w:p>
      <w:pPr>
        <w:ind w:left="452" w:hanging="452"/>
        <w:spacing w:after="0"/>
        <w:tabs>
          <w:tab w:leader="none" w:pos="452"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first quarter of 2004 includes a pretax charge of $73 million ($46 million after-tax, $0.08 per share) relating to US interest rate swaps.</w:t>
      </w:r>
    </w:p>
    <w:p>
      <w:pPr>
        <w:spacing w:after="0" w:line="99" w:lineRule="exact"/>
        <w:rPr>
          <w:rFonts w:ascii="Arial" w:cs="Arial" w:eastAsia="Arial" w:hAnsi="Arial"/>
          <w:sz w:val="16"/>
          <w:szCs w:val="16"/>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Including Multiclient seismic data costs.</w:t>
      </w:r>
    </w:p>
    <w:p>
      <w:pPr>
        <w:spacing w:after="0" w:line="76" w:lineRule="exact"/>
        <w:rPr>
          <w:rFonts w:ascii="Arial" w:cs="Arial" w:eastAsia="Arial" w:hAnsi="Arial"/>
          <w:sz w:val="18"/>
          <w:szCs w:val="18"/>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Restated for discontinued operations.</w:t>
      </w:r>
    </w:p>
    <w:p>
      <w:pPr>
        <w:spacing w:after="0" w:line="76" w:lineRule="exact"/>
        <w:rPr>
          <w:rFonts w:ascii="Arial" w:cs="Arial" w:eastAsia="Arial" w:hAnsi="Arial"/>
          <w:sz w:val="18"/>
          <w:szCs w:val="18"/>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Amounts may not add due to rounding.</w:t>
      </w:r>
    </w:p>
    <w:p>
      <w:pPr>
        <w:spacing w:after="0" w:line="76" w:lineRule="exact"/>
        <w:rPr>
          <w:rFonts w:ascii="Arial" w:cs="Arial" w:eastAsia="Arial" w:hAnsi="Arial"/>
          <w:sz w:val="18"/>
          <w:szCs w:val="18"/>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2004 excludes the effect of the convertible debentures, as to do so would be anti-dilutive.</w:t>
      </w:r>
    </w:p>
    <w:p>
      <w:pPr>
        <w:spacing w:after="0" w:line="158"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4/16</w:t>
      </w:r>
    </w:p>
    <w:p>
      <w:pPr>
        <w:sectPr>
          <w:pgSz w:w="11900" w:h="16838" w:orient="portrait"/>
          <w:cols w:equalWidth="0" w:num="1">
            <w:col w:w="11252"/>
          </w:cols>
          <w:pgMar w:left="248" w:top="280" w:right="3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Condensed Balance Sheet (Unaudited)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Mar. 31, 2005</w:t>
            </w:r>
          </w:p>
        </w:tc>
        <w:tc>
          <w:tcPr>
            <w:tcW w:w="44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i w:val="1"/>
                <w:iCs w:val="1"/>
                <w:color w:val="auto"/>
                <w:w w:val="85"/>
              </w:rPr>
              <w:t>(Stated in thousands)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color w:val="auto"/>
              </w:rPr>
              <w:t>Dec.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short-term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3,040,024</w:t>
            </w:r>
          </w:p>
        </w:tc>
        <w:tc>
          <w:tcPr>
            <w:tcW w:w="6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4,458,798</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3,997,145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Assets held for sale </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7,498,822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7,059,749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228,750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Fixed 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3,774,730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i w:val="1"/>
                <w:iCs w:val="1"/>
                <w:color w:val="auto"/>
              </w:rPr>
              <w:t>Multiclient seismic data</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309,783</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346,522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Goodwill</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2,798,186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i w:val="1"/>
                <w:iCs w:val="1"/>
                <w:color w:val="auto"/>
              </w:rPr>
              <w:t>Other assets</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1,792,539</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1,839,979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16,402,810</w:t>
            </w:r>
          </w:p>
        </w:tc>
        <w:tc>
          <w:tcPr>
            <w:tcW w:w="6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16,000,777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Liabilities and Stockholders’ Equity</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3,028,360</w:t>
            </w:r>
          </w:p>
        </w:tc>
        <w:tc>
          <w:tcPr>
            <w:tcW w:w="6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Estimated liability for taxes on income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930,745</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858,785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 loans and current portion of long-term debt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622,249</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Dividend payable</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124,611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Liabilities held for sale </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4,705,965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i w:val="1"/>
                <w:iCs w:val="1"/>
                <w:color w:val="auto"/>
              </w:rPr>
              <w:t>Long-term debt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3,946,058</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3,944,180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Postretirement benefits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691,653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i w:val="1"/>
                <w:iCs w:val="1"/>
                <w:color w:val="auto"/>
              </w:rPr>
              <w:t>Other liabilities</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145,580</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151,457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9,489,256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9,467,602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i w:val="1"/>
                <w:iCs w:val="1"/>
                <w:color w:val="auto"/>
              </w:rPr>
              <w:t>Minority interest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436,296</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416,438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6,477,258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16,402,810</w:t>
            </w:r>
          </w:p>
        </w:tc>
        <w:tc>
          <w:tcPr>
            <w:tcW w:w="6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16,000,777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-2687955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-2687955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-2687955</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-2687955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-2687955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-2687955</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color w:val="auto"/>
        </w:rPr>
        <w:t>Assets and liabilities held for sale at December 31, 2004 represent the gross assets and liabilities of the Essentis, Payphones and Global businesses.</w:t>
      </w:r>
    </w:p>
    <w:p>
      <w:pPr>
        <w:spacing w:after="0" w:line="142" w:lineRule="exact"/>
        <w:rPr>
          <w:rFonts w:ascii="Arial" w:cs="Arial" w:eastAsia="Arial" w:hAnsi="Arial"/>
          <w:sz w:val="20"/>
          <w:szCs w:val="20"/>
          <w:color w:val="auto"/>
          <w:vertAlign w:val="superscript"/>
        </w:rPr>
      </w:pPr>
    </w:p>
    <w:p>
      <w:pPr>
        <w:ind w:left="5560"/>
        <w:spacing w:after="0"/>
        <w:rPr>
          <w:rFonts w:ascii="Arial" w:cs="Arial" w:eastAsia="Arial" w:hAnsi="Arial"/>
          <w:sz w:val="20"/>
          <w:szCs w:val="20"/>
          <w:color w:val="auto"/>
          <w:vertAlign w:val="superscript"/>
        </w:rPr>
      </w:pPr>
      <w:r>
        <w:rPr>
          <w:rFonts w:ascii="Arial" w:cs="Arial" w:eastAsia="Arial" w:hAnsi="Arial"/>
          <w:sz w:val="18"/>
          <w:szCs w:val="18"/>
          <w:color w:val="auto"/>
        </w:rPr>
        <w:t>5/16</w:t>
      </w:r>
    </w:p>
    <w:p>
      <w:pPr>
        <w:sectPr>
          <w:pgSz w:w="11900" w:h="16838" w:orient="portrait"/>
          <w:cols w:equalWidth="0" w:num="1">
            <w:col w:w="11420"/>
          </w:cols>
          <w:pgMar w:left="240" w:top="274" w:right="239" w:bottom="1440" w:gutter="0" w:footer="0" w:header="0"/>
        </w:sectPr>
      </w:pPr>
    </w:p>
    <w:bookmarkStart w:id="8" w:name="page9"/>
    <w:bookmarkEnd w:id="8"/>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Debt (Unaudited)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Schlumberger’s indebtedness. Details of the net debt follow:</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570" w:type="dxa"/>
            <w:vAlign w:val="bottom"/>
            <w:gridSpan w:val="6"/>
          </w:tcPr>
          <w:p>
            <w:pPr>
              <w:ind w:left="430"/>
              <w:spacing w:after="0"/>
              <w:rPr>
                <w:sz w:val="20"/>
                <w:szCs w:val="20"/>
                <w:color w:val="auto"/>
              </w:rPr>
            </w:pPr>
            <w:r>
              <w:rPr>
                <w:rFonts w:ascii="Arial" w:cs="Arial" w:eastAsia="Arial" w:hAnsi="Arial"/>
                <w:sz w:val="14"/>
                <w:szCs w:val="14"/>
                <w:b w:val="1"/>
                <w:bCs w:val="1"/>
                <w:i w:val="1"/>
                <w:iCs w:val="1"/>
                <w:color w:val="auto"/>
                <w:w w:val="87"/>
              </w:rPr>
              <w:t>(Stated in millions)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00" w:type="dxa"/>
            <w:vAlign w:val="bottom"/>
            <w:gridSpan w:val="4"/>
          </w:tcPr>
          <w:p>
            <w:pPr>
              <w:ind w:left="540"/>
              <w:spacing w:after="0"/>
              <w:rPr>
                <w:sz w:val="20"/>
                <w:szCs w:val="20"/>
                <w:color w:val="auto"/>
              </w:rPr>
            </w:pPr>
            <w:r>
              <w:rPr>
                <w:rFonts w:ascii="Arial" w:cs="Arial" w:eastAsia="Arial" w:hAnsi="Arial"/>
                <w:sz w:val="14"/>
                <w:szCs w:val="14"/>
                <w:b w:val="1"/>
                <w:bCs w:val="1"/>
                <w:i w:val="1"/>
                <w:iCs w:val="1"/>
                <w:color w:val="auto"/>
              </w:rPr>
              <w:t>Three Months</w:t>
            </w:r>
          </w:p>
        </w:tc>
        <w:tc>
          <w:tcPr>
            <w:tcW w:w="33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43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3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3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3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70" w:type="dxa"/>
            <w:vAlign w:val="bottom"/>
            <w:gridSpan w:val="3"/>
            <w:shd w:val="clear" w:color="auto" w:fill="CCEEFF"/>
          </w:tcPr>
          <w:p>
            <w:pPr>
              <w:ind w:left="4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40" w:type="dxa"/>
            <w:vAlign w:val="bottom"/>
            <w:gridSpan w:val="3"/>
          </w:tcPr>
          <w:p>
            <w:pPr>
              <w:ind w:left="420"/>
              <w:spacing w:after="0"/>
              <w:rPr>
                <w:sz w:val="20"/>
                <w:szCs w:val="20"/>
                <w:color w:val="auto"/>
              </w:rPr>
            </w:pPr>
            <w:r>
              <w:rPr>
                <w:rFonts w:ascii="Arial" w:cs="Arial" w:eastAsia="Arial" w:hAnsi="Arial"/>
                <w:sz w:val="18"/>
                <w:szCs w:val="18"/>
                <w:color w:val="auto"/>
              </w:rPr>
              <w:t>Income from continuing operations</w:t>
            </w:r>
          </w:p>
        </w:tc>
        <w:tc>
          <w:tcPr>
            <w:tcW w:w="33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5"/>
              </w:rPr>
              <w:t>Excess of equity income over dividends received</w:t>
            </w:r>
          </w:p>
        </w:tc>
        <w:tc>
          <w:tcPr>
            <w:tcW w:w="3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40" w:type="dxa"/>
            <w:vAlign w:val="bottom"/>
            <w:gridSpan w:val="3"/>
          </w:tcPr>
          <w:p>
            <w:pPr>
              <w:ind w:left="420"/>
              <w:spacing w:after="0"/>
              <w:rPr>
                <w:sz w:val="20"/>
                <w:szCs w:val="20"/>
                <w:color w:val="auto"/>
              </w:rPr>
            </w:pPr>
            <w:r>
              <w:rPr>
                <w:rFonts w:ascii="Arial" w:cs="Arial" w:eastAsia="Arial" w:hAnsi="Arial"/>
                <w:sz w:val="18"/>
                <w:szCs w:val="18"/>
                <w:color w:val="auto"/>
              </w:rPr>
              <w:t>Charges and credits, net of tax</w:t>
            </w:r>
          </w:p>
        </w:tc>
        <w:tc>
          <w:tcPr>
            <w:tcW w:w="33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40" w:type="dxa"/>
            <w:vAlign w:val="bottom"/>
            <w:gridSpan w:val="3"/>
          </w:tcPr>
          <w:p>
            <w:pPr>
              <w:ind w:left="420"/>
              <w:spacing w:after="0"/>
              <w:rPr>
                <w:sz w:val="20"/>
                <w:szCs w:val="20"/>
                <w:color w:val="auto"/>
              </w:rPr>
            </w:pPr>
            <w:r>
              <w:rPr>
                <w:rFonts w:ascii="Arial" w:cs="Arial" w:eastAsia="Arial" w:hAnsi="Arial"/>
                <w:sz w:val="18"/>
                <w:szCs w:val="18"/>
                <w:color w:val="auto"/>
              </w:rPr>
              <w:t>Increase in working capital requirements</w:t>
            </w:r>
          </w:p>
        </w:tc>
        <w:tc>
          <w:tcPr>
            <w:tcW w:w="33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3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40" w:type="dxa"/>
            <w:vAlign w:val="bottom"/>
            <w:gridSpan w:val="3"/>
          </w:tcPr>
          <w:p>
            <w:pPr>
              <w:ind w:left="420"/>
              <w:spacing w:after="0"/>
              <w:rPr>
                <w:sz w:val="20"/>
                <w:szCs w:val="20"/>
                <w:color w:val="auto"/>
              </w:rPr>
            </w:pPr>
            <w:r>
              <w:rPr>
                <w:rFonts w:ascii="Arial" w:cs="Arial" w:eastAsia="Arial" w:hAnsi="Arial"/>
                <w:sz w:val="18"/>
                <w:szCs w:val="18"/>
                <w:color w:val="auto"/>
              </w:rPr>
              <w:t>Dividends paid</w:t>
            </w:r>
          </w:p>
        </w:tc>
        <w:tc>
          <w:tcPr>
            <w:tcW w:w="33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plans</w:t>
            </w:r>
          </w:p>
        </w:tc>
        <w:tc>
          <w:tcPr>
            <w:tcW w:w="3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40" w:type="dxa"/>
            <w:vAlign w:val="bottom"/>
            <w:gridSpan w:val="3"/>
          </w:tcPr>
          <w:p>
            <w:pPr>
              <w:ind w:left="420"/>
              <w:spacing w:after="0"/>
              <w:rPr>
                <w:sz w:val="20"/>
                <w:szCs w:val="20"/>
                <w:color w:val="auto"/>
              </w:rPr>
            </w:pPr>
            <w:r>
              <w:rPr>
                <w:rFonts w:ascii="Arial" w:cs="Arial" w:eastAsia="Arial" w:hAnsi="Arial"/>
                <w:sz w:val="18"/>
                <w:szCs w:val="18"/>
                <w:color w:val="auto"/>
              </w:rPr>
              <w:t>Proceeds from business divestitures</w:t>
            </w:r>
          </w:p>
        </w:tc>
        <w:tc>
          <w:tcPr>
            <w:tcW w:w="33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Stock repurchase program</w:t>
            </w:r>
          </w:p>
        </w:tc>
        <w:tc>
          <w:tcPr>
            <w:tcW w:w="3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40" w:type="dxa"/>
            <w:vAlign w:val="bottom"/>
            <w:gridSpan w:val="3"/>
          </w:tcPr>
          <w:p>
            <w:pPr>
              <w:ind w:left="420"/>
              <w:spacing w:after="0"/>
              <w:rPr>
                <w:sz w:val="20"/>
                <w:szCs w:val="20"/>
                <w:color w:val="auto"/>
              </w:rPr>
            </w:pPr>
            <w:r>
              <w:rPr>
                <w:rFonts w:ascii="Arial" w:cs="Arial" w:eastAsia="Arial" w:hAnsi="Arial"/>
                <w:sz w:val="18"/>
                <w:szCs w:val="18"/>
                <w:color w:val="auto"/>
              </w:rPr>
              <w:t>Proceeds from the sale of Montrouge facility</w:t>
            </w:r>
          </w:p>
        </w:tc>
        <w:tc>
          <w:tcPr>
            <w:tcW w:w="33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3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4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40" w:type="dxa"/>
            <w:vAlign w:val="bottom"/>
            <w:gridSpan w:val="3"/>
          </w:tcPr>
          <w:p>
            <w:pPr>
              <w:ind w:left="420"/>
              <w:spacing w:after="0"/>
              <w:rPr>
                <w:sz w:val="20"/>
                <w:szCs w:val="20"/>
                <w:color w:val="auto"/>
              </w:rPr>
            </w:pPr>
            <w:r>
              <w:rPr>
                <w:rFonts w:ascii="Arial" w:cs="Arial" w:eastAsia="Arial" w:hAnsi="Arial"/>
                <w:sz w:val="18"/>
                <w:szCs w:val="18"/>
                <w:color w:val="auto"/>
              </w:rPr>
              <w:t>Translation effect on net debt</w:t>
            </w:r>
          </w:p>
        </w:tc>
        <w:tc>
          <w:tcPr>
            <w:tcW w:w="33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43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3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3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end of period</w:t>
            </w:r>
          </w:p>
        </w:tc>
        <w:tc>
          <w:tcPr>
            <w:tcW w:w="3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70" w:type="dxa"/>
            <w:vAlign w:val="bottom"/>
            <w:gridSpan w:val="3"/>
            <w:shd w:val="clear" w:color="auto" w:fill="CCEEFF"/>
          </w:tcPr>
          <w:p>
            <w:pPr>
              <w:ind w:left="4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43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4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i w:val="1"/>
                <w:iCs w:val="1"/>
                <w:color w:val="auto"/>
                <w:w w:val="86"/>
              </w:rPr>
              <w:t>(Stated in millions)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72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Components of Net Debt</w:t>
            </w:r>
          </w:p>
        </w:tc>
        <w:tc>
          <w:tcPr>
            <w:tcW w:w="4180" w:type="dxa"/>
            <w:vAlign w:val="bottom"/>
            <w:gridSpan w:val="6"/>
          </w:tcPr>
          <w:p>
            <w:pPr>
              <w:ind w:left="3300"/>
              <w:spacing w:after="0"/>
              <w:rPr>
                <w:sz w:val="20"/>
                <w:szCs w:val="20"/>
                <w:color w:val="auto"/>
              </w:rPr>
            </w:pPr>
            <w:r>
              <w:rPr>
                <w:rFonts w:ascii="Arial" w:cs="Arial" w:eastAsia="Arial" w:hAnsi="Arial"/>
                <w:sz w:val="14"/>
                <w:szCs w:val="14"/>
                <w:b w:val="1"/>
                <w:bCs w:val="1"/>
                <w:color w:val="auto"/>
                <w:w w:val="98"/>
              </w:rPr>
              <w:t>Mar. 31, 2005</w:t>
            </w:r>
          </w:p>
        </w:tc>
        <w:tc>
          <w:tcPr>
            <w:tcW w:w="540" w:type="dxa"/>
            <w:vAlign w:val="bottom"/>
          </w:tcPr>
          <w:p>
            <w:pPr>
              <w:spacing w:after="0"/>
              <w:rPr>
                <w:sz w:val="15"/>
                <w:szCs w:val="15"/>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4"/>
              </w:rPr>
              <w:t>Dec.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Borders>
              <w:bottom w:val="single" w:sz="8" w:color="auto"/>
            </w:tcBorders>
            <w:gridSpan w:val="3"/>
          </w:tcPr>
          <w:p>
            <w:pPr>
              <w:spacing w:after="0"/>
              <w:rPr>
                <w:sz w:val="8"/>
                <w:szCs w:val="8"/>
                <w:color w:val="auto"/>
              </w:rPr>
            </w:pPr>
          </w:p>
        </w:tc>
        <w:tc>
          <w:tcPr>
            <w:tcW w:w="28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gridSpan w:val="3"/>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3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341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w w:val="99"/>
              </w:rPr>
              <w:t>$</w:t>
            </w:r>
          </w:p>
        </w:tc>
        <w:tc>
          <w:tcPr>
            <w:tcW w:w="67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4"/>
          </w:tcPr>
          <w:p>
            <w:pPr>
              <w:spacing w:after="0"/>
              <w:rPr>
                <w:sz w:val="20"/>
                <w:szCs w:val="20"/>
                <w:color w:val="auto"/>
              </w:rPr>
            </w:pPr>
            <w:r>
              <w:rPr>
                <w:rFonts w:ascii="Arial" w:cs="Arial" w:eastAsia="Arial" w:hAnsi="Arial"/>
                <w:sz w:val="18"/>
                <w:szCs w:val="18"/>
                <w:color w:val="auto"/>
              </w:rPr>
              <w:t>Fixed income investments, held to maturity</w:t>
            </w:r>
          </w:p>
        </w:tc>
        <w:tc>
          <w:tcPr>
            <w:tcW w:w="33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70" w:type="dxa"/>
            <w:vAlign w:val="bottom"/>
            <w:gridSpan w:val="3"/>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33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(622)</w:t>
            </w:r>
          </w:p>
        </w:tc>
        <w:tc>
          <w:tcPr>
            <w:tcW w:w="5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gridSpan w:val="4"/>
          </w:tcPr>
          <w:p>
            <w:pPr>
              <w:spacing w:after="0"/>
              <w:rPr>
                <w:sz w:val="20"/>
                <w:szCs w:val="20"/>
                <w:color w:val="auto"/>
              </w:rPr>
            </w:pPr>
            <w:r>
              <w:rPr>
                <w:rFonts w:ascii="Arial" w:cs="Arial" w:eastAsia="Arial" w:hAnsi="Arial"/>
                <w:sz w:val="18"/>
                <w:szCs w:val="18"/>
                <w:color w:val="auto"/>
              </w:rPr>
              <w:t>Long-term debt</w:t>
            </w:r>
          </w:p>
        </w:tc>
        <w:tc>
          <w:tcPr>
            <w:tcW w:w="33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70" w:type="dxa"/>
            <w:vAlign w:val="bottom"/>
            <w:gridSpan w:val="4"/>
          </w:tcPr>
          <w:p>
            <w:pPr>
              <w:jc w:val="right"/>
              <w:ind w:right="40"/>
              <w:spacing w:after="0"/>
              <w:rPr>
                <w:sz w:val="20"/>
                <w:szCs w:val="20"/>
                <w:color w:val="auto"/>
              </w:rPr>
            </w:pPr>
            <w:r>
              <w:rPr>
                <w:rFonts w:ascii="Arial" w:cs="Arial" w:eastAsia="Arial" w:hAnsi="Arial"/>
                <w:sz w:val="18"/>
                <w:szCs w:val="18"/>
                <w:color w:val="auto"/>
              </w:rPr>
              <w:t>(3,946)</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(3,944)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gridSpan w:val="3"/>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43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3410" w:type="dxa"/>
            <w:vAlign w:val="bottom"/>
            <w:gridSpan w:val="2"/>
            <w:shd w:val="clear" w:color="auto" w:fill="CCEEFF"/>
          </w:tcPr>
          <w:p>
            <w:pPr>
              <w:ind w:left="3300"/>
              <w:spacing w:after="0"/>
              <w:rPr>
                <w:sz w:val="20"/>
                <w:szCs w:val="20"/>
                <w:color w:val="auto"/>
              </w:rPr>
            </w:pPr>
            <w:r>
              <w:rPr>
                <w:rFonts w:ascii="Arial" w:cs="Arial" w:eastAsia="Arial" w:hAnsi="Arial"/>
                <w:sz w:val="18"/>
                <w:szCs w:val="18"/>
                <w:color w:val="auto"/>
                <w:w w:val="99"/>
              </w:rPr>
              <w:t>$</w:t>
            </w:r>
          </w:p>
        </w:tc>
        <w:tc>
          <w:tcPr>
            <w:tcW w:w="77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(1,300)</w:t>
            </w:r>
          </w:p>
        </w:tc>
        <w:tc>
          <w:tcPr>
            <w:tcW w:w="800" w:type="dxa"/>
            <w:vAlign w:val="bottom"/>
            <w:tcBorders>
              <w:right w:val="single" w:sz="8" w:color="CCEEFF"/>
            </w:tcBorders>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(1,459)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3300" w:type="dxa"/>
            <w:vAlign w:val="bottom"/>
            <w:vMerge w:val="restart"/>
          </w:tcPr>
          <w:p>
            <w:pPr>
              <w:jc w:val="right"/>
              <w:ind w:right="2637"/>
              <w:spacing w:after="0"/>
              <w:rPr>
                <w:sz w:val="20"/>
                <w:szCs w:val="20"/>
                <w:color w:val="auto"/>
              </w:rPr>
            </w:pPr>
            <w:r>
              <w:rPr>
                <w:rFonts w:ascii="Arial" w:cs="Arial" w:eastAsia="Arial" w:hAnsi="Arial"/>
                <w:sz w:val="18"/>
                <w:szCs w:val="18"/>
                <w:color w:val="auto"/>
              </w:rPr>
              <w:t>6/16</w:t>
            </w:r>
          </w:p>
        </w:tc>
        <w:tc>
          <w:tcPr>
            <w:tcW w:w="110" w:type="dxa"/>
            <w:vAlign w:val="bottom"/>
            <w:tcBorders>
              <w:bottom w:val="single" w:sz="8" w:color="auto"/>
            </w:tcBorders>
          </w:tcPr>
          <w:p>
            <w:pPr>
              <w:spacing w:after="0"/>
              <w:rPr>
                <w:sz w:val="11"/>
                <w:szCs w:val="11"/>
                <w:color w:val="auto"/>
              </w:rPr>
            </w:pPr>
          </w:p>
        </w:tc>
        <w:tc>
          <w:tcPr>
            <w:tcW w:w="43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10" w:type="dxa"/>
            <w:vAlign w:val="bottom"/>
          </w:tcPr>
          <w:p>
            <w:pPr>
              <w:spacing w:after="0"/>
              <w:rPr>
                <w:sz w:val="24"/>
                <w:szCs w:val="24"/>
                <w:color w:val="auto"/>
              </w:rPr>
            </w:pPr>
          </w:p>
        </w:tc>
        <w:tc>
          <w:tcPr>
            <w:tcW w:w="4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5808980</wp:posOffset>
            </wp:positionH>
            <wp:positionV relativeFrom="paragraph">
              <wp:posOffset>-1749425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-1749425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-1749425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-325755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-325755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-325755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-325755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180"/>
          </w:cols>
          <w:pgMar w:left="240" w:top="274" w:right="479" w:bottom="1440" w:gutter="0" w:footer="0" w:header="0"/>
        </w:sectPr>
      </w:pPr>
    </w:p>
    <w:bookmarkStart w:id="9" w:name="page10"/>
    <w:bookmarkEnd w:id="9"/>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financial results determined in accordance with generally accepted accounting principles (GAAP), this First Quarter Earnings Press Release also includes non-GAAP financial measures (as defined under the SEC’s Regulation G). The following is a reconciliation of these non-GAAP measures to the comparable GAAP measures: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12"/>
          </w:tcPr>
          <w:p>
            <w:pPr>
              <w:jc w:val="right"/>
              <w:ind w:right="300"/>
              <w:spacing w:after="0"/>
              <w:rPr>
                <w:sz w:val="20"/>
                <w:szCs w:val="20"/>
                <w:color w:val="auto"/>
              </w:rPr>
            </w:pPr>
            <w:r>
              <w:rPr>
                <w:rFonts w:ascii="Arial" w:cs="Arial" w:eastAsia="Arial" w:hAnsi="Arial"/>
                <w:sz w:val="14"/>
                <w:szCs w:val="14"/>
                <w:b w:val="1"/>
                <w:bCs w:val="1"/>
                <w:color w:val="auto"/>
                <w:w w:val="89"/>
              </w:rPr>
              <w:t>(Stated in millions except per share amounts)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0"/>
              </w:rPr>
              <w:t>First Quarter 2005</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Pretax</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98"/>
              <w:spacing w:after="0"/>
              <w:rPr>
                <w:sz w:val="20"/>
                <w:szCs w:val="20"/>
                <w:color w:val="auto"/>
              </w:rPr>
            </w:pPr>
            <w:r>
              <w:rPr>
                <w:rFonts w:ascii="Arial" w:cs="Arial" w:eastAsia="Arial" w:hAnsi="Arial"/>
                <w:sz w:val="14"/>
                <w:szCs w:val="14"/>
                <w:b w:val="1"/>
                <w:bCs w:val="1"/>
                <w:color w:val="auto"/>
                <w:w w:val="99"/>
              </w:rPr>
              <w:t>Tax</w:t>
            </w:r>
          </w:p>
        </w:tc>
        <w:tc>
          <w:tcPr>
            <w:tcW w:w="200" w:type="dxa"/>
            <w:vAlign w:val="bottom"/>
          </w:tcPr>
          <w:p>
            <w:pPr>
              <w:spacing w:after="0"/>
              <w:rPr>
                <w:sz w:val="22"/>
                <w:szCs w:val="22"/>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Min Int</w:t>
            </w:r>
          </w:p>
        </w:tc>
        <w:tc>
          <w:tcPr>
            <w:tcW w:w="120" w:type="dxa"/>
            <w:vAlign w:val="bottom"/>
          </w:tcPr>
          <w:p>
            <w:pPr>
              <w:spacing w:after="0"/>
              <w:rPr>
                <w:sz w:val="22"/>
                <w:szCs w:val="22"/>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per Consolidated Statement of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679.3</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137.7</w:t>
            </w:r>
          </w:p>
        </w:tc>
        <w:tc>
          <w:tcPr>
            <w:tcW w:w="10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(17.1)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Add back Charges &amp; Credits: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 Gain on sale of Montrouge facility</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(145.7)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 Real estate related charges</w:t>
            </w:r>
          </w:p>
        </w:tc>
        <w:tc>
          <w:tcPr>
            <w:tcW w:w="10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charges &amp; credits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545.7</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 before charges and credits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0"/>
              </w:rPr>
              <w:t>First Quarter 2004</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Pretax</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ind w:right="98"/>
              <w:spacing w:after="0"/>
              <w:rPr>
                <w:sz w:val="20"/>
                <w:szCs w:val="20"/>
                <w:color w:val="auto"/>
              </w:rPr>
            </w:pPr>
            <w:r>
              <w:rPr>
                <w:rFonts w:ascii="Arial" w:cs="Arial" w:eastAsia="Arial" w:hAnsi="Arial"/>
                <w:sz w:val="14"/>
                <w:szCs w:val="14"/>
                <w:b w:val="1"/>
                <w:bCs w:val="1"/>
                <w:color w:val="auto"/>
                <w:w w:val="99"/>
              </w:rPr>
              <w:t>Tax</w:t>
            </w:r>
          </w:p>
        </w:tc>
        <w:tc>
          <w:tcPr>
            <w:tcW w:w="200" w:type="dxa"/>
            <w:vAlign w:val="bottom"/>
          </w:tcPr>
          <w:p>
            <w:pPr>
              <w:spacing w:after="0"/>
              <w:rPr>
                <w:sz w:val="22"/>
                <w:szCs w:val="22"/>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Min Int</w:t>
            </w:r>
          </w:p>
        </w:tc>
        <w:tc>
          <w:tcPr>
            <w:tcW w:w="120" w:type="dxa"/>
            <w:vAlign w:val="bottom"/>
          </w:tcPr>
          <w:p>
            <w:pPr>
              <w:spacing w:after="0"/>
              <w:rPr>
                <w:sz w:val="22"/>
                <w:szCs w:val="22"/>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per Consolidated Statement of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161.5</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Add back Charges: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 Debt extinguishment costs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 Loss recognized on interest-rate swaps</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73.6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 Loss on sale of Atos Origin shares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 Restructuring program charge</w:t>
            </w:r>
          </w:p>
        </w:tc>
        <w:tc>
          <w:tcPr>
            <w:tcW w:w="10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charges &amp; credits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346.4</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 before charges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-2535555</wp:posOffset>
            </wp:positionV>
            <wp:extent cx="197675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7675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-374015</wp:posOffset>
            </wp:positionV>
            <wp:extent cx="197675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76755" cy="29845"/>
                    </a:xfrm>
                    <a:prstGeom prst="rect">
                      <a:avLst/>
                    </a:prstGeom>
                    <a:noFill/>
                  </pic:spPr>
                </pic:pic>
              </a:graphicData>
            </a:graphic>
          </wp:anchor>
        </w:drawing>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 were no charges or credits recorded in the fourth quarter of 2004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7/16</w:t>
      </w:r>
    </w:p>
    <w:p>
      <w:pPr>
        <w:sectPr>
          <w:pgSz w:w="11900" w:h="16838" w:orient="portrait"/>
          <w:cols w:equalWidth="0" w:num="1">
            <w:col w:w="11420"/>
          </w:cols>
          <w:pgMar w:left="240" w:top="2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Review (Unaudited)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4"/>
          </w:tcPr>
          <w:p>
            <w:pPr>
              <w:jc w:val="right"/>
              <w:ind w:right="200"/>
              <w:spacing w:after="0"/>
              <w:rPr>
                <w:sz w:val="20"/>
                <w:szCs w:val="20"/>
                <w:color w:val="auto"/>
              </w:rPr>
            </w:pPr>
            <w:r>
              <w:rPr>
                <w:rFonts w:ascii="Arial" w:cs="Arial" w:eastAsia="Arial" w:hAnsi="Arial"/>
                <w:sz w:val="14"/>
                <w:szCs w:val="14"/>
                <w:color w:val="auto"/>
                <w:w w:val="91"/>
              </w:rPr>
              <w:t>First Quarter</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460" w:type="dxa"/>
            <w:vAlign w:val="bottom"/>
            <w:gridSpan w:val="2"/>
          </w:tcPr>
          <w:p>
            <w:pPr>
              <w:spacing w:after="0"/>
              <w:rPr>
                <w:sz w:val="8"/>
                <w:szCs w:val="8"/>
                <w:color w:val="auto"/>
              </w:rPr>
            </w:pPr>
          </w:p>
        </w:tc>
        <w:tc>
          <w:tcPr>
            <w:tcW w:w="802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9480" w:type="dxa"/>
            <w:vAlign w:val="bottom"/>
            <w:gridSpan w:val="3"/>
          </w:tcPr>
          <w:p>
            <w:pPr>
              <w:spacing w:after="0"/>
              <w:rPr>
                <w:sz w:val="20"/>
                <w:szCs w:val="20"/>
                <w:color w:val="auto"/>
              </w:rPr>
            </w:pPr>
            <w:r>
              <w:rPr>
                <w:rFonts w:ascii="Arial" w:cs="Arial" w:eastAsia="Arial" w:hAnsi="Arial"/>
                <w:sz w:val="14"/>
                <w:szCs w:val="14"/>
                <w:i w:val="1"/>
                <w:iCs w:val="1"/>
                <w:color w:val="auto"/>
              </w:rPr>
              <w:t>(Stated in millions)</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2005</w:t>
            </w:r>
            <w:r>
              <w:rPr>
                <w:rFonts w:ascii="Arial" w:cs="Arial" w:eastAsia="Arial" w:hAnsi="Arial"/>
                <w:sz w:val="22"/>
                <w:szCs w:val="22"/>
                <w:b w:val="1"/>
                <w:bCs w:val="1"/>
                <w:color w:val="auto"/>
                <w:w w:val="89"/>
                <w:vertAlign w:val="superscript"/>
              </w:rPr>
              <w:t>(2)</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2004</w:t>
            </w:r>
            <w:r>
              <w:rPr>
                <w:rFonts w:ascii="Arial" w:cs="Arial" w:eastAsia="Arial" w:hAnsi="Arial"/>
                <w:sz w:val="22"/>
                <w:szCs w:val="22"/>
                <w:color w:val="auto"/>
                <w:vertAlign w:val="superscript"/>
              </w:rPr>
              <w:t>(2)</w:t>
            </w:r>
          </w:p>
        </w:tc>
        <w:tc>
          <w:tcPr>
            <w:tcW w:w="22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w w:val="82"/>
              </w:rPr>
              <w:t>% chg</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40" w:type="dxa"/>
            <w:vAlign w:val="bottom"/>
            <w:tcBorders>
              <w:top w:val="single" w:sz="8" w:color="auto"/>
            </w:tcBorders>
          </w:tcPr>
          <w:p>
            <w:pPr>
              <w:spacing w:after="0"/>
              <w:rPr>
                <w:sz w:val="9"/>
                <w:szCs w:val="9"/>
                <w:color w:val="auto"/>
              </w:rPr>
            </w:pPr>
          </w:p>
        </w:tc>
        <w:tc>
          <w:tcPr>
            <w:tcW w:w="80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Oilfield Services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2,779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2,359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Pretax Operating Income</w:t>
            </w:r>
            <w:r>
              <w:rPr>
                <w:rFonts w:ascii="Arial" w:cs="Arial" w:eastAsia="Arial" w:hAnsi="Arial"/>
                <w:sz w:val="22"/>
                <w:szCs w:val="22"/>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22"/>
        </w:trPr>
        <w:tc>
          <w:tcPr>
            <w:tcW w:w="94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WesternGeco</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9460" w:type="dxa"/>
            <w:vAlign w:val="bottom"/>
            <w:gridSpan w:val="2"/>
          </w:tcPr>
          <w:p>
            <w:pPr>
              <w:spacing w:after="0"/>
              <w:rPr>
                <w:sz w:val="20"/>
                <w:szCs w:val="20"/>
                <w:color w:val="auto"/>
              </w:rPr>
            </w:pPr>
            <w:r>
              <w:rPr>
                <w:rFonts w:ascii="Arial" w:cs="Arial" w:eastAsia="Arial" w:hAnsi="Arial"/>
                <w:sz w:val="18"/>
                <w:szCs w:val="18"/>
                <w:color w:val="auto"/>
              </w:rPr>
              <w:t>Pretax Operating Income</w:t>
            </w:r>
            <w:r>
              <w:rPr>
                <w:rFonts w:ascii="Arial" w:cs="Arial" w:eastAsia="Arial" w:hAnsi="Arial"/>
                <w:sz w:val="22"/>
                <w:szCs w:val="22"/>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Pretax operating income represents income before taxes and minority interest, excluding interest income, interest expense and amortization of intangibles.</w:t>
      </w:r>
    </w:p>
    <w:p>
      <w:pPr>
        <w:spacing w:after="0" w:line="99" w:lineRule="exact"/>
        <w:rPr>
          <w:rFonts w:ascii="Arial" w:cs="Arial" w:eastAsia="Arial" w:hAnsi="Arial"/>
          <w:sz w:val="16"/>
          <w:szCs w:val="16"/>
          <w:color w:val="auto"/>
        </w:rPr>
      </w:pPr>
    </w:p>
    <w:p>
      <w:pPr>
        <w:ind w:left="460" w:right="42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first quarter of 2005 excludes a pretax gain of $146 million on the sale of the Montrouge facility and a pretax charge of $12 million related to real estate.</w:t>
      </w:r>
    </w:p>
    <w:p>
      <w:pPr>
        <w:spacing w:after="0" w:line="37" w:lineRule="exact"/>
        <w:rPr>
          <w:rFonts w:ascii="Arial" w:cs="Arial" w:eastAsia="Arial" w:hAnsi="Arial"/>
          <w:sz w:val="18"/>
          <w:szCs w:val="18"/>
          <w:color w:val="auto"/>
        </w:rPr>
      </w:pPr>
    </w:p>
    <w:p>
      <w:pPr>
        <w:ind w:left="460" w:right="240"/>
        <w:spacing w:after="0" w:line="259" w:lineRule="auto"/>
        <w:rPr>
          <w:rFonts w:ascii="Arial" w:cs="Arial" w:eastAsia="Arial" w:hAnsi="Arial"/>
          <w:sz w:val="18"/>
          <w:szCs w:val="18"/>
          <w:color w:val="auto"/>
        </w:rPr>
      </w:pPr>
      <w:r>
        <w:rPr>
          <w:rFonts w:ascii="Arial" w:cs="Arial" w:eastAsia="Arial" w:hAnsi="Arial"/>
          <w:sz w:val="18"/>
          <w:szCs w:val="18"/>
          <w:color w:val="auto"/>
        </w:rPr>
        <w:t>The first quarter of 2004 excludes a pretax charge of $73 million for the US Interest Rate Swap write off, a pretax loss of $14 million on the sale of Atos Origin shares, a pretax charge of $77 million of debt extinguishment costs and a pretax charge of $20 million related to the restructuring program in the United States.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8/16</w:t>
      </w:r>
    </w:p>
    <w:p>
      <w:pPr>
        <w:sectPr>
          <w:pgSz w:w="11900" w:h="16838" w:orient="portrait"/>
          <w:cols w:equalWidth="0" w:num="1">
            <w:col w:w="11420"/>
          </w:cols>
          <w:pgMar w:left="240" w:top="274" w:right="23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Oilfield Services</w:t>
      </w:r>
    </w:p>
    <w:p>
      <w:pPr>
        <w:spacing w:after="0" w:line="16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First-quarter revenue of $2.78 billion was 2% higher sequentially but increased 18% year-on-year. Pretax operating income of $559 million increased 16% sequentially and grew 32% year-on-year.</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Overall, sequential revenue increases were highest in the Canada, North Sea, Nigeria, West Africa and the Gulf GeoMarkets. Demand was particularly strong for Drilling &amp; Measurements and Well Services technologies.</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Robust year-on-year revenue growth was experienced across all regions with the Canada, US Land, Russia, Nigeria, the Gulf and India GeoMarkets posting the highest increases. By technology, all service segments recorded double-digit increases.</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Pretax operating income recorded exceptional sequential growth driven by accelerating pricing and asset utilization levels in US Land and Canada; strengthening levels of activity in West Africa; and a more favorable mix of activity in Latin America.</w:t>
      </w:r>
    </w:p>
    <w:p>
      <w:pPr>
        <w:spacing w:after="0" w:line="11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the quarter Schlumberger launched the Scope* family of Drilling &amp; Measurements services for improved drilling performance and well placement. Scope services set new standards for reliability and data quality, and represent a step-change in LWD (logging-while-drilling) and MWD (measurements-while-drilling) technology. Customer benefits include higher efficiency and better answers with enhanced operational safety. The first three members of the Scope family of services are EcoScope* multifunctional LWD; StethoScope* formation pressure-while-drilling; and TeleScope* high-speed telemetry.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Revenue of $868 million increased 2% sequentially and 20% year-on-year. Pretax operating income of $203 million increased 29% sequentially and 65% year-on-year.</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sequential revenue increase was primarily driven by Canada with maximum equipment and personnel utilization, higher pricing levels and increased demand for high-tier services. This revenue growth rate was partially reduced by the absence of any turnkey drilling operations as this activity was exited in the prior quarter.</w:t>
      </w:r>
    </w:p>
    <w:p>
      <w:pPr>
        <w:spacing w:after="0" w:line="12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year-on-year revenue growth was mainly fueled by strong pricing gains in US Land and by Wireline and Well Services technologies with fracturing crews operating at near capacity.</w:t>
      </w:r>
    </w:p>
    <w:p>
      <w:pPr>
        <w:spacing w:after="0" w:line="118"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The robust growth in pretax operating income was driven by improvements in pricing, particularly for Well Services and Wireline technologies, and activity ramp-up in US Land and Canada, coupled with much higher margins in the Gulf Coast—a consequence of the absence of turnkey drilling operations in the quarter.</w:t>
      </w:r>
    </w:p>
    <w:p>
      <w:pPr>
        <w:spacing w:after="0" w:line="127"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During the quarter key technology solutions were deployed in the Area. In the Gulf of Mexico, Devon Energy achieved substantial savings and improved reserve analysis utilizing Schlumberger PowerDrive X5* rotary steerable and EcoScope LWD technologies. This tool configuration increased the rate of penetration and reduced the AFE (authorization for expenditure) drilling curve from 11 days to 6.5 days, while providing improved formation evaluation over a critical zone.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9/16</w:t>
      </w:r>
    </w:p>
    <w:p>
      <w:pPr>
        <w:sectPr>
          <w:pgSz w:w="11900" w:h="16838" w:orient="portrait"/>
          <w:cols w:equalWidth="0" w:num="1">
            <w:col w:w="11360"/>
          </w:cols>
          <w:pgMar w:left="240" w:top="274" w:right="299" w:bottom="1440" w:gutter="0" w:footer="0" w:header="0"/>
        </w:sectPr>
      </w:pPr>
    </w:p>
    <w:bookmarkStart w:id="12" w:name="page13"/>
    <w:bookmarkEnd w:id="12"/>
    <w:p>
      <w:pPr>
        <w:jc w:val="both"/>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Canada, EnCana realized lowered production and capital costs by utilizing Schlumberger high-temperature Hotline* electrical submersible pumps in their Steam Assisted Gravity Drainage (SAGD) wells. These pumps have exceeded 500 days of continuous run time and have dropped the steam/oil ratio (SOR) in these fields by reducing bottomhole pressures.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Revenue of $469 million declined 4% sequentially but was 19% higher year-on-year. Pretax operating income of $64 million increased 22% sequentially and 5% compared to the same quarter of last year.</w:t>
      </w:r>
    </w:p>
    <w:p>
      <w:pPr>
        <w:spacing w:after="0" w:line="11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Revenue in Mexico, while growing significantly year-on-year, fueled by large integrated projects, declined sequentially as the result of much lower levels of third-party managed services revenue associated with these projects.</w:t>
      </w:r>
    </w:p>
    <w:p>
      <w:pPr>
        <w:spacing w:after="0" w:line="11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Sequentially, lower activity in western Venezuela was partially offset by increased revenue from PDVSA in other areas. During the quarter, an important milestone was passed in reaching an agreement with PDVSA for moving forward to resolve issues related to the PRISA project. This agreement included a payment of a significant amount of the outstanding receivables, a framework for future activity on the project and for resolution of some past issues, including negotiation of outstanding receivables.</w:t>
      </w:r>
    </w:p>
    <w:p>
      <w:pPr>
        <w:spacing w:after="0" w:line="130"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Sequential revenue growth in the Latin America South GeoMarket was due mainly to higher Well Completions &amp; Productivity, Drilling &amp; Measurements and Wireline activity in Brazil and Argentina, where the Repsol D-150 Integrated Project Management (IPM) operation reached the 100-well milestone.</w:t>
      </w:r>
    </w:p>
    <w:p>
      <w:pPr>
        <w:spacing w:after="0" w:line="7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strong sequential pretax operating income improvement was experienced evenly across all the GeoMarkets with an improved drilling environment in the Venezuela/Trinidad/Tobago GeoMarket and a better revenue mix in the Mexico/Central America GeoMarket between Schlumberger technologies and third-party managed services.</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number of technology solutions were deployed across the Area. In Ecuador, Repsol performed a water shut-off operation resulting in reduced water production from 12,000 to 1,200 bpd. Based on interpretation by Schlumberger Data &amp; Consulting Services, the client used SqueezeCRETE* cementing technology to achieve this success in an area where water re-injection costs are $0.46 per barrel.</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Offshore Brazil, Petrobras deployed two new Schlumberger technologies to address the challenges of the deepwater environment. The MDT* Modular Formation Dynamics Tester tool, fitted with the new Extra Large Diameter probe, was successfully used to improve sampling efficiency in tight and unconsolidated heavy oil zones. Additionally, the Schlumberger advanced Light Weight Treatment Unit (LWTU) was deployed for Petrobras for the first time in conjunction with the CleanTest* platform for a deepwater well test where the LWTU successfully treated 305 bbl of water.</w:t>
      </w:r>
    </w:p>
    <w:p>
      <w:pPr>
        <w:spacing w:after="0" w:line="99" w:lineRule="exact"/>
        <w:rPr>
          <w:sz w:val="20"/>
          <w:szCs w:val="20"/>
          <w:color w:val="auto"/>
        </w:rPr>
      </w:pPr>
    </w:p>
    <w:p>
      <w:pPr>
        <w:jc w:val="center"/>
        <w:ind w:right="220"/>
        <w:spacing w:after="0" w:line="440" w:lineRule="auto"/>
        <w:rPr>
          <w:sz w:val="20"/>
          <w:szCs w:val="20"/>
          <w:color w:val="auto"/>
        </w:rPr>
      </w:pPr>
      <w:r>
        <w:rPr>
          <w:rFonts w:ascii="Arial" w:cs="Arial" w:eastAsia="Arial" w:hAnsi="Arial"/>
          <w:sz w:val="18"/>
          <w:szCs w:val="18"/>
          <w:color w:val="auto"/>
        </w:rPr>
        <w:t>In Mexico, PEMEX awarded Schlumberger Data &amp; Consulting Services a multi-year contract to support drilling operations for their Well Construction Center. 10/16</w:t>
      </w:r>
    </w:p>
    <w:p>
      <w:pPr>
        <w:sectPr>
          <w:pgSz w:w="11900" w:h="16838" w:orient="portrait"/>
          <w:cols w:equalWidth="0" w:num="1">
            <w:col w:w="11380"/>
          </w:cols>
          <w:pgMar w:left="240" w:top="280"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Europe/CIS/West Africa</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 of $751 million increased 7% sequentially and 16% year-on-year. Pretax operating income of $124 million increased 16% both sequentially and year-on-year.</w:t>
      </w:r>
    </w:p>
    <w:p>
      <w:pPr>
        <w:spacing w:after="0" w:line="118"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Sequential revenue growth was mainly driven by North Africa, Nigeria and West Africa with increases in Well Completions &amp; Productivity, Wireline and Drilling &amp; Measurements technologies. Activity was robust in the North Sea, particularly due to growth in Schlumberger Information Solutions and Well Completions &amp; Productivity technologies. However, growth was somewhat offset by adverse weather early in the quarter.</w:t>
      </w:r>
    </w:p>
    <w:p>
      <w:pPr>
        <w:spacing w:after="0" w:line="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Russia GeoMarket, activity grew significantly, driven by recovery of activity in Yuganskneftegaz that reached pre-September 2004 levels towards the end of the quarter. Increased demand for stimulation and cementing technologies and strengthening IPM operations were experienced across the GeoMarket. The demand for, and speed of, technology uptake remains strong.</w:t>
      </w:r>
    </w:p>
    <w:p>
      <w:pPr>
        <w:spacing w:after="0" w:line="12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Most GeoMarkets recorded double-digit revenue increases year-on-year, led by Nigeria with higher rig count spurring growth in Drilling &amp; Measurements and Wireline technologies; in West Africa mainly from Well Completions &amp; Productivity technologies; and in Continental Europe with stronger activity across all technologies.</w:t>
      </w:r>
    </w:p>
    <w:p>
      <w:pPr>
        <w:spacing w:after="0" w:line="127"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robust sequential growth in operating income was mainly in western Africa and Nigeria from increasing activity and pricing improvements combined with the resumption of activities late in the quarter for Yuganskneftegaz in Russia following shutdowns in the prior quarter.</w:t>
      </w:r>
    </w:p>
    <w:p>
      <w:pPr>
        <w:spacing w:after="0" w:line="72"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Several key technologies were utilized across the Area. On the Norwegian Continental Shelf, Statoil used the StethoScope service—the new pressure while-drilling tool from the Scope family—in several fields, to save significant rig time and enable early production. Its flexibility enabled Statoil to run it in vertical and high-angle well deviations, high-pressure/high-temperature (HPHT) environments and in formations with both very low and high mobility.</w:t>
      </w:r>
    </w:p>
    <w:p>
      <w:pPr>
        <w:spacing w:after="0" w:line="93"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The recently commercialized Schlumberger downhole fluid analysis module of the MDT Modular Formation Dynamics Tester was successfully run for ExxonMobil on an exploration well in Nigeria.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Revenue of $668 million was flat sequentially but grew 19% year-on-year. Pretax operating income of $174 million declined 4% sequentially but increased 25% year-on-year.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11/16</w:t>
      </w:r>
    </w:p>
    <w:p>
      <w:pPr>
        <w:sectPr>
          <w:pgSz w:w="11900" w:h="16838" w:orient="portrait"/>
          <w:cols w:equalWidth="0" w:num="1">
            <w:col w:w="11420"/>
          </w:cols>
          <w:pgMar w:left="240" w:top="274" w:right="239" w:bottom="1440" w:gutter="0" w:footer="0" w:header="0"/>
        </w:sectPr>
      </w:pPr>
    </w:p>
    <w:bookmarkStart w:id="14" w:name="page15"/>
    <w:bookmarkEnd w:id="14"/>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flat sequential revenues, resulted from the revenue growth in the Thailand/Vietnam, East Africa and East Mediterranean, and the Gulf GeoMarkets, were offset by reduced deepwater activity in the Malaysia/Brunei/Philippines and Indonesia GeoMarkets.</w:t>
      </w:r>
    </w:p>
    <w:p>
      <w:pPr>
        <w:spacing w:after="0" w:line="118"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Year-on-year revenue growth was led by the Malaysia/Brunei/Philippines GeoMarket with high demand for Well Completions &amp; Productivity, Wireline and Drilling &amp; Measurements technologies. Increased offshore exploration activity in India, start-up of Wireline services for PDO in Oman, and burgeoning gas activity in Qatar also contributed to this growth.</w:t>
      </w:r>
    </w:p>
    <w:p>
      <w:pPr>
        <w:spacing w:after="0" w:line="12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sequential decline in operating income resulted from seasonal effects and from increased personnel costs associated with the preparation of new contracts and activity. These contracts will only take full effect in the coming quarters.</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number of key contracts were awarded in the Area. In Malaysia, PETRONAS Carigali awarded Schlumberger Data &amp; Consulting Services field study contracts for their Erb West and Samarang brownfields. The work scope incorporates the new WesternGeco Well-Driven Seismic* technology to reprocess the complete 3D cube for the Erb West field, as well as extensive use of Petrel* geomodeling and ECLIPSE* simulation software. Full-field, multi-disciplinary reviews will be performed with a focus on production enhancement and optimization, leading to opportunities for Well Services and Well Completions &amp; Productivity technology deployment.</w:t>
      </w:r>
    </w:p>
    <w:p>
      <w:pPr>
        <w:spacing w:after="0" w:line="129"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In the Gulf, Saudi Aramco placed an order for 47 permanent quartz gauge systems with Schlumberger Well Completions &amp; Productivity. All systems are to be delivered between February and September 2005. This award increases Schlumberger permanent monitoring activities in Saudi Arabia.</w:t>
      </w:r>
    </w:p>
    <w:p>
      <w:pPr>
        <w:spacing w:after="0" w:line="72" w:lineRule="exact"/>
        <w:rPr>
          <w:sz w:val="20"/>
          <w:szCs w:val="20"/>
          <w:color w:val="auto"/>
        </w:rPr>
      </w:pPr>
    </w:p>
    <w:p>
      <w:pPr>
        <w:ind w:right="240"/>
        <w:spacing w:after="0" w:line="375" w:lineRule="auto"/>
        <w:rPr>
          <w:sz w:val="20"/>
          <w:szCs w:val="20"/>
          <w:color w:val="auto"/>
        </w:rPr>
      </w:pPr>
      <w:r>
        <w:rPr>
          <w:rFonts w:ascii="Arial" w:cs="Arial" w:eastAsia="Arial" w:hAnsi="Arial"/>
          <w:sz w:val="18"/>
          <w:szCs w:val="18"/>
          <w:color w:val="auto"/>
        </w:rPr>
        <w:t xml:space="preserve">In Malaysia, Murphy Oil Corporation awarded Schlumberger the completions and well testing work worth $75 million for their upcoming Kikeh development. </w:t>
      </w:r>
      <w:r>
        <w:rPr>
          <w:rFonts w:ascii="Arial" w:cs="Arial" w:eastAsia="Arial" w:hAnsi="Arial"/>
          <w:sz w:val="18"/>
          <w:szCs w:val="18"/>
          <w:b w:val="1"/>
          <w:bCs w:val="1"/>
          <w:color w:val="auto"/>
        </w:rPr>
        <w:t>Highlights</w:t>
      </w:r>
    </w:p>
    <w:p>
      <w:pPr>
        <w:spacing w:after="0" w:line="1" w:lineRule="exact"/>
        <w:rPr>
          <w:sz w:val="20"/>
          <w:szCs w:val="20"/>
          <w:color w:val="auto"/>
        </w:rPr>
      </w:pPr>
    </w:p>
    <w:p>
      <w:pPr>
        <w:ind w:left="900" w:right="120" w:hanging="446"/>
        <w:spacing w:after="0" w:line="255"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Schlumberger Information Solutions launched the latest release of Petrel PC-based workflow technology. This new release enables geophysicists, geologists and reservoir engineers to work across domains using an integrated toolkit for subsurface interpretation and reservoir modeling and simulation. Recognizing the benefits of this new tool, Apache Corporation selected Petrel software as its primary reservoir modeling workflow tool. This will enable Apache asset teams to integrate multiple technical disciplines from seismic to simulation in an intuitive and collaborative environment.</w:t>
      </w:r>
    </w:p>
    <w:p>
      <w:pPr>
        <w:spacing w:after="0" w:line="48" w:lineRule="exact"/>
        <w:rPr>
          <w:rFonts w:ascii="Arial" w:cs="Arial" w:eastAsia="Arial" w:hAnsi="Arial"/>
          <w:sz w:val="18"/>
          <w:szCs w:val="18"/>
          <w:color w:val="auto"/>
        </w:rPr>
      </w:pPr>
    </w:p>
    <w:p>
      <w:pPr>
        <w:ind w:left="900" w:right="140" w:hanging="446"/>
        <w:spacing w:after="0" w:line="335"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Progress continues in the uptake of Schlumberger real-time production workflows, where a combination of Schlumberger measurement technology, IT infrastructure and domain expertise is leveraged. In Indonesia, Unocal increased production and identified additional candidate wells using espWatcher* surveillance and control system technology for electrical submersible pumps, combined with the LiftPro* optimization service.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12/16</w:t>
      </w:r>
    </w:p>
    <w:p>
      <w:pPr>
        <w:sectPr>
          <w:pgSz w:w="11900" w:h="16838" w:orient="portrait"/>
          <w:cols w:equalWidth="0" w:num="1">
            <w:col w:w="11420"/>
          </w:cols>
          <w:pgMar w:left="240" w:top="280" w:right="239" w:bottom="1440" w:gutter="0" w:footer="0" w:header="0"/>
        </w:sectPr>
      </w:pPr>
    </w:p>
    <w:bookmarkStart w:id="15" w:name="page16"/>
    <w:bookmarkEnd w:id="15"/>
    <w:p>
      <w:pPr>
        <w:jc w:val="both"/>
        <w:ind w:left="446" w:hanging="446"/>
        <w:spacing w:after="0" w:line="259" w:lineRule="auto"/>
        <w:tabs>
          <w:tab w:leader="none" w:pos="446"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West Africa, the Wireline CHDT* Cased Hole Dynamics Tester tool, part of the suite of ABC* Analysis Behind Casing technology services, was run on a high-temperature horizontal well. Five pressure points were taken, enabling Total E&amp;P Congo to better understand the pressure distribution profile in their reservoir and revise their completion and development program.</w:t>
      </w:r>
    </w:p>
    <w:p>
      <w:pPr>
        <w:spacing w:after="0" w:line="45" w:lineRule="exact"/>
        <w:rPr>
          <w:rFonts w:ascii="Arial" w:cs="Arial" w:eastAsia="Arial" w:hAnsi="Arial"/>
          <w:sz w:val="18"/>
          <w:szCs w:val="18"/>
          <w:color w:val="auto"/>
        </w:rPr>
      </w:pPr>
    </w:p>
    <w:p>
      <w:pPr>
        <w:ind w:left="446" w:right="20" w:hanging="446"/>
        <w:spacing w:after="0" w:line="335" w:lineRule="auto"/>
        <w:tabs>
          <w:tab w:leader="none" w:pos="446"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 Canada, Schlumberger opened the Global Reservoir Fluids Center. The facility is designed to enhance research and development of applications for production operations, including heavy oil resources. The new state-of-the-art 30,000 sq. ft. center enables Schlumberger to advance its research in reservoir fluids, as well as develop knowledge, equipment and methodologies needed to apply this research to practical operations.</w:t>
      </w:r>
    </w:p>
    <w:p>
      <w:pPr>
        <w:spacing w:after="0" w:line="75" w:lineRule="exact"/>
        <w:rPr>
          <w:sz w:val="20"/>
          <w:szCs w:val="20"/>
          <w:color w:val="auto"/>
        </w:rPr>
      </w:pPr>
    </w:p>
    <w:p>
      <w:pPr>
        <w:jc w:val="center"/>
        <w:ind w:right="334"/>
        <w:spacing w:after="0"/>
        <w:rPr>
          <w:sz w:val="20"/>
          <w:szCs w:val="20"/>
          <w:color w:val="auto"/>
        </w:rPr>
      </w:pPr>
      <w:r>
        <w:rPr>
          <w:rFonts w:ascii="Arial" w:cs="Arial" w:eastAsia="Arial" w:hAnsi="Arial"/>
          <w:sz w:val="18"/>
          <w:szCs w:val="18"/>
          <w:color w:val="auto"/>
        </w:rPr>
        <w:t>13/16</w:t>
      </w:r>
    </w:p>
    <w:p>
      <w:pPr>
        <w:sectPr>
          <w:pgSz w:w="11900" w:h="16838" w:orient="portrait"/>
          <w:cols w:equalWidth="0" w:num="1">
            <w:col w:w="10866"/>
          </w:cols>
          <w:pgMar w:left="694" w:top="280"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WesternGeco</w:t>
      </w:r>
    </w:p>
    <w:p>
      <w:pPr>
        <w:spacing w:after="0" w:line="16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First-quarter revenue of $378 million was 14% higher sequentially and 21% higher compared to the same period of last year. Pretax operating income of $64 million increased 48% sequentially and 89% year-on-year.</w:t>
      </w:r>
    </w:p>
    <w:p>
      <w:pPr>
        <w:spacing w:after="0" w:line="118"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Sequentially, Land revenue increased mainly in the Middle East reflecting higher conventional activity in Saudi Arabia, Chad, Algeria and Pakistan, and increased Q-Land* activity in Kuwait; partially offset by the completion of a project in Mexico and of a 2D-Transitional project in New Zealand.</w:t>
      </w:r>
    </w:p>
    <w:p>
      <w:pPr>
        <w:spacing w:after="0" w:line="7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Marine revenue increased mainly in Asia with three conventional vessels working at higher prices, full utilization of the Q* vessel </w:t>
      </w:r>
      <w:r>
        <w:rPr>
          <w:rFonts w:ascii="Arial" w:cs="Arial" w:eastAsia="Arial" w:hAnsi="Arial"/>
          <w:sz w:val="18"/>
          <w:szCs w:val="18"/>
          <w:i w:val="1"/>
          <w:iCs w:val="1"/>
          <w:color w:val="auto"/>
        </w:rPr>
        <w:t>Topaz</w:t>
      </w:r>
      <w:r>
        <w:rPr>
          <w:rFonts w:ascii="Arial" w:cs="Arial" w:eastAsia="Arial" w:hAnsi="Arial"/>
          <w:sz w:val="18"/>
          <w:szCs w:val="18"/>
          <w:color w:val="auto"/>
        </w:rPr>
        <w:t xml:space="preserve"> in India and increased activity for the </w:t>
      </w:r>
      <w:r>
        <w:rPr>
          <w:rFonts w:ascii="Arial" w:cs="Arial" w:eastAsia="Arial" w:hAnsi="Arial"/>
          <w:sz w:val="18"/>
          <w:szCs w:val="18"/>
          <w:i w:val="1"/>
          <w:iCs w:val="1"/>
          <w:color w:val="auto"/>
        </w:rPr>
        <w:t>Neptune</w:t>
      </w:r>
      <w:r>
        <w:rPr>
          <w:rFonts w:ascii="Arial" w:cs="Arial" w:eastAsia="Arial" w:hAnsi="Arial"/>
          <w:sz w:val="18"/>
          <w:szCs w:val="18"/>
          <w:color w:val="auto"/>
        </w:rPr>
        <w:t xml:space="preserve"> on the Q Magno survey in Mexico; partially offset by lower activity in Europe.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Multiclient sales increased mainly in North America following the Central Gulf of Mexico lease sale.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Data Processing declined slightly mainly due to seasonally lower activity in West Africa, Europe and North America.</w:t>
      </w:r>
    </w:p>
    <w:p>
      <w:pPr>
        <w:spacing w:after="0" w:line="15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Year-on-year revenue growth was driven by Marine, reflecting strong utilization and pricing, and by Land reflecting four additional crews working in the Middle East. Data Processing also contributed to this improvement with stronger Q processing and higher activity in the Middle East and Asia.</w:t>
      </w:r>
    </w:p>
    <w:p>
      <w:pPr>
        <w:spacing w:after="0" w:line="7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Sequential and year-on-year improvements in pretax income were mainly in Marine, resulting from significantly higher utilization for both Q and conventional seismic, improved pricing and increased Multiclient sales. Land also contributed to the improvement mainly in the Middle East and in Algeria due to higher revenue.</w:t>
      </w:r>
    </w:p>
    <w:p>
      <w:pPr>
        <w:spacing w:after="0" w:line="127" w:lineRule="exact"/>
        <w:rPr>
          <w:sz w:val="20"/>
          <w:szCs w:val="20"/>
          <w:color w:val="auto"/>
        </w:rPr>
      </w:pPr>
    </w:p>
    <w:p>
      <w:pPr>
        <w:ind w:right="400"/>
        <w:spacing w:after="0" w:line="391" w:lineRule="auto"/>
        <w:rPr>
          <w:sz w:val="20"/>
          <w:szCs w:val="20"/>
          <w:color w:val="auto"/>
        </w:rPr>
      </w:pPr>
      <w:r>
        <w:rPr>
          <w:rFonts w:ascii="Arial" w:cs="Arial" w:eastAsia="Arial" w:hAnsi="Arial"/>
          <w:sz w:val="18"/>
          <w:szCs w:val="18"/>
          <w:color w:val="auto"/>
        </w:rPr>
        <w:t xml:space="preserve">Q-Marine* utilization remained high during the quarter. The conversion of the previously announced fifth Q vessel will be completed in early summer 2005. The WesternGeco backlog at the end of the first quarter was $668 million, flat sequentially but increasing by almost 40% year-on-year. </w:t>
      </w:r>
      <w:r>
        <w:rPr>
          <w:rFonts w:ascii="Arial" w:cs="Arial" w:eastAsia="Arial" w:hAnsi="Arial"/>
          <w:sz w:val="18"/>
          <w:szCs w:val="18"/>
          <w:b w:val="1"/>
          <w:bCs w:val="1"/>
          <w:color w:val="auto"/>
        </w:rPr>
        <w:t>Highlights</w:t>
      </w:r>
    </w:p>
    <w:p>
      <w:pPr>
        <w:spacing w:after="0" w:line="1" w:lineRule="exact"/>
        <w:rPr>
          <w:sz w:val="20"/>
          <w:szCs w:val="20"/>
          <w:color w:val="auto"/>
        </w:rPr>
      </w:pPr>
    </w:p>
    <w:p>
      <w:pPr>
        <w:ind w:left="900" w:right="2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Maersk Oil and Gas awarded WesternGeco a five-month Q-Marine contract for 3D/4D seismic over its producing assets on the Danish Continental Shelf.</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WesternGeco undertook the first Q-on-Q 4D project ever completed in the Gulf of Mexico.</w:t>
      </w:r>
    </w:p>
    <w:p>
      <w:pPr>
        <w:spacing w:after="0" w:line="103"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WesternGeco received its largest direct award proprietary depth-imaging project in the Gulf of Mexico. The $7.5 million award was made on the basis of differentiated technology utilizing the latest in Wavefield Extrapolation Migration (WEM) techniques and proven ability to deliver such large projects to quality and time specifications.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14/16</w:t>
      </w:r>
    </w:p>
    <w:p>
      <w:pPr>
        <w:sectPr>
          <w:pgSz w:w="11900" w:h="16838" w:orient="portrait"/>
          <w:cols w:equalWidth="0" w:num="1">
            <w:col w:w="11420"/>
          </w:cols>
          <w:pgMar w:left="240" w:top="274" w:right="239" w:bottom="1440" w:gutter="0" w:footer="0" w:header="0"/>
        </w:sectPr>
      </w:pPr>
    </w:p>
    <w:bookmarkStart w:id="17" w:name="page18"/>
    <w:bookmarkEnd w:id="17"/>
    <w:p>
      <w:pPr>
        <w:ind w:left="446" w:hanging="446"/>
        <w:spacing w:after="0" w:line="268" w:lineRule="auto"/>
        <w:tabs>
          <w:tab w:leader="none" w:pos="446"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WesternGeco received a significant amount of industry pre-commitment to the largest depth-imaging project so far undertaken on its Multiclient library. The project will use the latest WEM technology to add value to existing Gulf of Mexico library data.</w:t>
      </w:r>
    </w:p>
    <w:p>
      <w:pPr>
        <w:spacing w:after="0" w:line="118" w:lineRule="exact"/>
        <w:rPr>
          <w:sz w:val="20"/>
          <w:szCs w:val="20"/>
          <w:color w:val="auto"/>
        </w:rPr>
      </w:pPr>
    </w:p>
    <w:p>
      <w:pPr>
        <w:jc w:val="center"/>
        <w:ind w:right="54"/>
        <w:spacing w:after="0"/>
        <w:rPr>
          <w:sz w:val="20"/>
          <w:szCs w:val="20"/>
          <w:color w:val="auto"/>
        </w:rPr>
      </w:pPr>
      <w:r>
        <w:rPr>
          <w:rFonts w:ascii="Arial" w:cs="Arial" w:eastAsia="Arial" w:hAnsi="Arial"/>
          <w:sz w:val="18"/>
          <w:szCs w:val="18"/>
          <w:color w:val="auto"/>
        </w:rPr>
        <w:t>15/16</w:t>
      </w:r>
    </w:p>
    <w:p>
      <w:pPr>
        <w:sectPr>
          <w:pgSz w:w="11900" w:h="16838" w:orient="portrait"/>
          <w:cols w:equalWidth="0" w:num="1">
            <w:col w:w="10586"/>
          </w:cols>
          <w:pgMar w:left="694" w:top="280" w:right="6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About Schlumberger</w:t>
      </w:r>
    </w:p>
    <w:p>
      <w:pPr>
        <w:spacing w:after="0" w:line="83" w:lineRule="exact"/>
        <w:rPr>
          <w:sz w:val="20"/>
          <w:szCs w:val="20"/>
          <w:color w:val="auto"/>
        </w:rPr>
      </w:pPr>
    </w:p>
    <w:p>
      <w:pPr>
        <w:jc w:val="both"/>
        <w:ind w:right="60"/>
        <w:spacing w:after="0" w:line="291" w:lineRule="auto"/>
        <w:rPr>
          <w:sz w:val="20"/>
          <w:szCs w:val="20"/>
          <w:color w:val="auto"/>
        </w:rPr>
      </w:pPr>
      <w:r>
        <w:rPr>
          <w:rFonts w:ascii="Arial" w:cs="Arial" w:eastAsia="Arial" w:hAnsi="Arial"/>
          <w:sz w:val="16"/>
          <w:szCs w:val="16"/>
          <w:color w:val="auto"/>
        </w:rPr>
        <w:t>Schlumberger is the world’s leading oilfield services company supplying technology, project management and information solutions that optimize performance for customers working in the oil and gas industry. The company employs more than 52,000 people of over 140 nationalities working in more than 80 countries, and comprises two business segments. Schlumberger supplies a wide range of products and services from formation evaluation through directional drilling, well cementing and stimulation, well completions and productivity to consulting, software, information management and IT infrastructure services that support core industry operational processes. WesternGeco, jointly owned with Baker Hughes, is the world’s largest seismic company and provides advanced acquisition and data processing services. In 2004, Schlumberger operating revenue was $11.48 billion. For more information, visit SLB.com.</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 #</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w:t>
      </w:r>
    </w:p>
    <w:p>
      <w:pPr>
        <w:spacing w:after="0" w:line="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Schlumberger will hold a conference call to discuss the above announcement on Tuesday, April 26, 2005, at 9:00 a.m. New York City time (2:00 p.m. London time/3:00 p.m. Paris time). To access the call, which is open to the public, please contact the conference call operator at +1-888-276-9998 (toll-free) for North America, or +1-612-332-0718 from outside North America, approximately 15 minutes prior to the scheduled start time. Ask for the “Schlumberger Earnings Conference Call.” A replay will be available through May 10, 2005 by dialing +1-800-475-6701 in North America, or +1-320-365-3844 outside North America, and providing the access code 775464.</w:t>
      </w:r>
    </w:p>
    <w:p>
      <w:pPr>
        <w:spacing w:after="0" w:line="12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conference call will be webcast simultaneously at SLB.com/irwebcast on a listen-only basis. Please log in 15 minutes ahead of time to test your browser and register for the call. A replay of the webcast will also be available through May 10, 2005 at the above web site.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Supplemental information in the form of a question and answer document on this press release and financial schedules are available at SLB.com/ir.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contact: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Doug Pferdehirt, Vice President of Communications and Investor Relations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Paulo Loureiro, Investor Relations Manager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+1-212-350-9432</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investor-relations@slb.com</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16/16</w:t>
      </w:r>
    </w:p>
    <w:p>
      <w:pPr>
        <w:sectPr>
          <w:pgSz w:w="11900" w:h="16838" w:orient="portrait"/>
          <w:cols w:equalWidth="0" w:num="1">
            <w:col w:w="11320"/>
          </w:cols>
          <w:pgMar w:left="240" w:top="274"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Quarter 2005 Results - Supplemental Information</w:t>
      </w:r>
    </w:p>
    <w:p>
      <w:pPr>
        <w:spacing w:after="0" w:line="15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Oilfield Services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Q1)</w:t>
      </w:r>
      <w:r>
        <w:rPr>
          <w:sz w:val="20"/>
          <w:szCs w:val="20"/>
          <w:color w:val="auto"/>
        </w:rPr>
        <w:tab/>
      </w:r>
      <w:r>
        <w:rPr>
          <w:rFonts w:ascii="Arial" w:cs="Arial" w:eastAsia="Arial" w:hAnsi="Arial"/>
          <w:sz w:val="15"/>
          <w:szCs w:val="15"/>
          <w:b w:val="1"/>
          <w:bCs w:val="1"/>
          <w:color w:val="auto"/>
        </w:rPr>
        <w:t>What was the Oilfield Services pretax return on sales for the quarter?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Oilfield Services pretax return on sales in the first quarter of 2005 was 20.1% compared to 17.7% in the fourth quarter of 2004.</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Q2)</w:t>
      </w:r>
      <w:r>
        <w:rPr>
          <w:sz w:val="20"/>
          <w:szCs w:val="20"/>
          <w:color w:val="auto"/>
        </w:rPr>
        <w:tab/>
      </w:r>
      <w:r>
        <w:rPr>
          <w:rFonts w:ascii="Arial" w:cs="Arial" w:eastAsia="Arial" w:hAnsi="Arial"/>
          <w:sz w:val="15"/>
          <w:szCs w:val="15"/>
          <w:b w:val="1"/>
          <w:bCs w:val="1"/>
          <w:color w:val="auto"/>
        </w:rPr>
        <w:t>What is the Capex guidance for 2005?</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Capex is expected to reach $1.34 billion for the full year 2005 versus $1.06 billion in 2004.</w:t>
      </w:r>
    </w:p>
    <w:p>
      <w:pPr>
        <w:spacing w:after="0" w:line="15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WesternGeco</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Q3)</w:t>
      </w:r>
      <w:r>
        <w:rPr>
          <w:sz w:val="20"/>
          <w:szCs w:val="20"/>
          <w:color w:val="auto"/>
        </w:rPr>
        <w:tab/>
      </w:r>
      <w:r>
        <w:rPr>
          <w:rFonts w:ascii="Arial" w:cs="Arial" w:eastAsia="Arial" w:hAnsi="Arial"/>
          <w:sz w:val="15"/>
          <w:szCs w:val="15"/>
          <w:b w:val="1"/>
          <w:bCs w:val="1"/>
          <w:color w:val="auto"/>
        </w:rPr>
        <w:t>What multiclient surveys were capitalized in the first quarter?</w:t>
      </w:r>
    </w:p>
    <w:p>
      <w:pPr>
        <w:spacing w:after="0" w:line="83"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In the quarter, WesternGeco capitalized $16 million related to both the acquisition of a new survey and the processing of surveys previously acquired, both activities being substantially pre-funded.</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Q4)</w:t>
      </w:r>
      <w:r>
        <w:rPr>
          <w:sz w:val="20"/>
          <w:szCs w:val="20"/>
          <w:color w:val="auto"/>
        </w:rPr>
        <w:tab/>
      </w:r>
      <w:r>
        <w:rPr>
          <w:rFonts w:ascii="Arial" w:cs="Arial" w:eastAsia="Arial" w:hAnsi="Arial"/>
          <w:sz w:val="15"/>
          <w:szCs w:val="15"/>
          <w:b w:val="1"/>
          <w:bCs w:val="1"/>
          <w:color w:val="auto"/>
        </w:rPr>
        <w:t>What multiclient sales were made in the quarter and what was the associated cost of sales?</w:t>
      </w:r>
    </w:p>
    <w:p>
      <w:pPr>
        <w:spacing w:after="0" w:line="83"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Multiclient sales in the quarter were $141 million. The corresponding cost of sales was $53 million. 70% of the surveys sold had no NBV. Approximately 3% of the revenue came from surveys considered impaired in September 2003.</w:t>
      </w:r>
    </w:p>
    <w:p>
      <w:pPr>
        <w:spacing w:after="0" w:line="1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Q5)</w:t>
      </w:r>
      <w:r>
        <w:rPr>
          <w:sz w:val="20"/>
          <w:szCs w:val="20"/>
          <w:color w:val="auto"/>
        </w:rPr>
        <w:tab/>
      </w:r>
      <w:r>
        <w:rPr>
          <w:rFonts w:ascii="Arial" w:cs="Arial" w:eastAsia="Arial" w:hAnsi="Arial"/>
          <w:sz w:val="15"/>
          <w:szCs w:val="15"/>
          <w:b w:val="1"/>
          <w:bCs w:val="1"/>
          <w:color w:val="auto"/>
        </w:rPr>
        <w:t>What is the Capex guidance for 2005?</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2005 Capex is expected to reach $215 million, excluding about $112 million of significantly pre-funded multiclient surveys.</w:t>
      </w:r>
    </w:p>
    <w:p>
      <w:pPr>
        <w:spacing w:after="0" w:line="15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Schlumberger Limited</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Q6)</w:t>
      </w:r>
      <w:r>
        <w:rPr>
          <w:sz w:val="20"/>
          <w:szCs w:val="20"/>
          <w:color w:val="auto"/>
        </w:rPr>
        <w:tab/>
      </w:r>
      <w:r>
        <w:rPr>
          <w:rFonts w:ascii="Arial" w:cs="Arial" w:eastAsia="Arial" w:hAnsi="Arial"/>
          <w:sz w:val="15"/>
          <w:szCs w:val="15"/>
          <w:b w:val="1"/>
          <w:bCs w:val="1"/>
          <w:color w:val="auto"/>
        </w:rPr>
        <w:t>What was Schlumberger before tax and after-tax return on sales, before minority interest, for the quarter?</w:t>
      </w:r>
    </w:p>
    <w:p>
      <w:pPr>
        <w:spacing w:after="0" w:line="83"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Schlumberger pretax return on sales from continuing operations before charges and credits for the first quarter was 17.3% compared to 14.6% in the fourth quarter. Schlumberger after-tax before minority interest return on sales from continuing operations before charges and credits for the first quarter was 12.9% compared to 12.0% in the fourth quarter.</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Q7)</w:t>
      </w:r>
      <w:r>
        <w:rPr>
          <w:sz w:val="20"/>
          <w:szCs w:val="20"/>
          <w:color w:val="auto"/>
        </w:rPr>
        <w:tab/>
      </w:r>
      <w:r>
        <w:rPr>
          <w:rFonts w:ascii="Arial" w:cs="Arial" w:eastAsia="Arial" w:hAnsi="Arial"/>
          <w:sz w:val="15"/>
          <w:szCs w:val="15"/>
          <w:b w:val="1"/>
          <w:bCs w:val="1"/>
          <w:color w:val="auto"/>
        </w:rPr>
        <w:t>What are the stock option and discounted stock purchase plan (DSPP) expenses?</w:t>
      </w:r>
    </w:p>
    <w:p>
      <w:pPr>
        <w:spacing w:after="0" w:line="83"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Schlumberger has two stock compensation plans – stock option awards and an employee stock purchase plan. Schlumberger started to record stock option expense in the income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20" w:name="page21"/>
    <w:bookmarkEnd w:id="20"/>
    <w:p>
      <w:pPr>
        <w:ind w:left="460"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statement beginning in the second half of 2003, adopting the fair value recognition provisions of SFAS 123 on a prospective basis for grants after January 1, 2003.</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 on the first quarter 2005 net income was $8.8 million ($0.01 per share).</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Q8)</w:t>
      </w:r>
      <w:r>
        <w:rPr>
          <w:sz w:val="20"/>
          <w:szCs w:val="20"/>
          <w:color w:val="auto"/>
        </w:rPr>
        <w:tab/>
      </w:r>
      <w:r>
        <w:rPr>
          <w:rFonts w:ascii="Arial" w:cs="Arial" w:eastAsia="Arial" w:hAnsi="Arial"/>
          <w:sz w:val="15"/>
          <w:szCs w:val="15"/>
          <w:b w:val="1"/>
          <w:bCs w:val="1"/>
          <w:color w:val="auto"/>
        </w:rPr>
        <w:t>How did net debt</w:t>
      </w:r>
      <w:r>
        <w:rPr>
          <w:rFonts w:ascii="Arial" w:cs="Arial" w:eastAsia="Arial" w:hAnsi="Arial"/>
          <w:sz w:val="19"/>
          <w:szCs w:val="19"/>
          <w:b w:val="1"/>
          <w:bCs w:val="1"/>
          <w:color w:val="auto"/>
          <w:vertAlign w:val="superscript"/>
        </w:rPr>
        <w:t>†</w:t>
      </w:r>
      <w:r>
        <w:rPr>
          <w:rFonts w:ascii="Arial" w:cs="Arial" w:eastAsia="Arial" w:hAnsi="Arial"/>
          <w:sz w:val="15"/>
          <w:szCs w:val="15"/>
          <w:b w:val="1"/>
          <w:bCs w:val="1"/>
          <w:color w:val="auto"/>
        </w:rPr>
        <w:t xml:space="preserve"> decrease during the quarter?</w:t>
      </w:r>
    </w:p>
    <w:p>
      <w:pPr>
        <w:spacing w:after="0" w:line="85" w:lineRule="exact"/>
        <w:rPr>
          <w:sz w:val="20"/>
          <w:szCs w:val="20"/>
          <w:color w:val="auto"/>
        </w:rPr>
      </w:pPr>
    </w:p>
    <w:p>
      <w:pPr>
        <w:ind w:left="460" w:right="140"/>
        <w:spacing w:after="0" w:line="251" w:lineRule="auto"/>
        <w:rPr>
          <w:sz w:val="20"/>
          <w:szCs w:val="20"/>
          <w:color w:val="auto"/>
        </w:rPr>
      </w:pPr>
      <w:r>
        <w:rPr>
          <w:rFonts w:ascii="Arial" w:cs="Arial" w:eastAsia="Arial" w:hAnsi="Arial"/>
          <w:sz w:val="18"/>
          <w:szCs w:val="18"/>
          <w:color w:val="auto"/>
        </w:rPr>
        <w:t>After the quarterly dividend payment of $110 million, net debt was $1.30 billion at March 31, 2005, a decrease of $159 million in the quarter, mainly due to liquidity generated by operations, the proceeds from the sale of the Montrouge facility of $230 million, partially offset by the stock buyback of $73 million.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debt</w:t>
      </w:r>
      <w:r>
        <w:rPr>
          <w:rFonts w:ascii="Arial" w:cs="Arial" w:eastAsia="Arial" w:hAnsi="Arial"/>
          <w:sz w:val="18"/>
          <w:szCs w:val="18"/>
          <w:color w:val="auto"/>
        </w:rPr>
        <w:t xml:space="preserve"> is gross debt less cash, short term investments as well as fixed income investments held to maturity.)</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Q9)</w:t>
      </w:r>
      <w:r>
        <w:rPr>
          <w:sz w:val="20"/>
          <w:szCs w:val="20"/>
          <w:color w:val="auto"/>
        </w:rPr>
        <w:tab/>
      </w:r>
      <w:r>
        <w:rPr>
          <w:rFonts w:ascii="Arial" w:cs="Arial" w:eastAsia="Arial" w:hAnsi="Arial"/>
          <w:sz w:val="16"/>
          <w:szCs w:val="16"/>
          <w:b w:val="1"/>
          <w:bCs w:val="1"/>
          <w:color w:val="auto"/>
        </w:rPr>
        <w:t>What was the first quarter Effective Tax Rate (ETR), and what is the ETR guidance for the full year 2005?</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first quarter ETR from continuing operations before charges and credits was 25.4%.</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total year 2005, Schlumberger expects the ETR, before charges and credits, to be in the mid-twenties range.</w:t>
      </w:r>
    </w:p>
    <w:p>
      <w:pPr>
        <w:spacing w:after="0" w:line="77"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The increase compared to the ETR for 2004 is primarily due to a different country mix, with a higher proportion of the operating income derived from North America in both Oilfield Services and WesternGeco.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Q10) What were the changes in interest income and interest expense during the quarter?</w:t>
      </w:r>
    </w:p>
    <w:p>
      <w:pPr>
        <w:spacing w:after="0" w:line="83" w:lineRule="exact"/>
        <w:rPr>
          <w:sz w:val="20"/>
          <w:szCs w:val="20"/>
          <w:color w:val="auto"/>
        </w:rPr>
      </w:pPr>
    </w:p>
    <w:p>
      <w:pPr>
        <w:ind w:left="460" w:right="80"/>
        <w:spacing w:after="0" w:line="325" w:lineRule="auto"/>
        <w:rPr>
          <w:sz w:val="20"/>
          <w:szCs w:val="20"/>
          <w:color w:val="auto"/>
        </w:rPr>
      </w:pPr>
      <w:r>
        <w:rPr>
          <w:rFonts w:ascii="Arial" w:cs="Arial" w:eastAsia="Arial" w:hAnsi="Arial"/>
          <w:sz w:val="16"/>
          <w:szCs w:val="16"/>
          <w:color w:val="auto"/>
        </w:rPr>
        <w:t>Interest income of $19 million increased $3.5 million sequentially and $5.4 million compared to the same quarter of last year. Average investment balance of $2.8 billion increased by $228 million sequentially and decreased $321 million compared to the same quarter of last year.</w:t>
      </w:r>
    </w:p>
    <w:p>
      <w:pPr>
        <w:spacing w:after="0" w:line="1"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Interest expense of $47 million increased $1.8 million sequentially and decreased $22.7 million from the same quarter of last year (excluding the impact of the $73 million charge in 2004 related to the US interest rate swaps). Average debt balance of $4.6 billion increased $67 million sequentially and decreased $2.3 billion compared to the same quarter of last year.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Q11)  What is the difference between Oilfield Services pretax income and the sum of the geographic areas?</w:t>
      </w:r>
    </w:p>
    <w:p>
      <w:pPr>
        <w:spacing w:after="0" w:line="83"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color w:val="auto"/>
        </w:rPr>
        <w:t>The difference of $7 million in the quarter came from Oilfield Services headquarters projects and costs together with Oilfield Services consolidation eliminations.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Q12) What is the difference between Schlumberger pretax income, before charges and interest, and the pretax income of the two business segments?</w:t>
      </w:r>
    </w:p>
    <w:p>
      <w:pPr>
        <w:spacing w:after="0" w:line="117" w:lineRule="exact"/>
        <w:rPr>
          <w:sz w:val="20"/>
          <w:szCs w:val="20"/>
          <w:color w:val="auto"/>
        </w:rPr>
      </w:pPr>
    </w:p>
    <w:p>
      <w:pPr>
        <w:ind w:left="460" w:right="700"/>
        <w:spacing w:after="0" w:line="268" w:lineRule="auto"/>
        <w:rPr>
          <w:sz w:val="20"/>
          <w:szCs w:val="20"/>
          <w:color w:val="auto"/>
        </w:rPr>
      </w:pPr>
      <w:r>
        <w:rPr>
          <w:rFonts w:ascii="Arial" w:cs="Arial" w:eastAsia="Arial" w:hAnsi="Arial"/>
          <w:sz w:val="18"/>
          <w:szCs w:val="18"/>
          <w:color w:val="auto"/>
        </w:rPr>
        <w:t>The $51 million pretax difference during the quarter included items such as corporate headquarters expenses, interest on post-retirement benefits, amortization of identifiable intangibles, and employee stock purchase and stock option costs.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Q13) How does Schlumberger compute basic and fully diluted EPS?</w:t>
      </w:r>
    </w:p>
    <w:p>
      <w:pPr>
        <w:spacing w:after="0" w:line="83"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Basic earnings per share are calculated by dividing net income by the weighted average number of common shares outstanding during the period. Diluted earnings per share are calculated by first adding back to net income the interest expense on the convertible bonds and then dividing this adjusted net income by the weighted average number of common shares outstanding assuming dilution, the calculation of which includes the shares from the conversion of convertible bonds and assumes that all stock options which are in the money are exercised at the beginning of the period and that the proceeds are used by Schlumberger to purchase shares at the average market price for the period.</w:t>
      </w:r>
    </w:p>
    <w:p>
      <w:pPr>
        <w:spacing w:after="0" w:line="21" w:lineRule="exact"/>
        <w:rPr>
          <w:sz w:val="20"/>
          <w:szCs w:val="20"/>
          <w:color w:val="auto"/>
        </w:rPr>
      </w:pPr>
    </w:p>
    <w:p>
      <w:pPr>
        <w:ind w:left="460" w:right="140"/>
        <w:spacing w:after="0" w:line="325" w:lineRule="auto"/>
        <w:rPr>
          <w:sz w:val="20"/>
          <w:szCs w:val="20"/>
          <w:color w:val="auto"/>
        </w:rPr>
      </w:pPr>
      <w:r>
        <w:rPr>
          <w:rFonts w:ascii="Arial" w:cs="Arial" w:eastAsia="Arial" w:hAnsi="Arial"/>
          <w:sz w:val="16"/>
          <w:szCs w:val="16"/>
          <w:color w:val="auto"/>
        </w:rPr>
        <w:t>If adding the interest expense on the convertible bonds back to net income and including the shares from the assumed conversion of the convertible bonds has an anti-dilutive effect on the diluted EPS calculation, then the effects of the convertible bonds are excluded from the calculation.</w:t>
      </w:r>
    </w:p>
    <w:p>
      <w:pPr>
        <w:spacing w:after="0" w:line="1"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The shares from the potential conversion of the convertible bonds amount to 19 million and the interest expense on the convertible bonds was $7.2 million in the first quarter.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Q14) What was the Schlumberger annualized Return On Capital Employed (ROCE</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for the quarter?</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Annualized ROCE reached 21.2% in the first quarter of 2005 versus 19.6% in the fourth quarter of 2004 and 12.7% in the first quarter of 2004.</w:t>
      </w:r>
    </w:p>
    <w:p>
      <w:pPr>
        <w:spacing w:after="0" w:line="80" w:lineRule="exact"/>
        <w:rPr>
          <w:sz w:val="20"/>
          <w:szCs w:val="20"/>
          <w:color w:val="auto"/>
        </w:rPr>
      </w:pPr>
    </w:p>
    <w:p>
      <w:pPr>
        <w:ind w:left="460" w:right="140" w:firstLine="4"/>
        <w:spacing w:after="0" w:line="339" w:lineRule="auto"/>
        <w:tabs>
          <w:tab w:leader="none" w:pos="592"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ROCE </w:t>
      </w:r>
      <w:r>
        <w:rPr>
          <w:rFonts w:ascii="Arial" w:cs="Arial" w:eastAsia="Arial" w:hAnsi="Arial"/>
          <w:sz w:val="16"/>
          <w:szCs w:val="16"/>
          <w:color w:val="auto"/>
        </w:rPr>
        <w:t>is computed as [Net Income from continuing operations excluding charges and credits + Minority Interest + Interest Expense - Interest Income -</w:t>
      </w:r>
      <w:r>
        <w:rPr>
          <w:rFonts w:ascii="Arial" w:cs="Arial" w:eastAsia="Arial" w:hAnsi="Arial"/>
          <w:sz w:val="16"/>
          <w:szCs w:val="16"/>
          <w:b w:val="1"/>
          <w:bCs w:val="1"/>
          <w:color w:val="auto"/>
        </w:rPr>
        <w:t xml:space="preserve"> </w:t>
      </w:r>
      <w:r>
        <w:rPr>
          <w:rFonts w:ascii="Arial" w:cs="Arial" w:eastAsia="Arial" w:hAnsi="Arial"/>
          <w:sz w:val="16"/>
          <w:szCs w:val="16"/>
          <w:color w:val="auto"/>
        </w:rPr>
        <w:t>Tax benefit on interest expense] divided by the quarterly average of [Shareholders’ Equity + Net Debt + Minority Interest].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 #</w:t>
      </w:r>
    </w:p>
    <w:p>
      <w:pPr>
        <w:spacing w:after="0" w:line="15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this Supplemental Information document also includes non-GAAP financial measures (as defined under the SEC’s Regulation G). The following is a reconciliation of these non-GAAP measures to the comparable GAAP measure: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15"/>
          </w:tcPr>
          <w:p>
            <w:pPr>
              <w:jc w:val="right"/>
              <w:ind w:right="300"/>
              <w:spacing w:after="0"/>
              <w:rPr>
                <w:sz w:val="20"/>
                <w:szCs w:val="20"/>
                <w:color w:val="auto"/>
              </w:rPr>
            </w:pPr>
            <w:r>
              <w:rPr>
                <w:rFonts w:ascii="Arial" w:cs="Arial" w:eastAsia="Arial" w:hAnsi="Arial"/>
                <w:sz w:val="14"/>
                <w:szCs w:val="14"/>
                <w:b w:val="1"/>
                <w:bCs w:val="1"/>
                <w:color w:val="auto"/>
                <w:w w:val="89"/>
              </w:rPr>
              <w:t>(Stated in millions except per share amounts)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8"/>
              </w:rPr>
              <w:t>First Quarter 2005</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Pretax</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Tax</w:t>
            </w:r>
          </w:p>
        </w:tc>
        <w:tc>
          <w:tcPr>
            <w:tcW w:w="8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Min Int</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 per Consolidated Statement of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w:t>
            </w:r>
          </w:p>
        </w:tc>
        <w:tc>
          <w:tcPr>
            <w:tcW w:w="6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$ 137.7</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3"/>
              </w:rPr>
              <w:t>$ (17.1)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rPr>
              <w:t>Add back Charges &amp; Credits: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 Gain on sale of Montrouge facility</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(145.7)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(145.7)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gridSpan w:val="3"/>
          </w:tcPr>
          <w:p>
            <w:pPr>
              <w:ind w:left="420"/>
              <w:spacing w:after="0"/>
              <w:rPr>
                <w:sz w:val="20"/>
                <w:szCs w:val="20"/>
                <w:color w:val="auto"/>
              </w:rPr>
            </w:pPr>
            <w:r>
              <w:rPr>
                <w:rFonts w:ascii="Arial" w:cs="Arial" w:eastAsia="Arial" w:hAnsi="Arial"/>
                <w:sz w:val="18"/>
                <w:szCs w:val="18"/>
                <w:color w:val="auto"/>
              </w:rPr>
              <w:t>- Real estate related charges</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9"/>
                <w:szCs w:val="19"/>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9"/>
                <w:szCs w:val="19"/>
                <w:color w:val="auto"/>
              </w:rPr>
            </w:pPr>
          </w:p>
        </w:tc>
        <w:tc>
          <w:tcPr>
            <w:tcW w:w="8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Continuing Operations before charges &amp; credits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6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$ 138.5</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3"/>
              </w:rPr>
              <w:t>$ (17.1)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Before</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6"/>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Charges &amp;</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60" w:type="dxa"/>
            <w:vAlign w:val="bottom"/>
            <w:gridSpan w:val="3"/>
          </w:tcPr>
          <w:p>
            <w:pPr>
              <w:ind w:left="560"/>
              <w:spacing w:after="0"/>
              <w:rPr>
                <w:sz w:val="20"/>
                <w:szCs w:val="20"/>
                <w:color w:val="auto"/>
              </w:rPr>
            </w:pPr>
            <w:r>
              <w:rPr>
                <w:rFonts w:ascii="Arial" w:cs="Arial" w:eastAsia="Arial" w:hAnsi="Arial"/>
                <w:sz w:val="14"/>
                <w:szCs w:val="14"/>
                <w:b w:val="1"/>
                <w:bCs w:val="1"/>
                <w:color w:val="auto"/>
              </w:rPr>
              <w:t>Continuing operations</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6"/>
              </w:rPr>
              <w:t>Credits</w:t>
            </w:r>
          </w:p>
        </w:tc>
        <w:tc>
          <w:tcPr>
            <w:tcW w:w="400" w:type="dxa"/>
            <w:vAlign w:val="bottom"/>
          </w:tcPr>
          <w:p>
            <w:pPr>
              <w:spacing w:after="0"/>
              <w:rPr>
                <w:sz w:val="15"/>
                <w:szCs w:val="15"/>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GAAP</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gridSpan w:val="3"/>
          </w:tcPr>
          <w:p>
            <w:pPr>
              <w:spacing w:after="0"/>
              <w:rPr>
                <w:sz w:val="8"/>
                <w:szCs w:val="8"/>
                <w:color w:val="auto"/>
              </w:rPr>
            </w:pPr>
          </w:p>
        </w:tc>
        <w:tc>
          <w:tcPr>
            <w:tcW w:w="300" w:type="dxa"/>
            <w:vAlign w:val="bottom"/>
            <w:gridSpan w:val="2"/>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gridSpan w:val="4"/>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1660" w:type="dxa"/>
            <w:vAlign w:val="bottom"/>
            <w:tcBorders>
              <w:top w:val="single" w:sz="8" w:color="auto"/>
            </w:tcBorders>
          </w:tcPr>
          <w:p>
            <w:pPr>
              <w:spacing w:after="0"/>
              <w:rPr>
                <w:sz w:val="8"/>
                <w:szCs w:val="8"/>
                <w:color w:val="auto"/>
              </w:rPr>
            </w:pPr>
          </w:p>
        </w:tc>
        <w:tc>
          <w:tcPr>
            <w:tcW w:w="6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return on sales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17.3%</w:t>
            </w:r>
          </w:p>
        </w:tc>
        <w:tc>
          <w:tcPr>
            <w:tcW w:w="9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After tax before minority interest return on sales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6"/>
          </w:tcPr>
          <w:p>
            <w:pPr>
              <w:jc w:val="right"/>
              <w:ind w:right="160"/>
              <w:spacing w:after="0"/>
              <w:rPr>
                <w:sz w:val="20"/>
                <w:szCs w:val="20"/>
                <w:color w:val="auto"/>
              </w:rPr>
            </w:pPr>
            <w:r>
              <w:rPr>
                <w:rFonts w:ascii="Arial" w:cs="Arial" w:eastAsia="Arial" w:hAnsi="Arial"/>
                <w:sz w:val="18"/>
                <w:szCs w:val="18"/>
                <w:color w:val="auto"/>
              </w:rPr>
              <w:t>12.9%</w:t>
            </w:r>
          </w:p>
        </w:tc>
        <w:tc>
          <w:tcPr>
            <w:tcW w:w="960" w:type="dxa"/>
            <w:vAlign w:val="bottom"/>
            <w:gridSpan w:val="5"/>
          </w:tcPr>
          <w:p>
            <w:pPr>
              <w:jc w:val="right"/>
              <w:ind w:right="20"/>
              <w:spacing w:after="0"/>
              <w:rPr>
                <w:sz w:val="20"/>
                <w:szCs w:val="20"/>
                <w:color w:val="auto"/>
              </w:rPr>
            </w:pPr>
            <w:r>
              <w:rPr>
                <w:rFonts w:ascii="Arial" w:cs="Arial" w:eastAsia="Arial" w:hAnsi="Arial"/>
                <w:sz w:val="18"/>
                <w:szCs w:val="18"/>
                <w:color w:val="auto"/>
              </w:rPr>
              <w:t>17.1%</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25.4%</w:t>
            </w:r>
          </w:p>
        </w:tc>
        <w:tc>
          <w:tcPr>
            <w:tcW w:w="9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20.3%</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70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   0.65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-1171575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-1171575</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-1171575</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-1171575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-1171575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-1171575</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-1171575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-1171575</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-1171575</wp:posOffset>
            </wp:positionV>
            <wp:extent cx="62166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1665" cy="2984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in the fourth quarter of 2004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This question and answer document, the first quarter 2005 earnings release and other statements we make contain forward looking statements, which include any statements that are not historical facts, such as our expectations regarding business outlook; growth for Schlumberger as a whole and for each of Oilfield Services and WesternGeco; oil and natural gas demand and production growth; operating and capital expenditures by Schlumberger and the oil and gas industry; the business strategies of Schlumberger’s customers; and future results of operations. These statements involve risks and uncertainties, including, but not limited to, the global economy; changes in exploration and production spending by Schlumberger’s customers and changes in the level of oil and natural gas exploration and development; general economic and business conditions in key regions of the world; political and economic uncertainty and socio-political unrest; and other factors detailed in our first quarter 2005 earnings release, our most recent Form 10-K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2"/>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upperLetter"/>
      <w:start w:val="1"/>
    </w:lvl>
  </w:abstractNum>
  <w:abstractNum w:abstractNumId="13">
    <w:nsid w:val="1BEFD79F"/>
    <w:multiLevelType w:val="hybridMultilevel"/>
    <w:lvl w:ilvl="0">
      <w:lvlJc w:val="left"/>
      <w:lvlText w:val="%1)"/>
      <w:numFmt w:val="upperLetter"/>
      <w:start w:val="2"/>
    </w:lvl>
  </w:abstractNum>
  <w:abstractNum w:abstractNumId="14">
    <w:nsid w:val="41A7C4C9"/>
    <w:multiLevelType w:val="hybridMultilevel"/>
    <w:lvl w:ilvl="0">
      <w:lvlJc w:val="left"/>
      <w:lvlText w:val="%1)"/>
      <w:numFmt w:val="upperLetter"/>
      <w:start w:val="3"/>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2019-12-13T06:29:40Z</dcterms:created>
  <dcterms:modified xsi:type="dcterms:W3CDTF">2019-12-13T06:29:40Z</dcterms:modified>
</cp:coreProperties>
</file>