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9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3"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Filed by a Party other than the Registrant</w:t>
        <w:tab/>
        <w:t>[_]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Preliminary Proxy Statement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[_]Confidential, for Use of the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Commission Only (as permitted by Rule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14a-6(e)(2))</w:t>
      </w:r>
    </w:p>
    <w:p>
      <w:pPr>
        <w:spacing w:after="0" w:line="173" w:lineRule="exact"/>
        <w:rPr>
          <w:sz w:val="24"/>
          <w:szCs w:val="24"/>
          <w:color w:val="auto"/>
        </w:rPr>
      </w:pPr>
    </w:p>
    <w:p>
      <w:pPr>
        <w:sectPr>
          <w:pgSz w:w="11900" w:h="16838" w:orient="portrait"/>
          <w:cols w:equalWidth="0" w:num="2">
            <w:col w:w="2760" w:space="600"/>
            <w:col w:w="687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Definitive Proxy Statement</w:t>
      </w:r>
    </w:p>
    <w:p>
      <w:pPr>
        <w:spacing w:after="0" w:line="173" w:lineRule="exact"/>
        <w:rPr>
          <w:sz w:val="24"/>
          <w:szCs w:val="24"/>
          <w:color w:val="auto"/>
        </w:rPr>
      </w:pPr>
    </w:p>
    <w:p>
      <w:pPr>
        <w:sectPr>
          <w:pgSz w:w="11900" w:h="16838" w:orient="portrait"/>
          <w:cols w:equalWidth="0" w:num="2">
            <w:col w:w="260" w:space="180"/>
            <w:col w:w="97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Definitive Additional Materials</w:t>
      </w:r>
    </w:p>
    <w:p>
      <w:pPr>
        <w:spacing w:after="0" w:line="173" w:lineRule="exact"/>
        <w:rPr>
          <w:sz w:val="24"/>
          <w:szCs w:val="24"/>
          <w:color w:val="auto"/>
        </w:rPr>
      </w:pPr>
    </w:p>
    <w:p>
      <w:pPr>
        <w:sectPr>
          <w:pgSz w:w="11900" w:h="16838" w:orient="portrait"/>
          <w:cols w:equalWidth="0" w:num="2">
            <w:col w:w="260" w:space="180"/>
            <w:col w:w="97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Soliciting Material Pursuant to Section 240.14a-11(c) or Section 240.14a-12</w:t>
      </w:r>
    </w:p>
    <w:p>
      <w:pPr>
        <w:spacing w:after="0" w:line="173" w:lineRule="exact"/>
        <w:rPr>
          <w:sz w:val="24"/>
          <w:szCs w:val="24"/>
          <w:color w:val="auto"/>
        </w:rPr>
      </w:pPr>
    </w:p>
    <w:p>
      <w:pPr>
        <w:sectPr>
          <w:pgSz w:w="11900" w:h="16838" w:orient="portrait"/>
          <w:cols w:equalWidth="0" w:num="2">
            <w:col w:w="260" w:space="180"/>
            <w:col w:w="9799"/>
          </w:cols>
          <w:pgMar w:left="220" w:top="561" w:right="1440" w:bottom="1440" w:gutter="0" w:footer="0" w:header="0"/>
          <w:type w:val="continuous"/>
        </w:sectPr>
      </w:pPr>
    </w:p>
    <w:p>
      <w:pPr>
        <w:jc w:val="center"/>
        <w:ind w:right="3519"/>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(Name of Registrant as Specified In Its Certificate)</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[X]No fee required.</w:t>
      </w:r>
    </w:p>
    <w:p>
      <w:pPr>
        <w:spacing w:after="0" w:line="173" w:lineRule="exact"/>
        <w:rPr>
          <w:sz w:val="24"/>
          <w:szCs w:val="24"/>
          <w:color w:val="auto"/>
        </w:rPr>
      </w:pPr>
    </w:p>
    <w:p>
      <w:pPr>
        <w:ind w:left="260" w:right="3419" w:hanging="257"/>
        <w:spacing w:after="0" w:line="255" w:lineRule="auto"/>
        <w:rPr>
          <w:sz w:val="20"/>
          <w:szCs w:val="20"/>
          <w:color w:val="auto"/>
        </w:rPr>
      </w:pPr>
      <w:r>
        <w:rPr>
          <w:rFonts w:ascii="Courier New" w:cs="Courier New" w:eastAsia="Courier New" w:hAnsi="Courier New"/>
          <w:sz w:val="14"/>
          <w:szCs w:val="14"/>
          <w:color w:val="auto"/>
        </w:rPr>
        <w:t>[_]$125 per Exchange Act Rules 0-11(c)(1)(ii), 14a-6(i)(1), 14a-6(i)(2) or Item 22(a)(2) of Schedule 14A.</w:t>
      </w:r>
    </w:p>
    <w:p>
      <w:pPr>
        <w:spacing w:after="0" w:line="160" w:lineRule="exact"/>
        <w:rPr>
          <w:sz w:val="24"/>
          <w:szCs w:val="24"/>
          <w:color w:val="auto"/>
        </w:rPr>
      </w:pPr>
    </w:p>
    <w:p>
      <w:pPr>
        <w:ind w:left="260" w:right="4119" w:hanging="257"/>
        <w:spacing w:after="0" w:line="255" w:lineRule="auto"/>
        <w:rPr>
          <w:sz w:val="20"/>
          <w:szCs w:val="20"/>
          <w:color w:val="auto"/>
        </w:rPr>
      </w:pPr>
      <w:r>
        <w:rPr>
          <w:rFonts w:ascii="Courier New" w:cs="Courier New" w:eastAsia="Courier New" w:hAnsi="Courier New"/>
          <w:sz w:val="14"/>
          <w:szCs w:val="14"/>
          <w:color w:val="auto"/>
        </w:rPr>
        <w:t>[_]$500 per each party to the controversy pursuant to Exchange Act Rule 14a-6(i)(3).</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[_]Fee computed on table below per Exchange Act Rules 14a-6(i)(4) and 0-11.</w:t>
      </w:r>
    </w:p>
    <w:p>
      <w:pPr>
        <w:spacing w:after="0" w:line="173" w:lineRule="exact"/>
        <w:rPr>
          <w:sz w:val="24"/>
          <w:szCs w:val="24"/>
          <w:color w:val="auto"/>
        </w:rPr>
      </w:pPr>
    </w:p>
    <w:p>
      <w:pPr>
        <w:ind w:left="620" w:hanging="267"/>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620" w:right="3679" w:hanging="267"/>
        <w:spacing w:after="0" w:line="252" w:lineRule="auto"/>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Fee paid previously with preliminary materials.</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[_]Check box if any part of the fee is offset as provided by Exchange Act Rule</w:t>
      </w:r>
    </w:p>
    <w:p>
      <w:pPr>
        <w:spacing w:after="0" w:line="7" w:lineRule="exact"/>
        <w:rPr>
          <w:sz w:val="24"/>
          <w:szCs w:val="24"/>
          <w:color w:val="auto"/>
        </w:rPr>
      </w:pPr>
    </w:p>
    <w:p>
      <w:pPr>
        <w:ind w:left="260" w:right="3599"/>
        <w:spacing w:after="0" w:line="252" w:lineRule="auto"/>
        <w:rPr>
          <w:sz w:val="20"/>
          <w:szCs w:val="20"/>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620" w:hanging="267"/>
        <w:spacing w:after="0"/>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239"/>
          </w:cols>
          <w:pgMar w:left="220" w:top="561" w:right="1440" w:bottom="1440" w:gutter="0" w:footer="0" w:header="0"/>
          <w:type w:val="continuous"/>
        </w:sectPr>
      </w:pPr>
    </w:p>
    <w:bookmarkStart w:id="1" w:name="page2"/>
    <w:bookmarkEnd w:id="1"/>
    <w:p>
      <w:pPr>
        <w:jc w:val="right"/>
        <w:ind w:right="3339"/>
        <w:spacing w:after="0"/>
        <w:rPr>
          <w:sz w:val="20"/>
          <w:szCs w:val="20"/>
          <w:color w:val="auto"/>
        </w:rPr>
      </w:pPr>
      <w:r>
        <w:rPr>
          <w:rFonts w:ascii="Courier New" w:cs="Courier New" w:eastAsia="Courier New" w:hAnsi="Courier New"/>
          <w:sz w:val="14"/>
          <w:szCs w:val="14"/>
          <w:color w:val="auto"/>
        </w:rPr>
        <w:t>Schlumberger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NOTICE OF</w:t>
      </w:r>
    </w:p>
    <w:p>
      <w:pPr>
        <w:spacing w:after="0" w:line="17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ANNUAL GENERAL MEETING OF STOCKHOLDERS</w:t>
      </w:r>
    </w:p>
    <w:p>
      <w:pPr>
        <w:spacing w:after="0" w:line="173"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APRIL 10, 2002</w:t>
      </w:r>
    </w:p>
    <w:p>
      <w:pPr>
        <w:spacing w:after="0" w:line="17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Please sign your proxy card and return it in the enclosed envelope so that you may be represented at the Meeting.</w:t>
      </w:r>
    </w:p>
    <w:p>
      <w:pPr>
        <w:sectPr>
          <w:pgSz w:w="11900" w:h="16838" w:orient="portrait"/>
          <w:cols w:equalWidth="0" w:num="1">
            <w:col w:w="9199"/>
          </w:cols>
          <w:pgMar w:left="126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153 East 53 Street, 57th Floor</w:t>
      </w:r>
      <w:r>
        <w:rPr>
          <w:sz w:val="20"/>
          <w:szCs w:val="20"/>
          <w:color w:val="auto"/>
        </w:rPr>
        <w:tab/>
      </w:r>
      <w:r>
        <w:rPr>
          <w:rFonts w:ascii="Courier New" w:cs="Courier New" w:eastAsia="Courier New" w:hAnsi="Courier New"/>
          <w:sz w:val="14"/>
          <w:szCs w:val="14"/>
          <w:color w:val="auto"/>
        </w:rPr>
        <w:t>Schlumberger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10022-4624</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 rue Saint-Dominique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75007 Paris, France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Parkstraat 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2514 JG The Hague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ANNUAL GENERAL MEETING OF STOCKHOLDERS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Be Held April 10, 2002</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6, 2002</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Annual General Meeting of Stockholders of Schlumberger Limited (Schlumberger N.V.) will be held at the Avila Beach Hotel, Penstraat 130, Willemstad, Curacao, Netherlands Antilles, on Wednesday, April 10, 2002 at 10:30 in the morning (Curacao time), for the following purposes:</w:t>
      </w:r>
    </w:p>
    <w:p>
      <w:pPr>
        <w:spacing w:after="0" w:line="162"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11 directors.</w:t>
      </w:r>
    </w:p>
    <w:p>
      <w:pPr>
        <w:spacing w:after="0" w:line="17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on the course of business during the year ended December 31, 2001, to adopt and approve the Company's Consolidated Balance Sheet as at December 31, 2001, its Consolidated Statement of Income for the year ended December 31, 2001, and the declaration of dividends by the Board of Directors as reflected in the Company's 2001 Annual Report to Stockholders.</w:t>
      </w:r>
    </w:p>
    <w:p>
      <w:pPr>
        <w:spacing w:after="0" w:line="164" w:lineRule="exact"/>
        <w:rPr>
          <w:rFonts w:ascii="Courier New" w:cs="Courier New" w:eastAsia="Courier New" w:hAnsi="Courier New"/>
          <w:sz w:val="14"/>
          <w:szCs w:val="14"/>
          <w:color w:val="auto"/>
        </w:rPr>
      </w:pPr>
    </w:p>
    <w:p>
      <w:pPr>
        <w:ind w:left="440" w:right="3679"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PricewaterhouseCoopers LLP as independent public accountants to audit the accounts of the Company for 2002.</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Action will also be taken upon such other matters as may come properly before the meeting.</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close of business on February 21, 2002 has been fixed as the record date for the meeting. All holders of common stock of record at the close of business on that date are entitled to vote at the meeting.</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James L. Gunderson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782"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6, 2002</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Schlumberger Limited (Schlumberger N.V.) (the "Company") of proxies to be voted at the 2002 Annual General Meeting of Stockholders. The approximate mailing date of this proxy statement is March 6, 2002.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Schlumberger 2001 Annual Report to Stockholders is included in this package as a separate document. The Company's Consolidated Balance Sheet as at December 31, 2001, its Consolidated Statement of Income for the year ended December 31, 2001 and the supplemental financial information with respect to dividends included in the Annual Report are incorporated by reference as part of this proxy soliciting material.</w:t>
      </w:r>
    </w:p>
    <w:p>
      <w:pPr>
        <w:spacing w:after="0" w:line="164"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Procedure</w:t>
      </w:r>
    </w:p>
    <w:p>
      <w:pPr>
        <w:spacing w:after="0" w:line="17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Each stockholder of record at the close of business on February 21, 2002 is entitled to one vote for each share registered in the stockholder's name. On that date there were ___,___,___ outstanding shares of common stock of Schlumberger, excluding __,___,___ shares held in treasury.</w:t>
      </w:r>
    </w:p>
    <w:p>
      <w:pPr>
        <w:spacing w:after="0" w:line="162"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6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Shares cannot be voted at the meeting unless the owner of record is present in person or is represented by proxy. Schlumberger is incorporated in the Netherlands Antilles and, as required by Netherlands Antilles law, meetings of stockholders must be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4" w:name="page5"/>
    <w:bookmarkEnd w:id="4"/>
    <w:p>
      <w:pPr>
        <w:ind w:left="2420"/>
        <w:spacing w:after="0"/>
        <w:rPr>
          <w:sz w:val="20"/>
          <w:szCs w:val="20"/>
          <w:color w:val="auto"/>
        </w:rPr>
      </w:pPr>
      <w:r>
        <w:rPr>
          <w:rFonts w:ascii="Courier New" w:cs="Courier New" w:eastAsia="Courier New" w:hAnsi="Courier New"/>
          <w:sz w:val="14"/>
          <w:szCs w:val="14"/>
          <w:color w:val="auto"/>
        </w:rPr>
        <w:t>1. Election of Directors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It is intended to fix the number of directors at 11 and to elect a Board of Directors of 11 members, each to hold office until the next Annual General Meeting of Stockholders and until a director's successor is elected and qualified or until a director's death, resignation or removal. Each of the nominees, except Jamie S. Gorelick, Andrew Gould and Adrian Lajous, is now a director and was previously elected by the stockholders. Don Ackerman, a director since 1982, Victor Grijalva, a director since 1998, John Mayo, a director since 2001 and Yoshihiko Wakumoto, a director since 1990 are not standing for reelection.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w:t>
      </w:r>
    </w:p>
    <w:p>
      <w:pPr>
        <w:spacing w:after="0" w:line="329"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A majority of the votes cast is required to elect each of the nominees for director.</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Board of Directors Recommends a Vote FOR All Nominees.</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9180" w:type="dxa"/>
            <w:vAlign w:val="bottom"/>
          </w:tcPr>
          <w:p>
            <w:pPr>
              <w:ind w:left="2500"/>
              <w:spacing w:after="0"/>
              <w:rPr>
                <w:sz w:val="20"/>
                <w:szCs w:val="20"/>
                <w:color w:val="auto"/>
              </w:rPr>
            </w:pPr>
            <w:r>
              <w:rPr>
                <w:rFonts w:ascii="Courier New" w:cs="Courier New" w:eastAsia="Courier New" w:hAnsi="Courier New"/>
                <w:sz w:val="14"/>
                <w:szCs w:val="14"/>
                <w:color w:val="auto"/>
              </w:rPr>
              <w:t>Nominee, Age and Five-Year Business Experience</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Since</w:t>
            </w:r>
          </w:p>
        </w:tc>
      </w:tr>
      <w:tr>
        <w:trPr>
          <w:trHeight w:val="166"/>
        </w:trPr>
        <w:tc>
          <w:tcPr>
            <w:tcW w:w="918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497"/>
        </w:trPr>
        <w:tc>
          <w:tcPr>
            <w:tcW w:w="9180" w:type="dxa"/>
            <w:vAlign w:val="bottom"/>
          </w:tcPr>
          <w:p>
            <w:pPr>
              <w:spacing w:after="0"/>
              <w:rPr>
                <w:sz w:val="20"/>
                <w:szCs w:val="20"/>
                <w:color w:val="auto"/>
              </w:rPr>
            </w:pPr>
            <w:r>
              <w:rPr>
                <w:rFonts w:ascii="Courier New" w:cs="Courier New" w:eastAsia="Courier New" w:hAnsi="Courier New"/>
                <w:sz w:val="14"/>
                <w:szCs w:val="14"/>
                <w:color w:val="auto"/>
              </w:rPr>
              <w:t>D. EUAN BAIRD, 64; Chairman and Chief Executive Officer since October 1986. (1)...........................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JOHN DEUTCH, 63; Institute Professor, Massachusetts Institute of Technology, Cambridge, Massachusetts</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since January 1997;  Director of U.S. Central Intelligence May 1995 to December 1996; Director of</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Schlumberger Limited, May 1987 to 1993. (2)............................................................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JAMIE S. GORELICK, 51;  Vice Chair of Fannie Mae, the largest source of financing for U.S. home</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mortgages, since May 1997; Deputy General of the United States, March 1993 to</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April 1997, both in Washington D.C. (3)................................................................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ANDREW GOULD, 55; Executive Vice President Oilfield Services since January 1999, Executive Vice</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President Oilfield Products, February 1998 to January 1999; President, Wireline &amp; Testing,</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October 1993 to February 1998..........................................................................</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ADRIAN LAJOUS, 58; Senior Energy Advisor, McKinsey &amp; Company, Houston, Texas, since January 2001;</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Special Advisor to the President of Mexico (international oil matters), January 2000 to November 2000;</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Director and CEO, Pemex, Mexico's national oil company from 1990 to 1999. (4)..........................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ANDRE LEVY-LANG, 64; Independent Investor since November 1999; Chairman of the Executive Board of</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Paribas, an international banking group, May 1998 to August 1999; Chairman of the Board of Management</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of Compagnie Financiere de Paribas from June 1990 until May 1998, Paris. (5). .........................</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WILLIAM T. McCORMICK, JR., 57; Chairman and Chief Executive Officer,  CMS Energy Corp., a diversified</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energy company, Dearborn, Michigan. (6)................................................................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DIDIER PRIMAT, 57; President, Primwest Holding N.V., an investment management company, Curacao, N.A.(7).</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NICOLAS SEYDOUX, 62; Chairman and Chief Executive Officer, Gaumont, a French film-making enterprise,</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Paris. (7).............................................................................................</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LINDA GILLESPIE STUNTZ, 47; Partner, law firm of Stuntz, Davis &amp; Staffier P.C., since February 1995;</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Partner, law firm of Van Ness Feldman,  P.C., March 1993 to February 1995, both in Washington, D.C.(8).</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9180" w:type="dxa"/>
            <w:vAlign w:val="bottom"/>
          </w:tcPr>
          <w:p>
            <w:pPr>
              <w:spacing w:after="0"/>
              <w:rPr>
                <w:sz w:val="20"/>
                <w:szCs w:val="20"/>
                <w:color w:val="auto"/>
              </w:rPr>
            </w:pPr>
            <w:r>
              <w:rPr>
                <w:rFonts w:ascii="Courier New" w:cs="Courier New" w:eastAsia="Courier New" w:hAnsi="Courier New"/>
                <w:sz w:val="14"/>
                <w:szCs w:val="14"/>
                <w:color w:val="auto"/>
              </w:rPr>
              <w:t>SVEN ULLRING, 66; Independent Adviser since June 2000; President and Chief Executive Officer, Det Norske</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Veritas, provider of safety, quality and reliability services to maritime, offshore and other</w:t>
            </w:r>
          </w:p>
        </w:tc>
        <w:tc>
          <w:tcPr>
            <w:tcW w:w="740" w:type="dxa"/>
            <w:vAlign w:val="bottom"/>
          </w:tcPr>
          <w:p>
            <w:pPr>
              <w:spacing w:after="0"/>
              <w:rPr>
                <w:sz w:val="14"/>
                <w:szCs w:val="14"/>
                <w:color w:val="auto"/>
              </w:rPr>
            </w:pPr>
          </w:p>
        </w:tc>
      </w:tr>
      <w:tr>
        <w:trPr>
          <w:trHeight w:val="166"/>
        </w:trPr>
        <w:tc>
          <w:tcPr>
            <w:tcW w:w="9180" w:type="dxa"/>
            <w:vAlign w:val="bottom"/>
          </w:tcPr>
          <w:p>
            <w:pPr>
              <w:ind w:left="260"/>
              <w:spacing w:after="0"/>
              <w:rPr>
                <w:sz w:val="20"/>
                <w:szCs w:val="20"/>
                <w:color w:val="auto"/>
              </w:rPr>
            </w:pPr>
            <w:r>
              <w:rPr>
                <w:rFonts w:ascii="Courier New" w:cs="Courier New" w:eastAsia="Courier New" w:hAnsi="Courier New"/>
                <w:sz w:val="14"/>
                <w:szCs w:val="14"/>
                <w:color w:val="auto"/>
              </w:rPr>
              <w:t>industries from July 1985 through May 2000, Hovik, Norway. (9).........................................</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1990</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 Mr. Baird is a director of Scottish Power, a company which supplies gas, electricity and water services in the United Kingdom and Western United States; Societe Generale Group, an international banking group; and AREVA, a nuclear power and connectors company, and a trustee of Haven Capital Management Trust.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 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 Ms. Gorelick is a director of United Technologies Corporation, a company which provides high technology products and services to the aerospace industry where she serves on its Audit, Finance and Public Issues Review Committees, and serves on the Harvard Board of Overseers, the John D. and Catherine T. MacArthur Foundation, the Boards of America's Promise and the Carnegie Endowment for International Peace, and is a member of the Council on Foreign Relations and the Central Intelligence Agency's National Security Advisory Panel</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 Mr. Lajous is President of Petrometrica, an energy consulting company, Mexico City; President of Oxford Institute for Energy Studies, Oxford, U.K.; and Senior Energy Advisor at Morgan Stanley, London.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5" w:name="page6"/>
    <w:bookmarkEnd w:id="5"/>
    <w:p>
      <w:pPr>
        <w:jc w:val="both"/>
        <w:ind w:right="3339" w:firstLine="8"/>
        <w:spacing w:after="0" w:line="252"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 director and member of the Compensation Committee of AGF, a French insurance company and a director of Dexia, a Belgian financial services company.</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McCormick is Chairman of Consumers Energy, a utility company; and a director of Bank One, Inc., a regional bank holding company, and Rockwell Automation Inc., a diversified producer of, among others, electronic, industrial automation and avionics products.</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Primat and Mr. Seydoux are cousins.</w:t>
      </w:r>
    </w:p>
    <w:p>
      <w:pPr>
        <w:spacing w:after="0" w:line="172"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Mrs. Stuntz is a director of American Electric Power Company, Inc., an electric and power holding company, where she is Chairman of its Finance Committee and is a member of its Executive, Public Policy, and Directors Committees; and a director of the Electricity Innovation Institute, a nonprofit public benefit corporation engaged in research and technologies related to electricity production, transmission, distribution and utilization.</w:t>
      </w:r>
    </w:p>
    <w:p>
      <w:pPr>
        <w:spacing w:after="0" w:line="164" w:lineRule="exact"/>
        <w:rPr>
          <w:rFonts w:ascii="Courier New" w:cs="Courier New" w:eastAsia="Courier New" w:hAnsi="Courier New"/>
          <w:sz w:val="14"/>
          <w:szCs w:val="14"/>
          <w:color w:val="auto"/>
        </w:rPr>
      </w:pPr>
    </w:p>
    <w:p>
      <w:pPr>
        <w:jc w:val="both"/>
        <w:ind w:right="3419" w:firstLine="8"/>
        <w:spacing w:after="0" w:line="251"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Ullring is Chairman of the Supervisory Board of Norsk Hydro, an energy, fertilizer and metals company; Chairman of the Supervisory Board of Storebrand, an insurance company; and Chairman of the Board of the Environmental Forum, all in Oslo, Norway; and a member of the Board of Keppel Corporation, a real estate development, shipbuilding and telecommunications company in Singapore.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with respect to persons known by the Company to be the beneficial owner of 5% or more of the Common Stock.</w:t>
      </w:r>
    </w:p>
    <w:p>
      <w:pPr>
        <w:spacing w:after="0" w:line="16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Beneficial Ownership</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of Common Stock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tabs>
          <w:tab w:leader="none" w:pos="3960" w:val="left"/>
          <w:tab w:leader="none" w:pos="5840" w:val="left"/>
        </w:tabs>
        <w:rPr>
          <w:sz w:val="20"/>
          <w:szCs w:val="20"/>
          <w:color w:val="auto"/>
        </w:rPr>
      </w:pPr>
      <w:r>
        <w:rPr>
          <w:rFonts w:ascii="Courier New" w:cs="Courier New" w:eastAsia="Courier New" w:hAnsi="Courier New"/>
          <w:sz w:val="14"/>
          <w:szCs w:val="14"/>
          <w:color w:val="auto"/>
        </w:rPr>
        <w:t>Name and Address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of Class</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860" w:val="left"/>
          <w:tab w:leader="none" w:pos="5940" w:val="left"/>
        </w:tabs>
        <w:rPr>
          <w:sz w:val="20"/>
          <w:szCs w:val="20"/>
          <w:color w:val="auto"/>
        </w:rPr>
      </w:pPr>
      <w:r>
        <w:rPr>
          <w:rFonts w:ascii="Courier New" w:cs="Courier New" w:eastAsia="Courier New" w:hAnsi="Courier New"/>
          <w:sz w:val="14"/>
          <w:szCs w:val="14"/>
          <w:color w:val="auto"/>
        </w:rPr>
        <w:t>FMR Corp. (1)</w:t>
      </w:r>
      <w:r>
        <w:rPr>
          <w:sz w:val="20"/>
          <w:szCs w:val="20"/>
          <w:color w:val="auto"/>
        </w:rPr>
        <w:tab/>
      </w:r>
      <w:r>
        <w:rPr>
          <w:rFonts w:ascii="Courier New" w:cs="Courier New" w:eastAsia="Courier New" w:hAnsi="Courier New"/>
          <w:sz w:val="14"/>
          <w:szCs w:val="14"/>
          <w:color w:val="auto"/>
        </w:rPr>
        <w:t>43,972,478</w:t>
      </w:r>
      <w:r>
        <w:rPr>
          <w:sz w:val="20"/>
          <w:szCs w:val="20"/>
          <w:color w:val="auto"/>
        </w:rPr>
        <w:tab/>
      </w:r>
      <w:r>
        <w:rPr>
          <w:rFonts w:ascii="Courier New" w:cs="Courier New" w:eastAsia="Courier New" w:hAnsi="Courier New"/>
          <w:sz w:val="13"/>
          <w:szCs w:val="13"/>
          <w:color w:val="auto"/>
        </w:rPr>
        <w:t>7.638%</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85 Devonshire Street Boston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Massachusetts 02109</w:t>
      </w:r>
    </w:p>
    <w:p>
      <w:pPr>
        <w:spacing w:after="0" w:line="7" w:lineRule="exact"/>
        <w:rPr>
          <w:sz w:val="20"/>
          <w:szCs w:val="20"/>
          <w:color w:val="auto"/>
        </w:rPr>
      </w:pPr>
    </w:p>
    <w:p>
      <w:pPr>
        <w:ind w:left="780" w:right="3419" w:hanging="513"/>
        <w:spacing w:after="0" w:line="251"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Statement on Schedule 13G dated February 14, 2002. Such filing indicates that FMR Corp. has sole voting power with respect to 3,016,417 shares and sole dispositive power with respect to 43,972,478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lists the shares of Schlumberger Common Stock beneficially owned as of January 31, 2002 by all directors and nominees, by each of the named executive officers, and by the directors and officers as a group. Except as footnoted, each individual has sole voting and investment power over the shares listed by that individual's name. As of January 31, 2002, no nominee for director owned more than 1% of the outstanding shares of the Company's Common Stock, except Mr. Primat who owned 4.09%. All 23 directors and executive officers as a group owned 4.33% of the outstanding shares of the Company at January 31, 2002.</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Don E. Ackerman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 Euan Baird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2,403,404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Pierre Bismuth</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202,092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John Deutch</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Maurice Dijols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104,073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Jaime S. Gorelick</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Andrew Gould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329,918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Victor E. Grijalva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786,288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Adrian Lajous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Andre Levy-Lang</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Jack Liu</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207,955</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John C. Mayo</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William T. McCormick, Jr.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10,500</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Irwin Pfister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340,740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Didier Primat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23,557,628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Nicolas Seydoux</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252,024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Linda Gillespie Stuntz</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Sven Ullring</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3,905</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Yoshihiko Wakumoto</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(23 persons)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24,939,904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8" w:right="1440" w:bottom="1440" w:gutter="0" w:footer="0" w:header="0"/>
        </w:sectPr>
      </w:pPr>
    </w:p>
    <w:bookmarkStart w:id="6" w:name="page7"/>
    <w:bookmarkEnd w:id="6"/>
    <w:p>
      <w:pPr>
        <w:ind w:left="520" w:right="359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699,955 shares held in a revocable grantor trust and 1,703,449 shares which may be acquired by Mr. Baird within 60 days through the exercise of stock options.</w:t>
      </w:r>
    </w:p>
    <w:p>
      <w:pPr>
        <w:spacing w:after="0" w:line="1" w:lineRule="exact"/>
        <w:rPr>
          <w:rFonts w:ascii="Courier New" w:cs="Courier New" w:eastAsia="Courier New" w:hAnsi="Courier New"/>
          <w:sz w:val="14"/>
          <w:szCs w:val="14"/>
          <w:color w:val="auto"/>
        </w:rPr>
      </w:pPr>
    </w:p>
    <w:p>
      <w:pPr>
        <w:ind w:left="520" w:right="35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58,177 shares held in a revocable grantor trust; 135,089 shares which may be acquired by Mr. Bismuth within 60 days through the exercise of stock options; and 4,800 shares in which he shares voting and investment power.</w:t>
      </w:r>
    </w:p>
    <w:p>
      <w:pPr>
        <w:spacing w:after="0" w:line="1" w:lineRule="exact"/>
        <w:rPr>
          <w:rFonts w:ascii="Courier New" w:cs="Courier New" w:eastAsia="Courier New" w:hAnsi="Courier New"/>
          <w:sz w:val="14"/>
          <w:szCs w:val="14"/>
          <w:color w:val="auto"/>
        </w:rPr>
      </w:pPr>
    </w:p>
    <w:p>
      <w:pPr>
        <w:ind w:left="520" w:right="35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 shares owned by Mr. Deutch's wife, as to which he disclaims beneficial ownership.</w:t>
      </w:r>
    </w:p>
    <w:p>
      <w:pPr>
        <w:ind w:left="520" w:right="34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89,524 shares which may be acquired by Mr. Dijols within 60 days through the exercise of stock options.</w:t>
      </w:r>
    </w:p>
    <w:p>
      <w:pPr>
        <w:ind w:left="520" w:right="34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294,918 shares which may be acquired by Mr. Gould within 60 days through the exercise of stock options.</w:t>
      </w:r>
    </w:p>
    <w:p>
      <w:pPr>
        <w:ind w:left="520" w:right="359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670,389 shares which may be acquired by Mr. Grijalva within 60 days through the exercise of stock options.</w:t>
      </w:r>
    </w:p>
    <w:p>
      <w:pPr>
        <w:ind w:left="520" w:right="333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300 shares held in a family trust as to which Mr. Lajous does not have voting or investment powers.</w:t>
      </w:r>
    </w:p>
    <w:p>
      <w:pPr>
        <w:ind w:left="520" w:right="367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321,950 shares which may be acquired by Mr. Pfister within 60 days through the exercise of stock options.</w:t>
      </w:r>
    </w:p>
    <w:p>
      <w:pPr>
        <w:ind w:left="520" w:right="333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560,000 shares as to which Mr. Primat shares investment power and 5,999,008 shares held for account of the minor children of Mr. Primat as to which he has joint voting and investment power.</w:t>
      </w:r>
    </w:p>
    <w:p>
      <w:pPr>
        <w:spacing w:after="0" w:line="1" w:lineRule="exact"/>
        <w:rPr>
          <w:rFonts w:ascii="Courier New" w:cs="Courier New" w:eastAsia="Courier New" w:hAnsi="Courier New"/>
          <w:sz w:val="14"/>
          <w:szCs w:val="14"/>
          <w:color w:val="auto"/>
        </w:rPr>
      </w:pPr>
    </w:p>
    <w:p>
      <w:pPr>
        <w:ind w:left="520" w:right="35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15,364 shares owned by Mr. Seydoux's wife as to which he shares voting and investment power.</w:t>
      </w:r>
    </w:p>
    <w:p>
      <w:pPr>
        <w:ind w:left="520" w:right="3419" w:hanging="512"/>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 shares as to which Mrs. Stuntz shares voting power and 300 shares owned by a minor child in a trust for which Mrs. Stuntz serves as trustee.</w:t>
      </w:r>
    </w:p>
    <w:p>
      <w:pPr>
        <w:spacing w:after="0" w:line="1"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3,824,123 shares which may be acquired by executive officers as a group because they have the right to acquire such shares within 60 days through the exercise of stock options.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and Committees</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Schlumberger has an Audit, a Compensation, a Finance, a Nominating and a Technology Committee.</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Audit Committee is comprised of four independent directors. It assists the Board in fulfilling its responsibilities to oversee the Company's financial reporting process and monitors the integrity of the Company's financial statements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Mrs. Stuntz is Chair of the Audit Committee, and Messrs. Levy-Lang, Mayo and Primat are the other members.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Compensation Committee reviews and approves the compensation of the officers of the Company, advises on compensation and benefits matters and administers the Company's stock option plans. Mr. McCormick is Chair of the Compensation Committee. Messrs. Ackerman, Seydoux and Ullring are the other members.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Finance Committee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advises on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various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matters,</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including dividend</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and financial</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policies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investment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reinvestment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funds. The Finance</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Committee periodically</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reviews</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administration</w:t>
            </w:r>
          </w:p>
        </w:tc>
        <w:tc>
          <w:tcPr>
            <w:tcW w:w="2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the Schlumberger employee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benefit plans</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those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its</w:t>
            </w:r>
          </w:p>
        </w:tc>
        <w:tc>
          <w:tcPr>
            <w:tcW w:w="2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subsidiaries. Mr. Levy-Lang</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is</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Chair of the</w:t>
            </w:r>
          </w:p>
        </w:tc>
      </w:tr>
    </w:tbl>
    <w:p>
      <w:pPr>
        <w:spacing w:after="0" w:line="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Finance Committee and Messrs. Ackerman, Baird, Grijalva and Wakumoto are the other members.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Seydoux is Chair of the Nominating Committee, and Mrs. Stuntz, Messrs. Baird, Deutch and McCormick are the other members. The Nominating Committee will consider nominees recommended by stockholders who may submit nominations to Chair, Nominating Committee, care of the Secretary, Schlumberger Limited, 153 East 53 Street, 57th Floor, New York, New York 10022-4624.</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Levy-Lang is also a member.</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During 2001 the Board of Directors held five meetings. The Audit Committee met four times; the Compensation Committee met four times; the Finance Committee met once; the Nominating Committee met five times; and the Technology Committee met twice. All incumbent director nominees attended at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7" w:name="page8"/>
    <w:bookmarkEnd w:id="7"/>
    <w:p>
      <w:pPr>
        <w:ind w:right="3339"/>
        <w:spacing w:after="0" w:line="255" w:lineRule="auto"/>
        <w:rPr>
          <w:sz w:val="20"/>
          <w:szCs w:val="20"/>
          <w:color w:val="auto"/>
        </w:rPr>
      </w:pPr>
      <w:r>
        <w:rPr>
          <w:rFonts w:ascii="Courier New" w:cs="Courier New" w:eastAsia="Courier New" w:hAnsi="Courier New"/>
          <w:sz w:val="14"/>
          <w:szCs w:val="14"/>
          <w:color w:val="auto"/>
        </w:rPr>
        <w:t>least 83% of the aggregate of the meetings of the Board and of the committees of the Board on which such directors served.</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Directors who are employees of Schlumberger do not receive compensation for serving on the Board or on committees of the Board. Board members who are not employees receive annual fees of $40,000 each, annual stock awards of 500 shares of Schlumberger common stock and additional annual fees of $10,000 as members of each of the committees on which they serve, except that the Chair of each Committee receives an annual fee of $20,000, rather than the $10,000 annual fee for committee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is comprised of four independent directors and operates under a written charter reviewed annually by the Board of Directors. The Audit Committee assists the Board in fulfilling its responsibilities to oversee the Company's financial reporting process and monitors the integrity of the Company's financial statements and the independence and performance of the Company's auditors. In this context, we have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has reviewed and discussed such other matters as we deemed appropriate.</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Company's independent auditors provided the Audit Committee with written disclosures required by Independence Standards Board Standard No. 1 (Independence Discussions with Audit Committees), and we discussed the PricewaterhouseCoopers' independence with them.</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2001 filed with the Securities and Exchange Commission.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AUDIT COMMITTEE OF THE SCHLUMBERGER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 Levy-Lang</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J. Mayo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Primat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Stuntz, Chair</w:t>
      </w:r>
    </w:p>
    <w:p>
      <w:pPr>
        <w:spacing w:after="0" w:line="200" w:lineRule="exact"/>
        <w:rPr>
          <w:sz w:val="20"/>
          <w:szCs w:val="20"/>
          <w:color w:val="auto"/>
        </w:rPr>
      </w:pPr>
    </w:p>
    <w:p>
      <w:pPr>
        <w:sectPr>
          <w:pgSz w:w="11900" w:h="16838" w:orient="portrait"/>
          <w:cols w:equalWidth="0" w:num="2">
            <w:col w:w="2640" w:space="720"/>
            <w:col w:w="687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EXECUTIVE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3" w:lineRule="exact"/>
        <w:rPr>
          <w:sz w:val="20"/>
          <w:szCs w:val="20"/>
          <w:color w:val="auto"/>
        </w:rPr>
      </w:pPr>
    </w:p>
    <w:p>
      <w:pPr>
        <w:ind w:right="4720" w:firstLine="775"/>
        <w:spacing w:after="0" w:line="251" w:lineRule="auto"/>
        <w:rPr>
          <w:sz w:val="20"/>
          <w:szCs w:val="20"/>
          <w:color w:val="auto"/>
        </w:rPr>
      </w:pPr>
      <w:r>
        <w:rPr>
          <w:rFonts w:ascii="Courier New" w:cs="Courier New" w:eastAsia="Courier New" w:hAnsi="Courier New"/>
          <w:sz w:val="14"/>
          <w:szCs w:val="14"/>
          <w:color w:val="auto"/>
        </w:rPr>
        <w:t>The following table shows the compensation paid by the Company and its subsidiaries to the Chief Executive Officer, the next four most highly compensated executive officers as of December 31, 2001, and to one other person who served as an executive officer during the year but who was not an executive officer as of December 31, 2001 (the "named officers") for the fiscal years ending December 31, 2001, 2000 and 1999.</w:t>
      </w: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SUMMARY COMPENSATION TABLE</w:t>
      </w:r>
    </w:p>
    <w:p>
      <w:pPr>
        <w:sectPr>
          <w:pgSz w:w="11900" w:h="16838" w:orient="portrait"/>
          <w:cols w:equalWidth="0" w:num="1">
            <w:col w:w="11540"/>
          </w:cols>
          <w:pgMar w:left="220" w:top="6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Principal Position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spacing w:after="0"/>
        <w:tabs>
          <w:tab w:leader="none" w:pos="1440" w:val="left"/>
        </w:tabs>
        <w:rPr>
          <w:sz w:val="20"/>
          <w:szCs w:val="20"/>
          <w:color w:val="auto"/>
        </w:rPr>
      </w:pPr>
      <w:r>
        <w:rPr>
          <w:rFonts w:ascii="Courier New" w:cs="Courier New" w:eastAsia="Courier New" w:hAnsi="Courier New"/>
          <w:sz w:val="14"/>
          <w:szCs w:val="14"/>
          <w:color w:val="auto"/>
        </w:rPr>
        <w:t>Salary ($)(2)</w:t>
        <w:tab/>
        <w:t>Bonus ($)(2)</w:t>
      </w:r>
    </w:p>
    <w:p>
      <w:pPr>
        <w:spacing w:after="0" w:line="7" w:lineRule="exact"/>
        <w:rPr>
          <w:sz w:val="20"/>
          <w:szCs w:val="20"/>
          <w:color w:val="auto"/>
        </w:rPr>
      </w:pPr>
    </w:p>
    <w:p>
      <w:pPr>
        <w:ind w:left="340"/>
        <w:spacing w:after="0"/>
        <w:tabs>
          <w:tab w:leader="none" w:pos="16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Long Term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Awards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Underlying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 (#)(3)</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All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($)(4)</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3420" w:space="720"/>
            <w:col w:w="520" w:space="0"/>
            <w:col w:w="2660" w:space="0"/>
            <w:col w:w="2240" w:space="100"/>
            <w:col w:w="1880"/>
          </w:cols>
          <w:pgMar w:left="220" w:top="616" w:right="139" w:bottom="1440" w:gutter="0" w:footer="0" w:header="0"/>
          <w:type w:val="continuous"/>
        </w:sectPr>
      </w:pPr>
    </w:p>
    <w:p>
      <w:pPr>
        <w:jc w:val="right"/>
        <w:ind w:right="940"/>
        <w:spacing w:after="0" w:line="250" w:lineRule="auto"/>
        <w:rPr>
          <w:sz w:val="20"/>
          <w:szCs w:val="20"/>
          <w:color w:val="auto"/>
        </w:rPr>
      </w:pPr>
      <w:r>
        <w:rPr>
          <w:rFonts w:ascii="Courier New" w:cs="Courier New" w:eastAsia="Courier New" w:hAnsi="Courier New"/>
          <w:sz w:val="14"/>
          <w:szCs w:val="14"/>
          <w:color w:val="auto"/>
        </w:rPr>
        <w:t>D. E. Baird ................................    2001     1,500,000     2,000,000                  0                 210,000 Chairman and                                  2000     1,500,000     1,500,000                  0                 175,000 Chief Executive Officer                       1999     1,500,000     1,000,000                  0                 105,000</w:t>
      </w:r>
    </w:p>
    <w:p>
      <w:pPr>
        <w:sectPr>
          <w:pgSz w:w="11900" w:h="16838" w:orient="portrait"/>
          <w:cols w:equalWidth="0" w:num="1">
            <w:col w:w="11540"/>
          </w:cols>
          <w:pgMar w:left="220" w:top="616"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 Gould ...................................</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800,000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1,120,000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95,704</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507,000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567,200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53,922</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Oilfield Services</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589,102</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310,915</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54,950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36,691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I. Pfister .................................</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675,000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50,750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44,800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SchlumbergerSema</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54,949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39,719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96"/>
              </w:rPr>
              <w:t>J. Liu .....................................</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245,000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44,100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39,550</w:t>
            </w:r>
          </w:p>
        </w:tc>
      </w:tr>
      <w:tr>
        <w:trPr>
          <w:trHeight w:val="166"/>
        </w:trPr>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Finance and</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165,000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54,949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22,250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M. Dijols (1)</w:t>
            </w:r>
          </w:p>
        </w:tc>
        <w:tc>
          <w:tcPr>
            <w:tcW w:w="3600" w:type="dxa"/>
            <w:vAlign w:val="bottom"/>
          </w:tcPr>
          <w:p>
            <w:pPr>
              <w:jc w:val="right"/>
              <w:ind w:right="246"/>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356,827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281,093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47,013</w:t>
            </w:r>
          </w:p>
        </w:tc>
      </w:tr>
      <w:tr>
        <w:trPr>
          <w:trHeight w:val="166"/>
        </w:trPr>
        <w:tc>
          <w:tcPr>
            <w:tcW w:w="4780" w:type="dxa"/>
            <w:vAlign w:val="bottom"/>
            <w:gridSpan w:val="2"/>
          </w:tcPr>
          <w:p>
            <w:pPr>
              <w:jc w:val="right"/>
              <w:ind w:right="2646"/>
              <w:spacing w:after="0"/>
              <w:rPr>
                <w:sz w:val="20"/>
                <w:szCs w:val="20"/>
                <w:color w:val="auto"/>
              </w:rPr>
            </w:pPr>
            <w:r>
              <w:rPr>
                <w:rFonts w:ascii="Courier New" w:cs="Courier New" w:eastAsia="Courier New" w:hAnsi="Courier New"/>
                <w:sz w:val="14"/>
                <w:szCs w:val="14"/>
                <w:color w:val="auto"/>
              </w:rPr>
              <w:t>Former Vice President,</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Information</w:t>
            </w:r>
          </w:p>
        </w:tc>
        <w:tc>
          <w:tcPr>
            <w:tcW w:w="3600" w:type="dxa"/>
            <w:vAlign w:val="bottom"/>
          </w:tcPr>
          <w:p>
            <w:pPr>
              <w:jc w:val="right"/>
              <w:ind w:right="2646"/>
              <w:spacing w:after="0"/>
              <w:rPr>
                <w:sz w:val="20"/>
                <w:szCs w:val="20"/>
                <w:color w:val="auto"/>
              </w:rPr>
            </w:pPr>
            <w:r>
              <w:rPr>
                <w:rFonts w:ascii="Courier New" w:cs="Courier New" w:eastAsia="Courier New" w:hAnsi="Courier New"/>
                <w:sz w:val="14"/>
                <w:szCs w:val="14"/>
                <w:color w:val="auto"/>
              </w:rPr>
              <w:t>Technology</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P. Bismuth .................................</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210,000</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37,240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Personnel</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left="520" w:right="5080" w:hanging="512"/>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Dijols was Vice President Information Technology from May 1, 2001 until September 17, 2001 and is now President EUA, SchlumbergerSema.</w:t>
      </w:r>
    </w:p>
    <w:p>
      <w:pPr>
        <w:ind w:left="520" w:right="4980" w:hanging="512"/>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and bonus amounts include cash compensation earned and received and any amounts deferred under the Schlumberger Restoration Savings Plan.</w:t>
      </w:r>
    </w:p>
    <w:p>
      <w:pPr>
        <w:spacing w:after="0" w:line="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no stock appreciation rights or restricted stock.</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2001 amounts disclosed in this column include:</w:t>
      </w:r>
    </w:p>
    <w:p>
      <w:pPr>
        <w:spacing w:after="0" w:line="7" w:lineRule="exact"/>
        <w:rPr>
          <w:rFonts w:ascii="Courier New" w:cs="Courier New" w:eastAsia="Courier New" w:hAnsi="Courier New"/>
          <w:sz w:val="14"/>
          <w:szCs w:val="14"/>
          <w:color w:val="auto"/>
        </w:rPr>
      </w:pPr>
    </w:p>
    <w:p>
      <w:pPr>
        <w:ind w:left="1300" w:hanging="344"/>
        <w:spacing w:after="0"/>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contributions to Schlumberger Profit Sharing Plans</w:t>
      </w:r>
    </w:p>
    <w:p>
      <w:pPr>
        <w:spacing w:after="0" w:line="7" w:lineRule="exact"/>
        <w:rPr>
          <w:rFonts w:ascii="Courier New" w:cs="Courier New" w:eastAsia="Courier New" w:hAnsi="Courier New"/>
          <w:sz w:val="14"/>
          <w:szCs w:val="14"/>
          <w:color w:val="auto"/>
        </w:rPr>
      </w:pPr>
    </w:p>
    <w:p>
      <w:pPr>
        <w:ind w:left="1300" w:right="5500" w:hanging="344"/>
        <w:spacing w:after="0" w:line="250"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contributions to the International Staff Profit Sharing Plan</w:t>
      </w:r>
    </w:p>
    <w:p>
      <w:pPr>
        <w:ind w:left="1300" w:right="5240" w:hanging="344"/>
        <w:spacing w:after="0" w:line="250"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unfunded credits to the Schlumberger Supplementary Benefit Plan</w:t>
      </w:r>
    </w:p>
    <w:p>
      <w:pPr>
        <w:ind w:left="1300" w:right="5680" w:hanging="344"/>
        <w:spacing w:after="0" w:line="255"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unfunded matching credits to the Schlumberger Restoration Savings Plan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(d)($)</w:t>
            </w:r>
          </w:p>
        </w:tc>
      </w:tr>
      <w:tr>
        <w:trPr>
          <w:trHeight w:val="166"/>
        </w:trPr>
        <w:tc>
          <w:tcPr>
            <w:tcW w:w="24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Baird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11,900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113,200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84,900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Gould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11,900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47,888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35,916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Pfister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11,900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16,650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Liu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11,900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13,800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Dijols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13,600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Mr. Bismuth ..............</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11,900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14,480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10,860</w:t>
            </w:r>
          </w:p>
        </w:tc>
      </w:tr>
    </w:tbl>
    <w:p>
      <w:pPr>
        <w:spacing w:after="0" w:line="200" w:lineRule="exact"/>
        <w:rPr>
          <w:sz w:val="20"/>
          <w:szCs w:val="20"/>
          <w:color w:val="auto"/>
        </w:rPr>
      </w:pPr>
    </w:p>
    <w:p>
      <w:pPr>
        <w:spacing w:after="0" w:line="301" w:lineRule="exact"/>
        <w:rPr>
          <w:sz w:val="20"/>
          <w:szCs w:val="20"/>
          <w:color w:val="auto"/>
        </w:rPr>
      </w:pPr>
    </w:p>
    <w:p>
      <w:pPr>
        <w:ind w:left="440" w:right="4820"/>
        <w:spacing w:after="0" w:line="251" w:lineRule="auto"/>
        <w:rPr>
          <w:sz w:val="20"/>
          <w:szCs w:val="20"/>
          <w:color w:val="auto"/>
        </w:rPr>
      </w:pPr>
      <w:r>
        <w:rPr>
          <w:rFonts w:ascii="Courier New" w:cs="Courier New" w:eastAsia="Courier New" w:hAnsi="Courier New"/>
          <w:sz w:val="14"/>
          <w:szCs w:val="14"/>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540"/>
          </w:cols>
          <w:pgMar w:left="220" w:top="616" w:right="139"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Stock Option Grants Table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concerning options granted during 2001 to the named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44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Option Grants in Last Fiscal Year</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Individual Grants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74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 of Total</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6"/>
        </w:trPr>
        <w:tc>
          <w:tcPr>
            <w:tcW w:w="1420" w:type="dxa"/>
            <w:vAlign w:val="bottom"/>
          </w:tcPr>
          <w:p>
            <w:pPr>
              <w:spacing w:after="0"/>
              <w:rPr>
                <w:sz w:val="14"/>
                <w:szCs w:val="1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 of</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Assumed Annual Rates of</w:t>
            </w:r>
          </w:p>
        </w:tc>
      </w:tr>
      <w:tr>
        <w:trPr>
          <w:trHeight w:val="166"/>
        </w:trPr>
        <w:tc>
          <w:tcPr>
            <w:tcW w:w="1420" w:type="dxa"/>
            <w:vAlign w:val="bottom"/>
          </w:tcPr>
          <w:p>
            <w:pPr>
              <w:spacing w:after="0"/>
              <w:rPr>
                <w:sz w:val="14"/>
                <w:szCs w:val="1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Granted to</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Exercise</w:t>
            </w:r>
          </w:p>
        </w:tc>
        <w:tc>
          <w:tcPr>
            <w:tcW w:w="1260" w:type="dxa"/>
            <w:vAlign w:val="bottom"/>
          </w:tcPr>
          <w:p>
            <w:pPr>
              <w:spacing w:after="0"/>
              <w:rPr>
                <w:sz w:val="14"/>
                <w:szCs w:val="14"/>
                <w:color w:val="auto"/>
              </w:rPr>
            </w:pPr>
          </w:p>
        </w:tc>
        <w:tc>
          <w:tcPr>
            <w:tcW w:w="2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Stock Price Appreciation</w:t>
            </w:r>
          </w:p>
        </w:tc>
      </w:tr>
      <w:tr>
        <w:trPr>
          <w:trHeight w:val="166"/>
        </w:trPr>
        <w:tc>
          <w:tcPr>
            <w:tcW w:w="14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Underlying 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Employees in</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Price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Expiration</w:t>
            </w:r>
          </w:p>
        </w:tc>
        <w:tc>
          <w:tcPr>
            <w:tcW w:w="25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for Option Term</w:t>
            </w:r>
          </w:p>
        </w:tc>
      </w:tr>
      <w:tr>
        <w:trPr>
          <w:trHeight w:val="166"/>
        </w:trPr>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20" w:type="dxa"/>
            <w:vAlign w:val="bottom"/>
          </w:tcPr>
          <w:p>
            <w:pPr>
              <w:ind w:left="220"/>
              <w:spacing w:after="0"/>
              <w:rPr>
                <w:sz w:val="20"/>
                <w:szCs w:val="20"/>
                <w:color w:val="auto"/>
              </w:rPr>
            </w:pPr>
            <w:r>
              <w:rPr>
                <w:rFonts w:ascii="Courier New" w:cs="Courier New" w:eastAsia="Courier New" w:hAnsi="Courier New"/>
                <w:sz w:val="14"/>
                <w:szCs w:val="14"/>
                <w:color w:val="auto"/>
              </w:rPr>
              <w:t>Granted (#) (1)</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Fiscal Year</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($/SH)(2)</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Date</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D. E. Baird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A. Gould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100,000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62.375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4/18/11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$3,922,730</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$9,940,969</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I. Pfister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100,000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62.375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4/18/11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$3,922,730</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$9,940,969</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J. Liu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M. Dijols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0.49</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62.375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4/18/11</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$ 784,546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$1,988,194</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P. Bismuth .....</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0.49</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62.375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4/18/11</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$ 784,546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$1,988,194</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339" w:hanging="432"/>
        <w:spacing w:after="0" w:line="250"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granted any stock appreciation rights. Options listed above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Exercises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Stock Option Value Table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table shows certain information concerning options exercised during 2001 by the named officers and the number and value of unexercised options at December 31, 2001. Schlumberger has not granted stock appreciation rights. The values of unexercised in-the-money stock options at December 31, 2001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Aggregated Option Exercises in Last Fiscal Year and Fiscal Year-End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Option Values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Exercises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Realized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Unexercised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Options at FY-End (#)</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Exercisable /</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In-The-Money Options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 FY-End ($) (2)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Exercisable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2300" w:space="720"/>
            <w:col w:w="1300" w:space="80"/>
            <w:col w:w="1300" w:space="260"/>
            <w:col w:w="1980" w:space="160"/>
            <w:col w:w="2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 E. Baird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Gould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Pfister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1,703,449/</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109,900</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283,928/</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323,742</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310,960/</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240,443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34,479,556/</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0.00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3,976,843/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333,228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4,287,425/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333,208</w:t>
      </w:r>
    </w:p>
    <w:p>
      <w:pPr>
        <w:spacing w:after="0" w:line="200" w:lineRule="exact"/>
        <w:rPr>
          <w:sz w:val="20"/>
          <w:szCs w:val="20"/>
          <w:color w:val="auto"/>
        </w:rPr>
      </w:pPr>
    </w:p>
    <w:p>
      <w:pPr>
        <w:sectPr>
          <w:pgSz w:w="11900" w:h="16838" w:orient="portrait"/>
          <w:cols w:equalWidth="0" w:num="5">
            <w:col w:w="2740" w:space="720"/>
            <w:col w:w="660" w:space="720"/>
            <w:col w:w="1000" w:space="720"/>
            <w:col w:w="1260" w:space="720"/>
            <w:col w:w="1699"/>
          </w:cols>
          <w:pgMar w:left="220" w:top="616" w:right="1440" w:bottom="1440" w:gutter="0" w:footer="0" w:header="0"/>
          <w:type w:val="continuous"/>
        </w:sectPr>
      </w:pPr>
    </w:p>
    <w:p>
      <w:pPr>
        <w:spacing w:after="0" w:line="13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616" w:right="1440"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Exercises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Realized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Unexercised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Options at FY-End (#)</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Exercisable /</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In-The-Money Options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 FY-End ($) (2)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Exercisable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2300" w:space="720"/>
            <w:col w:w="1300" w:space="80"/>
            <w:col w:w="1300" w:space="260"/>
            <w:col w:w="1980" w:space="160"/>
            <w:col w:w="2139"/>
          </w:cols>
          <w:pgMar w:left="220" w:top="948"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J. Liu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180,555/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139,344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2,393,031/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333,218</w:t>
      </w:r>
    </w:p>
    <w:p>
      <w:pPr>
        <w:spacing w:after="0" w:line="173" w:lineRule="exact"/>
        <w:rPr>
          <w:sz w:val="20"/>
          <w:szCs w:val="20"/>
          <w:color w:val="auto"/>
        </w:rPr>
      </w:pPr>
    </w:p>
    <w:p>
      <w:pPr>
        <w:sectPr>
          <w:pgSz w:w="11900" w:h="16838" w:orient="portrait"/>
          <w:cols w:equalWidth="0" w:num="5">
            <w:col w:w="2740" w:space="720"/>
            <w:col w:w="660" w:space="720"/>
            <w:col w:w="1160" w:space="720"/>
            <w:col w:w="1180" w:space="720"/>
            <w:col w:w="1619"/>
          </w:cols>
          <w:pgMar w:left="220" w:top="9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 Dijols .................</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10,990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393,519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85,128/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74,770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451,019/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133,271</w:t>
      </w:r>
    </w:p>
    <w:p>
      <w:pPr>
        <w:spacing w:after="0" w:line="173" w:lineRule="exact"/>
        <w:rPr>
          <w:sz w:val="20"/>
          <w:szCs w:val="20"/>
          <w:color w:val="auto"/>
        </w:rPr>
      </w:pPr>
    </w:p>
    <w:p>
      <w:pPr>
        <w:sectPr>
          <w:pgSz w:w="11900" w:h="16838" w:orient="portrait"/>
          <w:cols w:equalWidth="0" w:num="5">
            <w:col w:w="2480" w:space="720"/>
            <w:col w:w="660" w:space="720"/>
            <w:col w:w="1520" w:space="720"/>
            <w:col w:w="1260" w:space="720"/>
            <w:col w:w="1439"/>
          </w:cols>
          <w:pgMar w:left="220" w:top="9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 Bismuth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135,089/</w:t>
      </w:r>
    </w:p>
    <w:p>
      <w:pPr>
        <w:spacing w:after="0" w:line="7"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87,960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1,530,732/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$0.00</w:t>
      </w:r>
    </w:p>
    <w:p>
      <w:pPr>
        <w:spacing w:after="0" w:line="200" w:lineRule="exact"/>
        <w:rPr>
          <w:sz w:val="20"/>
          <w:szCs w:val="20"/>
          <w:color w:val="auto"/>
        </w:rPr>
      </w:pPr>
    </w:p>
    <w:p>
      <w:pPr>
        <w:sectPr>
          <w:pgSz w:w="11900" w:h="16838" w:orient="portrait"/>
          <w:cols w:equalWidth="0" w:num="5">
            <w:col w:w="2740" w:space="720"/>
            <w:col w:w="660" w:space="720"/>
            <w:col w:w="1160" w:space="720"/>
            <w:col w:w="1180" w:space="720"/>
            <w:col w:w="1619"/>
          </w:cols>
          <w:pgMar w:left="220" w:top="948"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stock on date of exercise less exercise price.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price of stock on December 31, 2001 ($54.95) less exercise price.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$124,237 for Mr. Gould, $61,612 for Mr. Liu, $43,167 for Mr. Dijols and $36,580 for Mr. Bismuth.</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$43,292 for Mr. Dijols and, assuming admissible compensation continues at the December 31, 2001 levels, estimated annual benefits payable from the U.S. plans and the supplementary benefit plan are: $715,795 for Mr. Baird; $318,441 for Mr. Gould; $213,241 for Mr. Pfister; $206,603 for Mr. Liu and $196,849 for Mr. Bismuth.</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48"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Corporate Performance Graph</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458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COMPARISON OF FIVE-YEAR CUMULATIVE TOTAL RETURN</w:t>
            </w:r>
          </w:p>
        </w:tc>
        <w:tc>
          <w:tcPr>
            <w:tcW w:w="720" w:type="dxa"/>
            <w:vAlign w:val="bottom"/>
          </w:tcPr>
          <w:p>
            <w:pPr>
              <w:spacing w:after="0"/>
              <w:rPr>
                <w:sz w:val="14"/>
                <w:szCs w:val="14"/>
                <w:color w:val="auto"/>
              </w:rPr>
            </w:pPr>
          </w:p>
        </w:tc>
      </w:tr>
      <w:tr>
        <w:trPr>
          <w:trHeight w:val="166"/>
        </w:trPr>
        <w:tc>
          <w:tcPr>
            <w:tcW w:w="5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AMONG SCHLUMBERGER LIMITED, S&amp;P 500 INDEX AND VALUE LINE'S</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OILFIELD</w:t>
            </w:r>
          </w:p>
        </w:tc>
      </w:tr>
      <w:tr>
        <w:trPr>
          <w:trHeight w:val="166"/>
        </w:trPr>
        <w:tc>
          <w:tcPr>
            <w:tcW w:w="1080" w:type="dxa"/>
            <w:vAlign w:val="bottom"/>
          </w:tcPr>
          <w:p>
            <w:pPr>
              <w:spacing w:after="0"/>
              <w:rPr>
                <w:sz w:val="14"/>
                <w:szCs w:val="14"/>
                <w:color w:val="auto"/>
              </w:rPr>
            </w:pPr>
          </w:p>
        </w:tc>
        <w:tc>
          <w:tcPr>
            <w:tcW w:w="35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SERVICES INDUSTRY INDEX</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[GRAPH]</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Value Line</w:t>
            </w:r>
          </w:p>
        </w:tc>
      </w:tr>
      <w:tr>
        <w:trPr>
          <w:trHeight w:val="166"/>
        </w:trPr>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Oilfield Services</w:t>
            </w:r>
          </w:p>
        </w:tc>
      </w:tr>
      <w:tr>
        <w:trPr>
          <w:trHeight w:val="166"/>
        </w:trPr>
        <w:tc>
          <w:tcPr>
            <w:tcW w:w="108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Courier New" w:cs="Courier New" w:eastAsia="Courier New" w:hAnsi="Courier New"/>
                <w:sz w:val="14"/>
                <w:szCs w:val="14"/>
                <w:color w:val="auto"/>
              </w:rPr>
              <w:t>Schlumberger Ltd.</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S&amp;P 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Industry</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Index</w:t>
            </w:r>
          </w:p>
        </w:tc>
      </w:tr>
      <w:tr>
        <w:trPr>
          <w:trHeight w:val="166"/>
        </w:trPr>
        <w:tc>
          <w:tcPr>
            <w:tcW w:w="108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12/31/96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spacing w:after="0"/>
              <w:rPr>
                <w:sz w:val="24"/>
                <w:szCs w:val="24"/>
                <w:color w:val="auto"/>
              </w:rPr>
            </w:pP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12/31/97</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163</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c>
          <w:tcPr>
            <w:tcW w:w="720" w:type="dxa"/>
            <w:vAlign w:val="bottom"/>
          </w:tcPr>
          <w:p>
            <w:pPr>
              <w:spacing w:after="0"/>
              <w:rPr>
                <w:sz w:val="24"/>
                <w:szCs w:val="24"/>
                <w:color w:val="auto"/>
              </w:rPr>
            </w:pP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12/31/98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720" w:type="dxa"/>
            <w:vAlign w:val="bottom"/>
          </w:tcPr>
          <w:p>
            <w:pPr>
              <w:spacing w:after="0"/>
              <w:rPr>
                <w:sz w:val="24"/>
                <w:szCs w:val="24"/>
                <w:color w:val="auto"/>
              </w:rPr>
            </w:pP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12/31/99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c>
          <w:tcPr>
            <w:tcW w:w="720" w:type="dxa"/>
            <w:vAlign w:val="bottom"/>
          </w:tcPr>
          <w:p>
            <w:pPr>
              <w:spacing w:after="0"/>
              <w:rPr>
                <w:sz w:val="24"/>
                <w:szCs w:val="24"/>
                <w:color w:val="auto"/>
              </w:rPr>
            </w:pP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187</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720" w:type="dxa"/>
            <w:vAlign w:val="bottom"/>
          </w:tcPr>
          <w:p>
            <w:pPr>
              <w:spacing w:after="0"/>
              <w:rPr>
                <w:sz w:val="24"/>
                <w:szCs w:val="24"/>
                <w:color w:val="auto"/>
              </w:rPr>
            </w:pPr>
          </w:p>
        </w:tc>
      </w:tr>
      <w:tr>
        <w:trPr>
          <w:trHeight w:val="331"/>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12/31/01</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720" w:type="dxa"/>
            <w:vAlign w:val="bottom"/>
          </w:tcPr>
          <w:p>
            <w:pPr>
              <w:spacing w:after="0"/>
              <w:rPr>
                <w:sz w:val="24"/>
                <w:szCs w:val="24"/>
                <w:color w:val="auto"/>
              </w:rPr>
            </w:pPr>
          </w:p>
        </w:tc>
      </w:tr>
    </w:tbl>
    <w:p>
      <w:pPr>
        <w:spacing w:after="0" w:line="33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Assumes $100 invested on December 31, 1996 in Schlumberger Limited stock, in the S&amp;P 500 Index and in Value Line's 2001 Oilfield Services Industry Index. Reflects reinvestment of dividends on the last day of the month of payment and annual reweighting of the Industry Peer Index portfolio.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Compensation Committee of the Board is composed entirely of outside Directors who review and approve compensation programs applicable to executive officers. Specific awards for these officers are approved by the Committee.</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Three programs continue to provide the core compensation vehicles for executive officers:</w:t>
      </w:r>
    </w:p>
    <w:p>
      <w:pPr>
        <w:spacing w:after="0" w:line="160" w:lineRule="exact"/>
        <w:rPr>
          <w:sz w:val="20"/>
          <w:szCs w:val="20"/>
          <w:color w:val="auto"/>
        </w:rPr>
      </w:pPr>
    </w:p>
    <w:p>
      <w:pPr>
        <w:ind w:left="1740" w:hanging="354"/>
        <w:spacing w:after="0"/>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Salaries</w:t>
      </w:r>
    </w:p>
    <w:p>
      <w:pPr>
        <w:spacing w:after="0" w:line="7" w:lineRule="exact"/>
        <w:rPr>
          <w:rFonts w:ascii="Courier New" w:cs="Courier New" w:eastAsia="Courier New" w:hAnsi="Courier New"/>
          <w:sz w:val="14"/>
          <w:szCs w:val="14"/>
          <w:color w:val="auto"/>
        </w:rPr>
      </w:pPr>
    </w:p>
    <w:p>
      <w:pPr>
        <w:ind w:left="1740" w:hanging="354"/>
        <w:spacing w:after="0"/>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Cash Incentive Awards</w:t>
      </w:r>
    </w:p>
    <w:p>
      <w:pPr>
        <w:spacing w:after="0" w:line="7" w:lineRule="exact"/>
        <w:rPr>
          <w:rFonts w:ascii="Courier New" w:cs="Courier New" w:eastAsia="Courier New" w:hAnsi="Courier New"/>
          <w:sz w:val="14"/>
          <w:szCs w:val="14"/>
          <w:color w:val="auto"/>
        </w:rPr>
      </w:pPr>
    </w:p>
    <w:p>
      <w:pPr>
        <w:ind w:left="1740" w:hanging="354"/>
        <w:spacing w:after="0"/>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Grants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2" w:name="page13"/>
    <w:bookmarkEnd w:id="12"/>
    <w:p>
      <w:pPr>
        <w:ind w:right="3339" w:firstLine="775"/>
        <w:spacing w:after="0" w:line="251" w:lineRule="auto"/>
        <w:rPr>
          <w:sz w:val="20"/>
          <w:szCs w:val="20"/>
          <w:color w:val="auto"/>
        </w:rPr>
      </w:pPr>
      <w:r>
        <w:rPr>
          <w:rFonts w:ascii="Courier New" w:cs="Courier New" w:eastAsia="Courier New" w:hAnsi="Courier New"/>
          <w:sz w:val="14"/>
          <w:szCs w:val="14"/>
          <w:color w:val="auto"/>
        </w:rPr>
        <w:t>Base salaries are reviewed annually for competitiveness against a database of comparator company information provided by outside compensation consultants. The companies in the database are from industry segments in which Schlumberger competes: Oilfield Services and Information Technology with SchlumbergerSema. The companies in the database change slightly from year to year due to mergers and acquisitions as well as the normal movement of companies into and out of the database at their own volition.</w:t>
      </w:r>
    </w:p>
    <w:p>
      <w:pPr>
        <w:spacing w:after="0" w:line="16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comparator companies used for compensation purposes are different from those in the Corporate Performance Graph (the Value Line Oilfield Services Industry Index).</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While executive officer base salaries are reviewed annually to analyze their position versus the competitive market, they are adjusted less frequently. Except for significant changes in responsibility, an executive officer's base salary may be increased every three to five years and then by a significant amount. This has allowed the Company to focus primarily on variable compensation during periods of low inflation.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Mr. Gould's base salary was increased to $800,000 based on increased corporate responsibilities. Mr. Pfister's base salary was increased to $600,000 in April 2001, when he became Executive Vice President of SchlumbergerSema following the acquisition of Sema plc by the Company. Mr. Liu's base salary was increased to $450,000 to position him competitively in the market.</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Annual cash incentive awards for each executive officer are payable early in the calendar (fiscal) year and reflect performance against targets or objectives established in the preceding year.</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Incentive awards for executive officers are calculated as a percentage of the base salary paid for the completed calendar year. The percent varies among executive officer positions to reflect the different levels of impact on Company results. For 2001, the incentive award ranges were:</w:t>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0</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8"/>
              </w:rPr>
              <w:t>to 100%</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for Mr. Baird</w:t>
            </w:r>
          </w:p>
        </w:tc>
      </w:tr>
      <w:tr>
        <w:trPr>
          <w:trHeight w:val="16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0</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8"/>
              </w:rPr>
              <w:t>to 100%</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for Messrs. Gould and Pfister</w:t>
            </w:r>
          </w:p>
        </w:tc>
      </w:tr>
      <w:tr>
        <w:trPr>
          <w:trHeight w:val="16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0</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for Mr. Liu</w:t>
            </w:r>
          </w:p>
        </w:tc>
      </w:tr>
      <w:tr>
        <w:trPr>
          <w:trHeight w:val="166"/>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0</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for Mr. Bismuth</w:t>
            </w:r>
          </w:p>
        </w:tc>
      </w:tr>
    </w:tbl>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exceptional results incentive ranges can be exceeded.</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One half of the incentive for each executive officer is a function of performance against financial targets for the Company (Messrs. Baird, Liu and Bismuth) or the business sector for which the executive officer is responsible (Messrs. Gould and Pfister). In 2001, the Company and the business sector targets were based on net income goals.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second half of the incentive relates to performance against various objectives of each executive officer. Objectives may be strategic or personal and may relate solely to the completed fiscal year or be interim measures against longer-term objectives. The evaluation of the achievement of objectives is discretionary and subject to approval of the Committee.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Mr. Gould's cash compensation is in the top quartile of the comparator market based on the strong financial performance of the oilfield services sector in 2001. Mr. Pfister's cash compensation is in the third quartile of the comparator market. His objectives were the acquisition of Sema plc and its integration with Test and Transactions and the remaining businesses of the Resource Management Services Group. Mr. Liu's and Mr. Bismuth's results are based on financial goals established for the Company and specific functional and personal objectives. Mr. Liu's and Mr. Bismuth's compensation places them in the top half of the comparator companies.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3" w:name="page14"/>
    <w:bookmarkEnd w:id="13"/>
    <w:p>
      <w:pPr>
        <w:ind w:right="3419" w:firstLine="775"/>
        <w:spacing w:after="0" w:line="251" w:lineRule="auto"/>
        <w:rPr>
          <w:sz w:val="20"/>
          <w:szCs w:val="20"/>
          <w:color w:val="auto"/>
        </w:rPr>
      </w:pPr>
      <w:r>
        <w:rPr>
          <w:rFonts w:ascii="Courier New" w:cs="Courier New" w:eastAsia="Courier New" w:hAnsi="Courier New"/>
          <w:sz w:val="14"/>
          <w:szCs w:val="14"/>
          <w:color w:val="auto"/>
        </w:rPr>
        <w:t>Stock option grants are awarded on a general basis to eligible employees on an 18-month to two-year cycle. Grants are awarded on a discretionary basis to professional, managerial and technical employees who demonstrate exceptional performance in their current positions, as well as the likelihood of continuing high quality performance in the future. In addition, grants are awarded between general reviews to recognize promotions, substantial changes in responsibility, significant individual or team achievements, and under special circumstances. In 2001, following the acquisition of Sema plc, eligible SchlumbergerSema employees were recognized with a stock option grant.</w:t>
      </w:r>
    </w:p>
    <w:p>
      <w:pPr>
        <w:spacing w:after="0" w:line="164"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Of the named executive officers, Messrs. Gould, Pfister and Bismuth were awarded stock option grants in 2001.</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stock option grants awarded by the Company are normally uniform in their terms for executive officers as well as for other optionees: 10-year term; vesting of 20% each year following the date of grant; and option price equal to fair market value on the date of grant. The Company occasionally awards grants with different vesting schedules in particular circumstances. The Company does not utilize below-market options, stock appreciation rights, phantom stock, restricted stock, performance units or reload options.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162(m) of the Internal Revenue Code limits the deductibility of certain compensation expenses in excess of $1,000,000 per individual. The Committee does not believe that the cash compensation payable in excess of this amount for fiscal year 2001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Bases for the Compensation of the Chief Executive Officer</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As in past years, the same companies used for comparison purposes to review base salaries of other executive officers (and managerial employees throughout Schlumberger) are analyzed to review the base salary of the Chief Executive Officer. The approximately 50 companies in the data base are from broad industry segments in which Schlumberger operates.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Chief Executive Officer's salary remained at $1,500,000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annual incentive range for Mr. Baird was 100% of base salary in 2001. One-half of this award was measured against net income targets for the Company. These targets were exceeded, so payment on the financial portion of the incentive award is greater than 50% of base salary.</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second half of the award reflects the Committee's evaluation of Mr. Baird's excellent performance against strategic objectives established early in 2001 for the calendar year. These objectives were a combination of acquisitions, divestitures, and integration of new businesses. Disclosure of specific measures applied to evaluate achievement of Mr. Baird's objectives could adversely affect the Company's competitive position.</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total cash incentive awarded Mr. Baird for 2001 performance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 In combination with base salary, this places him in the top quartile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comparator market data.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Mr. Baird has no employment agreement with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SCHLUMBERGER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Don E. Ackerman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William T. McCormick, Jr., Chair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Nicolas Seydoux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Sven Ullring</w:t>
      </w:r>
    </w:p>
    <w:p>
      <w:pPr>
        <w:spacing w:after="0" w:line="173" w:lineRule="exact"/>
        <w:rPr>
          <w:sz w:val="20"/>
          <w:szCs w:val="20"/>
          <w:color w:val="auto"/>
        </w:rPr>
      </w:pPr>
    </w:p>
    <w:p>
      <w:pPr>
        <w:sectPr>
          <w:pgSz w:w="11900" w:h="16838" w:orient="portrait"/>
          <w:cols w:equalWidth="0" w:num="2">
            <w:col w:w="4800" w:space="720"/>
            <w:col w:w="471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2. Financial Statements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Consolidated Balance Sheet as at December 31, 2001, its Consolidated Statement of Income for the year ended December 31, 2001, as audited by PricewaterhouseCoopers LLP, and the amount of dividends declared by the Board of Directors during 2001 are submitted to the stockholders pursuant to the Schlumberger Deed of Incorporation.</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 majority of the votes cast is required for the adoption and approval of the financial results as set forth in the financial statements and of the declaration of dividends by the Board of Directors as reflected in the 2001 Annual Report to Stockholders.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Board of Directors Recommends a Vote FOR Item 2.</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3. Appointment of Auditors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PricewaterhouseCoopers LLP have been selected by the Board of Directors as independent public accountants to audit the accounts of the Company for the year 2002. The Schlumberger by-laws provide that the selection of auditors is subject to approval by the stockholders, and a majority of the votes cast is required for such approval. A representative of PricewaterhouseCoopers LLP will attend the 2002 Annual General Meeting and will have the opportunity to make a statement and respond to questions.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Fees Paid to PricewaterhouseCoopers LLP</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PricewaterhouseCoopers LLP has billed the Company and its subsidiaries fees and out-of-pocket expenses as set forth in the table below for (i) the audit of the Company's 2001 annual financial statements and reviews of quarterly financial statements, (ii) financial information systems design and implementation work rendered in 2001 and (iii) all other services rendered in 2001.</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Audit Fees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Systems Design and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Implementation Fees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60" w:space="260"/>
            <w:col w:w="1800" w:space="180"/>
            <w:col w:w="453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Fiscal year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$6,305,000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$7,255,000</w:t>
      </w:r>
    </w:p>
    <w:p>
      <w:pPr>
        <w:spacing w:after="0" w:line="200" w:lineRule="exact"/>
        <w:rPr>
          <w:sz w:val="20"/>
          <w:szCs w:val="20"/>
          <w:color w:val="auto"/>
        </w:rPr>
      </w:pPr>
    </w:p>
    <w:p>
      <w:pPr>
        <w:sectPr>
          <w:pgSz w:w="11900" w:h="16838" w:orient="portrait"/>
          <w:cols w:equalWidth="0" w:num="4">
            <w:col w:w="2160" w:space="440"/>
            <w:col w:w="900" w:space="720"/>
            <w:col w:w="880" w:space="680"/>
            <w:col w:w="4459"/>
          </w:cols>
          <w:pgMar w:left="220" w:top="616" w:right="1440" w:bottom="1440" w:gutter="0" w:footer="0" w:header="0"/>
          <w:type w:val="continuous"/>
        </w:sectPr>
      </w:pPr>
    </w:p>
    <w:p>
      <w:pPr>
        <w:spacing w:after="0" w:line="1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Board of Directors Recommends a Vote FOR Item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2003 Annual General Meeting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order for a stockholder proposal to be considered for inclusion in the proxy statement for the 2003 Annual General Meeting of Stockholders, written proposals must be received by the Secretary of the Company, 153 East 53 Street, 57th Floor, New York, New York 10022-4624, no later than November 6, 2002. Pursuant to the rules under the Securities Exchange Act of 1934, the Company may use discretionary authority to vote with respect to stockholder proposals presented in person at the 2003 Annual General Meeting if the stockholder making the proposal has not given notice to the Company by January 20,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Stockholders may obtain a copy of Form 10-K filed with the Securities and Exchange Commission without charge by writing to the Secretary of the Company at 153 East 53 Street, 57th Floor, New York, New York 10022-4624.</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type w:val="continuous"/>
        </w:sectPr>
      </w:pPr>
    </w:p>
    <w:bookmarkStart w:id="15" w:name="page16"/>
    <w:bookmarkEnd w:id="15"/>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Please sign, date, and return the accompanying proxy in the enclosed envelope at your earliest convenience.</w:t>
      </w:r>
    </w:p>
    <w:p>
      <w:pPr>
        <w:spacing w:after="0" w:line="160"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James L. Gunderson</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6, 2002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6" w:name="page17"/>
    <w:bookmarkEnd w:id="16"/>
    <w:p>
      <w:pPr>
        <w:jc w:val="center"/>
        <w:ind w:right="3339"/>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4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(Stated in thousands except per share amounts)</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520" w:type="dxa"/>
            <w:vAlign w:val="bottom"/>
          </w:tcPr>
          <w:p>
            <w:pPr>
              <w:spacing w:after="0"/>
              <w:rPr>
                <w:sz w:val="24"/>
                <w:szCs w:val="24"/>
                <w:color w:val="auto"/>
              </w:rPr>
            </w:pPr>
          </w:p>
        </w:tc>
        <w:tc>
          <w:tcPr>
            <w:tcW w:w="1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2001</w:t>
            </w:r>
          </w:p>
        </w:tc>
        <w:tc>
          <w:tcPr>
            <w:tcW w:w="320" w:type="dxa"/>
            <w:vAlign w:val="bottom"/>
          </w:tcPr>
          <w:p>
            <w:pPr>
              <w:spacing w:after="0"/>
              <w:rPr>
                <w:sz w:val="24"/>
                <w:szCs w:val="24"/>
                <w:color w:val="auto"/>
              </w:rPr>
            </w:pP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24"/>
                <w:szCs w:val="24"/>
                <w:color w:val="auto"/>
              </w:rPr>
            </w:pP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13,745,806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9,611,462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8,394,947</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Interest and other income</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242,258</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423,255</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356,758</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13,988,064</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10,034,717</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8,751,705</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Cost of goods sold and services</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10,641,768</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7,514,621</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6,877,635</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Research &amp; engineering</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704,336</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540,698</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522,240</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Marketing</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447,265</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316,816</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313,871</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683,613</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425,820</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363,695</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384,896</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276,081</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192,954</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12,861,878</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9,074,036</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8,270,395</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taxes and minority interest</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1,126,186</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960,681</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481,310</w:t>
            </w:r>
          </w:p>
        </w:tc>
      </w:tr>
      <w:tr>
        <w:trPr>
          <w:trHeight w:val="331"/>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Taxes on income</w:t>
            </w:r>
          </w:p>
        </w:tc>
        <w:tc>
          <w:tcPr>
            <w:tcW w:w="520" w:type="dxa"/>
            <w:vAlign w:val="bottom"/>
          </w:tcPr>
          <w:p>
            <w:pPr>
              <w:spacing w:after="0"/>
              <w:rPr>
                <w:sz w:val="24"/>
                <w:szCs w:val="2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575,424</w:t>
            </w:r>
          </w:p>
        </w:tc>
        <w:tc>
          <w:tcPr>
            <w:tcW w:w="3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228,248</w:t>
            </w:r>
          </w:p>
        </w:tc>
        <w:tc>
          <w:tcPr>
            <w:tcW w:w="260" w:type="dxa"/>
            <w:vAlign w:val="bottom"/>
          </w:tcPr>
          <w:p>
            <w:pPr>
              <w:spacing w:after="0"/>
              <w:rPr>
                <w:sz w:val="24"/>
                <w:szCs w:val="2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140,772</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before minority interest</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550,762</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732,433</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340,538</w:t>
            </w:r>
          </w:p>
        </w:tc>
      </w:tr>
      <w:tr>
        <w:trPr>
          <w:trHeight w:val="331"/>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w:t>
            </w:r>
          </w:p>
        </w:tc>
        <w:tc>
          <w:tcPr>
            <w:tcW w:w="520" w:type="dxa"/>
            <w:vAlign w:val="bottom"/>
          </w:tcPr>
          <w:p>
            <w:pPr>
              <w:spacing w:after="0"/>
              <w:rPr>
                <w:sz w:val="24"/>
                <w:szCs w:val="2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(28,545)</w:t>
            </w:r>
          </w:p>
        </w:tc>
        <w:tc>
          <w:tcPr>
            <w:tcW w:w="3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2,163</w:t>
            </w:r>
          </w:p>
        </w:tc>
        <w:tc>
          <w:tcPr>
            <w:tcW w:w="260" w:type="dxa"/>
            <w:vAlign w:val="bottom"/>
          </w:tcPr>
          <w:p>
            <w:pPr>
              <w:spacing w:after="0"/>
              <w:rPr>
                <w:sz w:val="24"/>
                <w:szCs w:val="2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(11,204)</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24"/>
                <w:szCs w:val="2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522,217</w:t>
            </w:r>
          </w:p>
        </w:tc>
        <w:tc>
          <w:tcPr>
            <w:tcW w:w="3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734,596</w:t>
            </w:r>
          </w:p>
        </w:tc>
        <w:tc>
          <w:tcPr>
            <w:tcW w:w="260" w:type="dxa"/>
            <w:vAlign w:val="bottom"/>
          </w:tcPr>
          <w:p>
            <w:pPr>
              <w:spacing w:after="0"/>
              <w:rPr>
                <w:sz w:val="24"/>
                <w:szCs w:val="2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329,334</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Discontinued operations, net of tax</w:t>
            </w:r>
          </w:p>
        </w:tc>
        <w:tc>
          <w:tcPr>
            <w:tcW w:w="520" w:type="dxa"/>
            <w:vAlign w:val="bottom"/>
          </w:tcPr>
          <w:p>
            <w:pPr>
              <w:spacing w:after="0"/>
              <w:rPr>
                <w:sz w:val="24"/>
                <w:szCs w:val="2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37,360</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522,217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734,596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366,694</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0.60</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0.07</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0.58</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0.07</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0.65</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520" w:type="dxa"/>
            <w:vAlign w:val="bottom"/>
          </w:tcPr>
          <w:p>
            <w:pPr>
              <w:spacing w:after="0"/>
              <w:rPr>
                <w:sz w:val="24"/>
                <w:szCs w:val="2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574,328</w:t>
            </w:r>
          </w:p>
        </w:tc>
        <w:tc>
          <w:tcPr>
            <w:tcW w:w="320" w:type="dxa"/>
            <w:vAlign w:val="bottom"/>
          </w:tcPr>
          <w:p>
            <w:pPr>
              <w:spacing w:after="0"/>
              <w:rPr>
                <w:sz w:val="24"/>
                <w:szCs w:val="2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570,028</w:t>
            </w:r>
          </w:p>
        </w:tc>
        <w:tc>
          <w:tcPr>
            <w:tcW w:w="260" w:type="dxa"/>
            <w:vAlign w:val="bottom"/>
          </w:tcPr>
          <w:p>
            <w:pPr>
              <w:spacing w:after="0"/>
              <w:rPr>
                <w:sz w:val="24"/>
                <w:szCs w:val="2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548,680</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assuming dilution</w:t>
            </w:r>
          </w:p>
        </w:tc>
        <w:tc>
          <w:tcPr>
            <w:tcW w:w="52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580,214</w:t>
            </w:r>
          </w:p>
        </w:tc>
        <w:tc>
          <w:tcPr>
            <w:tcW w:w="3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580,076</w:t>
            </w:r>
          </w:p>
        </w:tc>
        <w:tc>
          <w:tcPr>
            <w:tcW w:w="26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563,789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ectPr>
          <w:pgSz w:w="11900" w:h="16838" w:orient="portrait"/>
          <w:cols w:equalWidth="0" w:num="1">
            <w:col w:w="10239"/>
          </w:cols>
          <w:pgMar w:left="220" w:top="782" w:right="1440" w:bottom="1440" w:gutter="0" w:footer="0" w:header="0"/>
        </w:sectPr>
      </w:pPr>
    </w:p>
    <w:bookmarkStart w:id="17" w:name="page18"/>
    <w:bookmarkEnd w:id="17"/>
    <w:p>
      <w:pPr>
        <w:jc w:val="center"/>
        <w:ind w:right="3339"/>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thousands)</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080" w:type="dxa"/>
            <w:vAlign w:val="bottom"/>
          </w:tcPr>
          <w:p>
            <w:pPr>
              <w:spacing w:after="0"/>
              <w:rPr>
                <w:sz w:val="14"/>
                <w:szCs w:val="14"/>
                <w:color w:val="auto"/>
              </w:rPr>
            </w:pPr>
          </w:p>
        </w:tc>
        <w:tc>
          <w:tcPr>
            <w:tcW w:w="134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5"/>
              </w:rPr>
              <w:t>2001</w:t>
            </w:r>
          </w:p>
        </w:tc>
        <w:tc>
          <w:tcPr>
            <w:tcW w:w="760" w:type="dxa"/>
            <w:vAlign w:val="bottom"/>
          </w:tcPr>
          <w:p>
            <w:pPr>
              <w:spacing w:after="0"/>
              <w:rPr>
                <w:sz w:val="14"/>
                <w:szCs w:val="14"/>
                <w:color w:val="auto"/>
              </w:rPr>
            </w:pP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177,704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160,718</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1,439,997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2,879,432</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(2001 - $145,268; 2000 - $106,503)</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4,028,450</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2,768,848</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1,204,263</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1,111,585</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Deferred taxes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321,767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259,184</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532,709</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313,444</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7,704,890</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7,493,211</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108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576,000</w:t>
            </w:r>
          </w:p>
        </w:tc>
        <w:tc>
          <w:tcPr>
            <w:tcW w:w="7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1,547,132</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Investments in Affiliated Companies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820,806</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654,516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Fixed Assets less accumulated depreciation</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4,827,879</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4,394,514</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Multiclient Seismic Data</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1,028,954</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975,775</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6,260,969</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1,575,710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811,349</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140,717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Deferred Taxes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126,057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271,059</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169,463</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120,097</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$ 22,326,367</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$ 17,172,731</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4,506,634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2,910,725</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Estimated liability for taxes on income</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587,328</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379,916</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Dividend payable</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108,642</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108,043</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debt - current portion</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31,990</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36,201</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Bank &amp; short-term loans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983,191</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556,020</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6,217,785</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3,990,905</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6,215,709</w:t>
            </w:r>
          </w:p>
        </w:tc>
        <w:tc>
          <w:tcPr>
            <w:tcW w:w="7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3,573,047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504,797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476,380</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372,696</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231,870</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13,310,987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8,272,202</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8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636,899</w:t>
            </w:r>
          </w:p>
        </w:tc>
        <w:tc>
          <w:tcPr>
            <w:tcW w:w="7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605,313</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2,045,437</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1,963,905</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Income retained for use in the business</w:t>
            </w: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8,314,766</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8,223,476</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w:t>
            </w:r>
          </w:p>
        </w:tc>
        <w:tc>
          <w:tcPr>
            <w:tcW w:w="10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(1,694,884)</w:t>
            </w:r>
          </w:p>
        </w:tc>
        <w:tc>
          <w:tcPr>
            <w:tcW w:w="7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(1,752,961)</w:t>
            </w:r>
          </w:p>
        </w:tc>
      </w:tr>
      <w:tr>
        <w:trPr>
          <w:trHeight w:val="166"/>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w:t>
            </w:r>
          </w:p>
        </w:tc>
        <w:tc>
          <w:tcPr>
            <w:tcW w:w="10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(286,838)</w:t>
            </w:r>
          </w:p>
        </w:tc>
        <w:tc>
          <w:tcPr>
            <w:tcW w:w="7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(139,204)</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8,378,481</w:t>
            </w:r>
          </w:p>
        </w:tc>
        <w:tc>
          <w:tcPr>
            <w:tcW w:w="7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8,295,216</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4"/>
                <w:szCs w:val="2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$ 22,326,367</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$ 17,172,731</w:t>
            </w:r>
          </w:p>
        </w:tc>
      </w:tr>
      <w:tr>
        <w:trPr>
          <w:trHeight w:val="166"/>
        </w:trPr>
        <w:tc>
          <w:tcPr>
            <w:tcW w:w="4960" w:type="dxa"/>
            <w:vAlign w:val="bottom"/>
          </w:tcPr>
          <w:p>
            <w:pPr>
              <w:spacing w:after="0"/>
              <w:rPr>
                <w:sz w:val="14"/>
                <w:szCs w:val="14"/>
                <w:color w:val="auto"/>
              </w:rPr>
            </w:pPr>
          </w:p>
        </w:tc>
        <w:tc>
          <w:tcPr>
            <w:tcW w:w="24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8" w:name="page19"/>
    <w:bookmarkEnd w:id="18"/>
    <w:p>
      <w:pPr>
        <w:jc w:val="center"/>
        <w:ind w:right="4400"/>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(Stated in thousands)</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260" w:type="dxa"/>
            <w:vAlign w:val="bottom"/>
          </w:tcPr>
          <w:p>
            <w:pPr>
              <w:spacing w:after="0"/>
              <w:rPr>
                <w:sz w:val="14"/>
                <w:szCs w:val="14"/>
                <w:color w:val="auto"/>
              </w:rPr>
            </w:pPr>
          </w:p>
        </w:tc>
        <w:tc>
          <w:tcPr>
            <w:tcW w:w="1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spacing w:after="0"/>
              <w:rPr>
                <w:sz w:val="14"/>
                <w:szCs w:val="14"/>
                <w:color w:val="auto"/>
              </w:rPr>
            </w:pPr>
          </w:p>
        </w:tc>
        <w:tc>
          <w:tcPr>
            <w:tcW w:w="1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522,217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734,596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366,694</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cash provided by operating activities: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 /1/</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1,896,119</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1,270,754</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1,150,344</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Charges and gains on sale of businesses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271,174</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2,706</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128,508</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Derivatives marked to market</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(49,569)</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Earnings of companies carried at equity,</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780"/>
              <w:spacing w:after="0"/>
              <w:rPr>
                <w:sz w:val="20"/>
                <w:szCs w:val="20"/>
                <w:color w:val="auto"/>
              </w:rPr>
            </w:pPr>
            <w:r>
              <w:rPr>
                <w:rFonts w:ascii="Courier New" w:cs="Courier New" w:eastAsia="Courier New" w:hAnsi="Courier New"/>
                <w:sz w:val="14"/>
                <w:szCs w:val="14"/>
                <w:color w:val="auto"/>
              </w:rPr>
              <w:t>less dividends received (2001 - $ -;</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780"/>
              <w:spacing w:after="0"/>
              <w:rPr>
                <w:sz w:val="20"/>
                <w:szCs w:val="20"/>
                <w:color w:val="auto"/>
              </w:rPr>
            </w:pPr>
            <w:r>
              <w:rPr>
                <w:rFonts w:ascii="Courier New" w:cs="Courier New" w:eastAsia="Courier New" w:hAnsi="Courier New"/>
                <w:sz w:val="14"/>
                <w:szCs w:val="14"/>
                <w:color w:val="auto"/>
              </w:rPr>
              <w:t>2000 - $ -; 1999 - $3,401)</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(61,715)</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(39,805)</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(13,904)</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Deferred Taxes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14,216</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7,686</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(18,519)</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213,676</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56,619</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32,301</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37,943</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receivables</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(907,535)</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(364,130)</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265,588</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inventories</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(259,290)</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(194,640)</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53,790</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other current assets</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(8,048)</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(38,656)</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5,022</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accounts payable</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780"/>
              <w:spacing w:after="0"/>
              <w:rPr>
                <w:sz w:val="20"/>
                <w:szCs w:val="20"/>
                <w:color w:val="auto"/>
              </w:rPr>
            </w:pPr>
            <w:r>
              <w:rPr>
                <w:rFonts w:ascii="Courier New" w:cs="Courier New" w:eastAsia="Courier New" w:hAnsi="Courier New"/>
                <w:sz w:val="14"/>
                <w:szCs w:val="14"/>
                <w:color w:val="auto"/>
              </w:rPr>
              <w:t>and accrued liabilities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204,751</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493,104</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(181,731)</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estimated liability</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00" w:type="dxa"/>
            <w:vAlign w:val="bottom"/>
          </w:tcPr>
          <w:p>
            <w:pPr>
              <w:ind w:left="780"/>
              <w:spacing w:after="0"/>
              <w:rPr>
                <w:sz w:val="20"/>
                <w:szCs w:val="20"/>
                <w:color w:val="auto"/>
              </w:rPr>
            </w:pPr>
            <w:r>
              <w:rPr>
                <w:rFonts w:ascii="Courier New" w:cs="Courier New" w:eastAsia="Courier New" w:hAnsi="Courier New"/>
                <w:sz w:val="14"/>
                <w:szCs w:val="14"/>
                <w:color w:val="auto"/>
              </w:rPr>
              <w:t>for taxes on income</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12,626</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(12,069)</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(69,338)</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Decrease (Increase) in other assets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17,739</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(63,793)</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(43,166)</w:t>
            </w:r>
          </w:p>
        </w:tc>
      </w:tr>
      <w:tr>
        <w:trPr>
          <w:trHeight w:val="166"/>
        </w:trPr>
        <w:tc>
          <w:tcPr>
            <w:tcW w:w="5000" w:type="dxa"/>
            <w:vAlign w:val="bottom"/>
          </w:tcPr>
          <w:p>
            <w:pPr>
              <w:ind w:left="520"/>
              <w:spacing w:after="0"/>
              <w:rPr>
                <w:sz w:val="20"/>
                <w:szCs w:val="20"/>
                <w:color w:val="auto"/>
              </w:rPr>
            </w:pPr>
            <w:r>
              <w:rPr>
                <w:rFonts w:ascii="Courier New" w:cs="Courier New" w:eastAsia="Courier New" w:hAnsi="Courier New"/>
                <w:sz w:val="14"/>
                <w:szCs w:val="14"/>
                <w:color w:val="auto"/>
              </w:rPr>
              <w:t>Other - net</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(141,132)</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(182,729)</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(190,601)</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1,568,172</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1,645,325</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1,704,306</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Purchases of fixed assets</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(2,052,635)</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(1,323,015)</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(792,001)</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Multiclient seismic data capitalized</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(416,188)</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(222,934)</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(226,907)</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Sales/retirements of fixed assets &amp; other</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30,824</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149,494</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68,005</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Sema plc</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(4,778,498)</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Other businesses acquired</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(452,951)</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(1,075,446)</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(135,338)</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Sales of businesses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902,953</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154,843</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investments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2,430,911</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551,619</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(295,075)</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Sale of financial instruments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203,572</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Drilling fluids joint venture</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(325,000)</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(291,953)</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(4,335,584)</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(1,765,439)</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(1,794,697)</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(430,328)</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(426,465)</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(410,494)</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employee stock purchase plan</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78,965</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69,089</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70,765</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exercise of stock options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42,795</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160,281</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103,084</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exercise of stock warrants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449,625</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long-term debt</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4,815,028</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956,641</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1,062,935</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Payment of principal on long-term debt</w:t>
            </w:r>
          </w:p>
        </w:tc>
        <w:tc>
          <w:tcPr>
            <w:tcW w:w="12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(2,092,670)</w:t>
            </w:r>
          </w:p>
        </w:tc>
        <w:tc>
          <w:tcPr>
            <w:tcW w:w="70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(724,911)</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(916,242)</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Net increase (decrease) in short-term debt</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370,608</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113,608</w:t>
            </w: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(242,014)</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2,784,398</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148,243</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117,659</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increase in cash</w:t>
            </w:r>
          </w:p>
        </w:tc>
        <w:tc>
          <w:tcPr>
            <w:tcW w:w="126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16,986</w:t>
            </w:r>
          </w:p>
        </w:tc>
        <w:tc>
          <w:tcPr>
            <w:tcW w:w="700" w:type="dxa"/>
            <w:vAlign w:val="bottom"/>
          </w:tcPr>
          <w:p>
            <w:pPr>
              <w:spacing w:after="0"/>
              <w:rPr>
                <w:sz w:val="24"/>
                <w:szCs w:val="2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28,129</w:t>
            </w:r>
          </w:p>
        </w:tc>
        <w:tc>
          <w:tcPr>
            <w:tcW w:w="7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27,268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beginning of year</w:t>
            </w:r>
          </w:p>
        </w:tc>
        <w:tc>
          <w:tcPr>
            <w:tcW w:w="12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160,718</w:t>
            </w:r>
          </w:p>
        </w:tc>
        <w:tc>
          <w:tcPr>
            <w:tcW w:w="7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132,589</w:t>
            </w:r>
          </w:p>
        </w:tc>
        <w:tc>
          <w:tcPr>
            <w:tcW w:w="7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105,321</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END OF YEAR</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177,704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160,718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132,589</w:t>
            </w:r>
          </w:p>
        </w:tc>
      </w:tr>
      <w:tr>
        <w:trPr>
          <w:trHeight w:val="166"/>
        </w:trPr>
        <w:tc>
          <w:tcPr>
            <w:tcW w:w="50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Includes multiclient seismic data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00"/>
          </w:cols>
          <w:pgMar w:left="220" w:top="616" w:right="379" w:bottom="1440" w:gutter="0" w:footer="0" w:header="0"/>
        </w:sectPr>
      </w:pPr>
    </w:p>
    <w:bookmarkStart w:id="19" w:name="page20"/>
    <w:bookmarkEnd w:id="19"/>
    <w:p>
      <w:pPr>
        <w:jc w:val="center"/>
        <w:ind w:right="4480"/>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(Dollar amounts stated in thousands)</w:t>
            </w:r>
          </w:p>
        </w:tc>
      </w:tr>
      <w:tr>
        <w:trPr>
          <w:trHeight w:val="331"/>
        </w:trPr>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Accumulated Other</w:t>
            </w:r>
          </w:p>
        </w:tc>
        <w:tc>
          <w:tcPr>
            <w:tcW w:w="126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Common Stock</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Comprehensive Income</w:t>
            </w: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9"/>
                <w:szCs w:val="9"/>
                <w:color w:val="auto"/>
                <w:w w:val="77"/>
              </w:rPr>
              <w: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2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2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Issued</w:t>
            </w:r>
          </w:p>
        </w:tc>
        <w:tc>
          <w:tcPr>
            <w:tcW w:w="22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In Treasury</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Marked to</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Translation</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w:t>
            </w:r>
          </w:p>
        </w:tc>
      </w:tr>
      <w:tr>
        <w:trPr>
          <w:trHeight w:val="166"/>
        </w:trPr>
        <w:tc>
          <w:tcPr>
            <w:tcW w:w="2540" w:type="dxa"/>
            <w:vAlign w:val="bottom"/>
          </w:tcPr>
          <w:p>
            <w:pPr>
              <w:spacing w:after="0"/>
              <w:rPr>
                <w:sz w:val="14"/>
                <w:szCs w:val="14"/>
                <w:color w:val="auto"/>
              </w:rPr>
            </w:pPr>
          </w:p>
        </w:tc>
        <w:tc>
          <w:tcPr>
            <w:tcW w:w="44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Shares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Market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Adjustment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254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Balance, January 1, 1999</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665,701,858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$ 1,539,408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(119,567,982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$(2,221,308)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$ 8,882,455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(81,480)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$ 996,051</w:t>
            </w:r>
          </w:p>
        </w:tc>
      </w:tr>
      <w:tr>
        <w:trPr>
          <w:trHeight w:val="166"/>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(55,678)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(55,678)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Sales to optionees less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shares exchanged</w:t>
            </w: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28,100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41,931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3,291,288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61,153</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Employee stock purchase plan</w:t>
            </w: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1,324,848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70,765</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366,694</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366,694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Dividends declared ($0.75</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(414,210)</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Sedco Forex spin-off</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(918,327)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Exercise of stock warrants</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168,082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15,153,018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281,543</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667,054,806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1,820,186</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(101,123,676) (1,878,612)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7,916,612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(137,158)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$ 311,016</w:t>
            </w:r>
          </w:p>
        </w:tc>
      </w:tr>
      <w:tr>
        <w:trPr>
          <w:trHeight w:val="166"/>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(28,487)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(28,487)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Sales of businesses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26,441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26,441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Sales to optionees less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shares exchanged</w:t>
            </w: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30,987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61,224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5,331,268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99,057</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Employee stock purchase plan</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42,495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1,431,309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26,594</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734,596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734,596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Dividends declared ($0.75</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(427,732)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Tax benefit on stock options</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667,085,793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1,963,905</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(94,361,099) (1,752,961)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8,223,476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(139,204)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$ 732,550</w:t>
            </w:r>
          </w:p>
        </w:tc>
      </w:tr>
      <w:tr>
        <w:trPr>
          <w:trHeight w:val="166"/>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(171,930)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(171,930)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RMS disposition</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73,865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73,865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Derivatives marked to market</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(49,569)</w:t>
            </w:r>
          </w:p>
        </w:tc>
        <w:tc>
          <w:tcPr>
            <w:tcW w:w="10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(49,569)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Sales to optionees less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shares exchanged</w:t>
            </w:r>
          </w:p>
        </w:tc>
        <w:tc>
          <w:tcPr>
            <w:tcW w:w="11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8,385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17,130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1,399,686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25,420</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Shares granted to Directors</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Employee stock purchase plan</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46,397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1,752,833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32,568</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522,217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522,217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Dividends declared ($0.75</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(430,927)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Tax benefit on stock options</w:t>
            </w:r>
          </w:p>
        </w:tc>
        <w:tc>
          <w:tcPr>
            <w:tcW w:w="1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17,849</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667,094,178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$ 2,045,437</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(91,203,780)$(1,694,884)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$ 8,314,766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(49,569)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(237,269)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$ 374,583</w:t>
            </w:r>
          </w:p>
        </w:tc>
      </w:tr>
      <w:tr>
        <w:trPr>
          <w:trHeight w:val="166"/>
        </w:trPr>
        <w:tc>
          <w:tcPr>
            <w:tcW w:w="2540" w:type="dxa"/>
            <w:vAlign w:val="bottom"/>
          </w:tcPr>
          <w:p>
            <w:pPr>
              <w:spacing w:after="0"/>
              <w:rPr>
                <w:sz w:val="14"/>
                <w:szCs w:val="14"/>
                <w:color w:val="auto"/>
              </w:rPr>
            </w:pPr>
          </w:p>
        </w:tc>
        <w:tc>
          <w:tcPr>
            <w:tcW w:w="7580" w:type="dxa"/>
            <w:vAlign w:val="bottom"/>
            <w:gridSpan w:val="8"/>
          </w:tcPr>
          <w:p>
            <w:pPr>
              <w:jc w:val="right"/>
              <w:ind w:right="48"/>
              <w:spacing w:after="0"/>
              <w:rPr>
                <w:sz w:val="20"/>
                <w:szCs w:val="20"/>
                <w:color w:val="auto"/>
              </w:rPr>
            </w:pPr>
            <w:r>
              <w:rPr>
                <w:rFonts w:ascii="Courier New" w:cs="Courier New" w:eastAsia="Courier New" w:hAnsi="Courier New"/>
                <w:sz w:val="14"/>
                <w:szCs w:val="14"/>
                <w:color w:val="auto"/>
              </w:rPr>
              <w:t>======================== ======================== ============ ========== ===========</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80"/>
          </w:cols>
          <w:pgMar w:left="220" w:top="616" w:right="29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Accounting Policies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Consolidated Financial Statements of Schlumberger Limited and its subsidiaries have been prepared in accordance with accounting principles generally accepted in the United States of America. Refer to page XX for a description of Schlumberger's businesses.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 All inter-company accounts and transactions have been eliminated.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items from prior years have been reclassified to conform to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Significant estimates include estimates of total cost under percentage of completion contracts, useful life of identifiable intangibles, inventory reserves, pension and postretirement actuarial assumptions and allowance for bad debt. While actual results could differ from these estimates, management believes that the estimates are reasonable.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Services Revenue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Certain revenues are recognized on a time and materials basis, or on a percentage of completion basis, depending on the contract, as services are provided. Revenue from time and material service contracts are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Software Revenue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Revenue derived from the sale of licenses for its software, maintenance and related services may include installation, consulting and training services.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NON-US CURRENCIES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Oilfield Services' functional currency is primarily the US dollar. SchlumbergerSema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2001 results were transaction losses of $7 million, compared with losses of $4 million and $12 million in 2000 and 1999, respectively.</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2001, contracts were outstanding for the US dollar equivalent of $851 million in various foreign currencies. These contracts mature on various dates in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Both short-term and long-term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2001 were not significant.</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stated at average cost or at market, whichever is lower.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consists of materials, supplies and finished goods.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GOODWILL AND INTANGIBLE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Goodwill is amortized on a straight-line basis over 5 to 40 years. Accumulated goodwill amortization was $645 million and $563 million on December 31, 2001 and 2000, respectively. Intangible assets consist primarily of assembled workforce, technology, software and patents. Intangible assets are amortized over periods ranging from 3 to 10 years. Accumulated intangible assets amortization at December 31, 2001 and 2000 was $123 million and $35 million,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 AND DEPRECIATION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MULTICLIENT SEISMIC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INTEREST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Schlumberger capitalizes interest expense during the new construction or upgrade of qualifying assets. No interest expense was capitalized in 2001 and 2000. Interest expense capitalized in 1999 was $5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reviews the carrying value of its long-lived assets, including goodwill and intangible assets,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ON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Approximately $4 billion of consolidated income retained for use in the business on December 31, 2001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7" w:lineRule="exact"/>
        <w:rPr>
          <w:sz w:val="20"/>
          <w:szCs w:val="20"/>
          <w:color w:val="auto"/>
        </w:rPr>
      </w:pPr>
    </w:p>
    <w:p>
      <w:pPr>
        <w:ind w:left="2760"/>
        <w:spacing w:after="0"/>
        <w:tabs>
          <w:tab w:leader="none" w:pos="4460" w:val="left"/>
        </w:tabs>
        <w:rPr>
          <w:sz w:val="20"/>
          <w:szCs w:val="20"/>
          <w:color w:val="auto"/>
        </w:rPr>
      </w:pPr>
      <w:r>
        <w:rPr>
          <w:rFonts w:ascii="Courier New" w:cs="Courier New" w:eastAsia="Courier New" w:hAnsi="Courier New"/>
          <w:sz w:val="14"/>
          <w:szCs w:val="14"/>
          <w:color w:val="auto"/>
        </w:rPr>
        <w:t>Income from</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2860"/>
        <w:spacing w:after="0"/>
        <w:tabs>
          <w:tab w:leader="none" w:pos="4560" w:val="left"/>
          <w:tab w:leader="none" w:pos="5840" w:val="left"/>
        </w:tabs>
        <w:rPr>
          <w:sz w:val="20"/>
          <w:szCs w:val="20"/>
          <w:color w:val="auto"/>
        </w:rPr>
      </w:pPr>
      <w:r>
        <w:rPr>
          <w:rFonts w:ascii="Courier New" w:cs="Courier New" w:eastAsia="Courier New" w:hAnsi="Courier New"/>
          <w:sz w:val="14"/>
          <w:szCs w:val="14"/>
          <w:color w:val="auto"/>
        </w:rPr>
        <w:t>Continuing</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Earnings</w:t>
      </w:r>
    </w:p>
    <w:p>
      <w:pPr>
        <w:spacing w:after="0" w:line="7" w:lineRule="exact"/>
        <w:rPr>
          <w:sz w:val="20"/>
          <w:szCs w:val="20"/>
          <w:color w:val="auto"/>
        </w:rPr>
      </w:pPr>
    </w:p>
    <w:p>
      <w:pPr>
        <w:ind w:left="2860"/>
        <w:spacing w:after="0"/>
        <w:tabs>
          <w:tab w:leader="none" w:pos="4300" w:val="left"/>
          <w:tab w:leader="none" w:pos="576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ind w:left="2680"/>
        <w:spacing w:after="0"/>
        <w:tabs>
          <w:tab w:leader="none" w:pos="42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tab/>
        <w:t>522,217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574,328</w:t>
      </w:r>
    </w:p>
    <w:p>
      <w:pPr>
        <w:spacing w:after="0" w:line="20" w:lineRule="exact"/>
        <w:rPr>
          <w:sz w:val="20"/>
          <w:szCs w:val="20"/>
          <w:color w:val="auto"/>
        </w:rPr>
      </w:pPr>
      <w:r>
        <w:rPr>
          <w:sz w:val="20"/>
          <w:szCs w:val="20"/>
          <w:color w:val="auto"/>
        </w:rPr>
        <w:br w:type="column"/>
      </w: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2040" w:space="720"/>
            <w:col w:w="1180" w:space="720"/>
            <w:col w:w="600" w:space="44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79"/>
        <w:spacing w:after="0"/>
        <w:tabs>
          <w:tab w:leader="none" w:pos="220" w:val="left"/>
        </w:tabs>
        <w:rPr>
          <w:sz w:val="20"/>
          <w:szCs w:val="20"/>
          <w:color w:val="auto"/>
        </w:rPr>
      </w:pPr>
      <w:r>
        <w:rPr>
          <w:rFonts w:ascii="Courier New" w:cs="Courier New" w:eastAsia="Courier New" w:hAnsi="Courier New"/>
          <w:sz w:val="14"/>
          <w:szCs w:val="14"/>
          <w:color w:val="auto"/>
        </w:rPr>
        <w:t>$</w:t>
        <w:tab/>
        <w:t>522,217</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5,886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580,214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1960" w:space="720"/>
            <w:col w:w="1120" w:space="420"/>
            <w:col w:w="1120" w:space="36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2000</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tab/>
        <w:t>734,596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570,028</w:t>
      </w:r>
    </w:p>
    <w:p>
      <w:pPr>
        <w:spacing w:after="0" w:line="20" w:lineRule="exact"/>
        <w:rPr>
          <w:sz w:val="20"/>
          <w:szCs w:val="20"/>
          <w:color w:val="auto"/>
        </w:rPr>
      </w:pPr>
      <w:r>
        <w:rPr>
          <w:sz w:val="20"/>
          <w:szCs w:val="20"/>
          <w:color w:val="auto"/>
        </w:rPr>
        <w:br w:type="column"/>
      </w: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1.29</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2040" w:space="720"/>
            <w:col w:w="1180" w:space="720"/>
            <w:col w:w="600" w:space="44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79"/>
        <w:spacing w:after="0"/>
        <w:tabs>
          <w:tab w:leader="none" w:pos="220" w:val="left"/>
        </w:tabs>
        <w:rPr>
          <w:sz w:val="20"/>
          <w:szCs w:val="20"/>
          <w:color w:val="auto"/>
        </w:rPr>
      </w:pPr>
      <w:r>
        <w:rPr>
          <w:rFonts w:ascii="Courier New" w:cs="Courier New" w:eastAsia="Courier New" w:hAnsi="Courier New"/>
          <w:sz w:val="14"/>
          <w:szCs w:val="14"/>
          <w:color w:val="auto"/>
        </w:rPr>
        <w:t>$</w:t>
        <w:tab/>
        <w:t>734,596</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10,048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580,076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1.27</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1960" w:space="720"/>
            <w:col w:w="1120" w:space="420"/>
            <w:col w:w="1120" w:space="36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1999</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tab/>
        <w:t>329,334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548,680</w:t>
      </w:r>
    </w:p>
    <w:p>
      <w:pPr>
        <w:spacing w:after="0" w:line="20" w:lineRule="exact"/>
        <w:rPr>
          <w:sz w:val="20"/>
          <w:szCs w:val="20"/>
          <w:color w:val="auto"/>
        </w:rPr>
      </w:pPr>
      <w:r>
        <w:rPr>
          <w:sz w:val="20"/>
          <w:szCs w:val="20"/>
          <w:color w:val="auto"/>
        </w:rPr>
        <w:br w:type="column"/>
      </w: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0.60</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2040" w:space="720"/>
            <w:col w:w="1180" w:space="720"/>
            <w:col w:w="600" w:space="44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Effects of dilution: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Options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79"/>
        <w:spacing w:after="0"/>
        <w:tabs>
          <w:tab w:leader="none" w:pos="220" w:val="left"/>
        </w:tabs>
        <w:rPr>
          <w:sz w:val="20"/>
          <w:szCs w:val="20"/>
          <w:color w:val="auto"/>
        </w:rPr>
      </w:pPr>
      <w:r>
        <w:rPr>
          <w:rFonts w:ascii="Courier New" w:cs="Courier New" w:eastAsia="Courier New" w:hAnsi="Courier New"/>
          <w:sz w:val="14"/>
          <w:szCs w:val="14"/>
          <w:color w:val="auto"/>
        </w:rPr>
        <w:t>$</w:t>
        <w:tab/>
        <w:t>329,334</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7,916</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7,193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563,789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39"/>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0.58</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1960" w:space="720"/>
            <w:col w:w="1120" w:space="420"/>
            <w:col w:w="1120" w:space="360"/>
            <w:col w:w="45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&amp; ENGINEERING</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 The preliminary findings of an independent valuation indicated there will be no impairment writedown in 2002.</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24" w:name="page25"/>
    <w:bookmarkEnd w:id="24"/>
    <w:p>
      <w:pPr>
        <w:ind w:right="3939"/>
        <w:spacing w:after="0" w:line="255" w:lineRule="auto"/>
        <w:rPr>
          <w:sz w:val="20"/>
          <w:szCs w:val="20"/>
          <w:color w:val="auto"/>
        </w:rPr>
      </w:pPr>
      <w:r>
        <w:rPr>
          <w:rFonts w:ascii="Courier New" w:cs="Courier New" w:eastAsia="Courier New" w:hAnsi="Courier New"/>
          <w:sz w:val="14"/>
          <w:szCs w:val="14"/>
          <w:color w:val="auto"/>
        </w:rPr>
        <w:t>Amortization of goodwill and other intangibles included in Schlumberger's results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331"/>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Pretax</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38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2001</w:t>
            </w:r>
          </w:p>
        </w:tc>
        <w:tc>
          <w:tcPr>
            <w:tcW w:w="3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82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Work force</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 Intangibles</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6"/>
        </w:trPr>
        <w:tc>
          <w:tcPr>
            <w:tcW w:w="182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With the adoption of SFAS 142, the equivalent amount of amortization for other intangibles is estimated to be $70 million in 2002. Amortization of goodwill and work force ceases.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the FASB EITF staff issued announcement Topic D-103, "Income Statement Characterization of Reimbursements Received for "Out-of-Pocket"". As a result, customer reimbursements, including those relating to travel and other out-of-pocket expenses, and other similar third-party costs, will be required to be included as Revenues effective January 1, 2002, and an equivalent amount of reimbursable expenses will be included in expenses. The adoption of this announcement will not have an effect on net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 continuing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recorded the following charges/credits in continuing operations: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March 2001, a charge of $25 million for in-process R&amp;D related to the Bull CP8 acquisition.</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June 2001, a charge of $280 million ($0.48 per share - diluted) for the estimated impairment charge from the disposition of certain Resource Management Services businesses.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would be non-recourse to the buyer and would be executed prior to December 31, 2002. Accordingly, Schlumberger is obligated with respect to the financing to guarantee 30% (approximately $80 million) until the project is completed in late 2002. If as of December 31, 2002 refinancing has not become non-recourse to the buyer or the project has not achieved substantial completion, the buyer has an option to put its interest in such joint venture back to Schlumberger. The gain on the sale of this joint venture has been deferred.</w:t>
      </w:r>
    </w:p>
    <w:p>
      <w:pPr>
        <w:spacing w:after="0" w:line="32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December 2001, a pretax credit of $119 million (net - $5 million after tax and minority interest, $0.01 per share - diluted), consisting primarily of the following: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5" w:name="page26"/>
    <w:bookmarkEnd w:id="25"/>
    <w:p>
      <w:pPr>
        <w:ind w:left="620" w:right="3599" w:hanging="181"/>
        <w:spacing w:after="0" w:line="255"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$223 million ($117 million after tax) from the sale of the former Resource Management Services North American Water division.</w:t>
      </w:r>
    </w:p>
    <w:p>
      <w:pPr>
        <w:spacing w:after="0" w:line="160" w:lineRule="exact"/>
        <w:rPr>
          <w:sz w:val="20"/>
          <w:szCs w:val="20"/>
          <w:color w:val="auto"/>
        </w:rPr>
      </w:pPr>
    </w:p>
    <w:p>
      <w:pPr>
        <w:ind w:left="620" w:right="333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pretax charge of $43 million ($37 million after tax) for employee termination costs, principally in Europe and the US, related to Oilfield Services and SchlumbergerSema in response to current business conditions.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A tax charge for reorganization costs of $29 million.</w:t>
      </w:r>
    </w:p>
    <w:p>
      <w:pPr>
        <w:spacing w:after="0" w:line="173" w:lineRule="exact"/>
        <w:rPr>
          <w:sz w:val="20"/>
          <w:szCs w:val="20"/>
          <w:color w:val="auto"/>
        </w:rPr>
      </w:pPr>
    </w:p>
    <w:p>
      <w:pPr>
        <w:ind w:left="620" w:right="333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162" w:lineRule="exact"/>
        <w:rPr>
          <w:sz w:val="20"/>
          <w:szCs w:val="20"/>
          <w:color w:val="auto"/>
        </w:rPr>
      </w:pPr>
    </w:p>
    <w:p>
      <w:pPr>
        <w:ind w:left="620" w:right="3339" w:hanging="181"/>
        <w:spacing w:after="0" w:line="252"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$33 million pretax asset writedown ($23 after tax and minority interest) following a recent determination of technological impairment related to certain Land seismic assets in the newly formed joint venture.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above 2001 pretax amounts are recorded: an aggregated $119 million charge in Cost of goods sold and services, a $25 million charge in Research &amp; engineering and a $10 million credit in Minority interest.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December 2000, a pretax charge of $84 million offset by a pretax gain of $82 million (net - $3 million after tax and minority interest, $0.00 per share - diluted), consisting of the following:</w:t>
      </w:r>
    </w:p>
    <w:p>
      <w:pPr>
        <w:spacing w:after="0" w:line="163" w:lineRule="exact"/>
        <w:rPr>
          <w:sz w:val="20"/>
          <w:szCs w:val="20"/>
          <w:color w:val="auto"/>
        </w:rPr>
      </w:pPr>
    </w:p>
    <w:p>
      <w:pPr>
        <w:jc w:val="both"/>
        <w:ind w:left="620" w:right="3419" w:hanging="181"/>
        <w:spacing w:after="0" w:line="252"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($25 million after tax) related primarily to the write down of certain inventory and severance costs in the Semiconductor Solutions business due to weak market conditions.</w:t>
      </w:r>
    </w:p>
    <w:p>
      <w:pPr>
        <w:spacing w:after="0" w:line="163" w:lineRule="exact"/>
        <w:rPr>
          <w:sz w:val="20"/>
          <w:szCs w:val="20"/>
          <w:color w:val="auto"/>
        </w:rPr>
      </w:pPr>
    </w:p>
    <w:p>
      <w:pPr>
        <w:ind w:left="620" w:right="3679" w:hanging="181"/>
        <w:spacing w:after="0" w:line="252"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162" w:lineRule="exact"/>
        <w:rPr>
          <w:sz w:val="20"/>
          <w:szCs w:val="20"/>
          <w:color w:val="auto"/>
        </w:rPr>
      </w:pPr>
    </w:p>
    <w:p>
      <w:pPr>
        <w:ind w:left="620" w:right="3339" w:hanging="181"/>
        <w:spacing w:after="0" w:line="251"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pretax gain on the sale of the Gas Services businesses is included in Interest &amp; Other Income. The pretax Semiconductor Solutions and WesternGeco charges are included in Cost of goods sold and services. A $9 million credit is included in Minority Interest relating to the WesternGeco charges.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March 1999, a pretax charge of $147 million partially offset by a pretax gain of $103 million (net - $58 million after tax, $0.10 per share - diluted), consisting of the following:</w:t>
      </w:r>
    </w:p>
    <w:p>
      <w:pPr>
        <w:spacing w:after="0" w:line="163" w:lineRule="exact"/>
        <w:rPr>
          <w:sz w:val="20"/>
          <w:szCs w:val="20"/>
          <w:color w:val="auto"/>
        </w:rPr>
      </w:pPr>
    </w:p>
    <w:p>
      <w:pPr>
        <w:ind w:left="620" w:right="3679" w:hanging="181"/>
        <w:spacing w:after="0" w:line="252"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163" w:lineRule="exact"/>
        <w:rPr>
          <w:sz w:val="20"/>
          <w:szCs w:val="20"/>
          <w:color w:val="auto"/>
        </w:rPr>
      </w:pPr>
    </w:p>
    <w:p>
      <w:pPr>
        <w:ind w:left="620" w:right="3419" w:hanging="181"/>
        <w:spacing w:after="0" w:line="251"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write-downs.</w:t>
      </w:r>
    </w:p>
    <w:p>
      <w:pPr>
        <w:spacing w:after="0" w:line="165" w:lineRule="exact"/>
        <w:rPr>
          <w:sz w:val="20"/>
          <w:szCs w:val="20"/>
          <w:color w:val="auto"/>
        </w:rPr>
      </w:pPr>
    </w:p>
    <w:p>
      <w:pPr>
        <w:ind w:left="620" w:right="3519" w:hanging="181"/>
        <w:spacing w:after="0" w:line="252"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$103 million ($80 million after tax) from the gain on the sale of financial instruments received in connection with the 1998 sale of the Retail Petroleum Systems business.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6" w:name="page27"/>
    <w:bookmarkEnd w:id="26"/>
    <w:p>
      <w:pPr>
        <w:jc w:val="both"/>
        <w:ind w:right="3519"/>
        <w:spacing w:after="0" w:line="252" w:lineRule="auto"/>
        <w:rPr>
          <w:sz w:val="20"/>
          <w:szCs w:val="20"/>
          <w:color w:val="auto"/>
        </w:rPr>
      </w:pPr>
      <w:r>
        <w:rPr>
          <w:rFonts w:ascii="Courier New" w:cs="Courier New" w:eastAsia="Courier New" w:hAnsi="Courier New"/>
          <w:sz w:val="14"/>
          <w:szCs w:val="14"/>
          <w:color w:val="auto"/>
        </w:rPr>
        <w:t>The pretax gain on the sale of financial instruments is included in Interest &amp; other income. The pretax charge of $147 million is classified in Cost of goods sold and services.</w:t>
      </w:r>
    </w:p>
    <w:p>
      <w:pPr>
        <w:spacing w:after="0" w:line="16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In December 1999, a pretax charge of $77 million ($71 million after tax), classified in Cost of goods sold and services, consisting primarily of the following:</w:t>
      </w:r>
    </w:p>
    <w:p>
      <w:pPr>
        <w:spacing w:after="0" w:line="163" w:lineRule="exact"/>
        <w:rPr>
          <w:sz w:val="20"/>
          <w:szCs w:val="20"/>
          <w:color w:val="auto"/>
        </w:rPr>
      </w:pPr>
    </w:p>
    <w:p>
      <w:pPr>
        <w:ind w:left="620" w:right="3339" w:hanging="181"/>
        <w:spacing w:after="0" w:line="252"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 million ($26 million after tax) including $23 million of asset impairments and $8 million of severance costs related to reductions in the marine seismic fleet due to depressed market conditions.</w:t>
      </w:r>
    </w:p>
    <w:p>
      <w:pPr>
        <w:spacing w:after="0" w:line="163" w:lineRule="exact"/>
        <w:rPr>
          <w:sz w:val="20"/>
          <w:szCs w:val="20"/>
          <w:color w:val="auto"/>
        </w:rPr>
      </w:pPr>
    </w:p>
    <w:p>
      <w:pPr>
        <w:ind w:left="620" w:right="3339" w:hanging="181"/>
        <w:spacing w:after="0" w:line="252"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December 2001 charge included severance costs of $41 million (775 people) of which $9 million (318 people) had been paid at December 31, 2001. The remaining severance costs are expected to be paid before June 30, 2002. The December 2000 charges included severance costs of $9 million (380 people) which have been paid.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65"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Results for the Sedco Forex operations spun off by Schlumberger for this transaction are reported as discontinued operations in the Consolidated Statement of Income.</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Discontinued Operations on the Consolidated Statement of Income includes the operating results of the spun-off Sedco Forex business and the following charges:</w:t>
      </w:r>
    </w:p>
    <w:p>
      <w:pPr>
        <w:spacing w:after="0" w:line="163" w:lineRule="exact"/>
        <w:rPr>
          <w:sz w:val="20"/>
          <w:szCs w:val="20"/>
          <w:color w:val="auto"/>
        </w:rPr>
      </w:pPr>
    </w:p>
    <w:p>
      <w:pPr>
        <w:ind w:left="620" w:right="3519" w:hanging="181"/>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an after-tax charge of $50 million ($0.09 per share - diluted) for costs directly associated with the spin-off.</w:t>
      </w:r>
    </w:p>
    <w:p>
      <w:pPr>
        <w:spacing w:after="0" w:line="160" w:lineRule="exact"/>
        <w:rPr>
          <w:sz w:val="20"/>
          <w:szCs w:val="20"/>
          <w:color w:val="auto"/>
        </w:rPr>
      </w:pPr>
    </w:p>
    <w:p>
      <w:pPr>
        <w:ind w:left="620" w:right="3779" w:hanging="181"/>
        <w:spacing w:after="0" w:line="255"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an after-tax charge of $33 million ($0.06 per share - diluted) for severance costs ($13 million) and legal claims.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7" w:name="page28"/>
    <w:bookmarkEnd w:id="27"/>
    <w:p>
      <w:pPr>
        <w:ind w:right="3679"/>
        <w:spacing w:after="0" w:line="255" w:lineRule="auto"/>
        <w:rPr>
          <w:sz w:val="20"/>
          <w:szCs w:val="20"/>
          <w:color w:val="auto"/>
        </w:rPr>
      </w:pPr>
      <w:r>
        <w:rPr>
          <w:rFonts w:ascii="Courier New" w:cs="Courier New" w:eastAsia="Courier New" w:hAnsi="Courier New"/>
          <w:sz w:val="14"/>
          <w:szCs w:val="14"/>
          <w:color w:val="auto"/>
        </w:rPr>
        <w:t>Summarized 1999 financial information for the discontinued operations,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1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080" w:type="dxa"/>
            <w:vAlign w:val="bottom"/>
          </w:tcPr>
          <w:p>
            <w:pPr>
              <w:spacing w:after="0"/>
              <w:rPr>
                <w:sz w:val="14"/>
                <w:szCs w:val="14"/>
                <w:color w:val="auto"/>
              </w:rPr>
            </w:pPr>
          </w:p>
        </w:tc>
        <w:tc>
          <w:tcPr>
            <w:tcW w:w="21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648</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29</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Income after taxes</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Sema plc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On March 8, 2001, a wholly owned subsidiary of Schlumberger acquired, through market purchases, approximately 20% of the issued share capital of Sema at a cost of $1 billion.</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3, 2001, wholly owned subsidiaries of Schlumberger issued $1.9 billion European bonds (Euro 1.4 billion and (pound)425 million). The average rate of these bonds is 5.9% with maturity from 2008 through 2032. The proceeds from the issues were used to repay short-term bank loans originally taken out by those subsidiaries to finance the acquisition of Sema plc.</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acquisition was accounted for using the purchase method of accounting and the goodwill and identifiable intangibles aggregated $5.19 billion which are being amortized on a straight line basis. Goodwill and identifiable intangibles are currently amortized on a straight line basis over a composite life of 18 years.</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aggregate value of goodwill and identifiable intangibles comprised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billions)</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(including expenses)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 accounting adjustments /1/</w:t>
            </w:r>
          </w:p>
        </w:tc>
        <w:tc>
          <w:tcPr>
            <w:tcW w:w="9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tangible assets acquired</w:t>
            </w:r>
          </w:p>
        </w:tc>
        <w:tc>
          <w:tcPr>
            <w:tcW w:w="9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(0.30)</w:t>
            </w:r>
          </w:p>
        </w:tc>
      </w:tr>
      <w:tr>
        <w:trPr>
          <w:trHeight w:val="166"/>
        </w:trPr>
        <w:tc>
          <w:tcPr>
            <w:tcW w:w="3360" w:type="dxa"/>
            <w:vAlign w:val="bottom"/>
          </w:tcPr>
          <w:p>
            <w:pPr>
              <w:spacing w:after="0"/>
              <w:rPr>
                <w:sz w:val="14"/>
                <w:szCs w:val="14"/>
                <w:color w:val="auto"/>
              </w:rPr>
            </w:pPr>
          </w:p>
        </w:tc>
        <w:tc>
          <w:tcPr>
            <w:tcW w:w="21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5.19</w:t>
            </w:r>
          </w:p>
        </w:tc>
      </w:tr>
      <w:tr>
        <w:trPr>
          <w:trHeight w:val="166"/>
        </w:trPr>
        <w:tc>
          <w:tcPr>
            <w:tcW w:w="3360" w:type="dxa"/>
            <w:vAlign w:val="bottom"/>
          </w:tcPr>
          <w:p>
            <w:pPr>
              <w:spacing w:after="0"/>
              <w:rPr>
                <w:sz w:val="14"/>
                <w:szCs w:val="14"/>
                <w:color w:val="auto"/>
              </w:rPr>
            </w:pPr>
          </w:p>
        </w:tc>
        <w:tc>
          <w:tcPr>
            <w:tcW w:w="21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700" w:right="3419" w:hanging="261"/>
        <w:spacing w:after="0" w:line="251"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The remaining severance costs are expected to be paid before June 30, 2002.</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8" w:name="page29"/>
    <w:bookmarkEnd w:id="28"/>
    <w:p>
      <w:pPr>
        <w:ind w:right="3419"/>
        <w:spacing w:after="0" w:line="252" w:lineRule="auto"/>
        <w:rPr>
          <w:sz w:val="20"/>
          <w:szCs w:val="20"/>
          <w:color w:val="auto"/>
        </w:rPr>
      </w:pPr>
      <w:r>
        <w:rPr>
          <w:rFonts w:ascii="Courier New" w:cs="Courier New" w:eastAsia="Courier New" w:hAnsi="Courier New"/>
          <w:sz w:val="14"/>
          <w:szCs w:val="14"/>
          <w:color w:val="auto"/>
        </w:rPr>
        <w:t>lower interest income. On a proforma basis, Schlumberger 2000 operating revenue and net income would have been $12 billion (unaudited) and $300 million (unaudited), respectively.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Acquisitions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2001, subsidiaries of Schlumberger acquired the following:</w:t>
      </w:r>
    </w:p>
    <w:p>
      <w:pPr>
        <w:spacing w:after="0" w:line="173" w:lineRule="exact"/>
        <w:rPr>
          <w:sz w:val="20"/>
          <w:szCs w:val="20"/>
          <w:color w:val="auto"/>
        </w:rPr>
      </w:pPr>
    </w:p>
    <w:p>
      <w:pPr>
        <w:ind w:left="620" w:right="3339" w:hanging="181"/>
        <w:spacing w:after="0" w:line="251"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330" w:lineRule="exact"/>
        <w:rPr>
          <w:sz w:val="20"/>
          <w:szCs w:val="20"/>
          <w:color w:val="auto"/>
        </w:rPr>
      </w:pPr>
    </w:p>
    <w:p>
      <w:pPr>
        <w:ind w:left="620" w:right="3519" w:hanging="181"/>
        <w:spacing w:after="0" w:line="252"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Infosynergi ASA, a Norwegian based company specializing in customer information and billing systems integration. The acquisition price was $29 million in cash. Assets acquired included goodwill of $29 million.</w:t>
      </w:r>
    </w:p>
    <w:p>
      <w:pPr>
        <w:spacing w:after="0" w:line="162" w:lineRule="exact"/>
        <w:rPr>
          <w:sz w:val="20"/>
          <w:szCs w:val="20"/>
          <w:color w:val="auto"/>
        </w:rPr>
      </w:pPr>
    </w:p>
    <w:p>
      <w:pPr>
        <w:ind w:left="620" w:right="3339" w:hanging="181"/>
        <w:spacing w:after="0" w:line="25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164" w:lineRule="exact"/>
        <w:rPr>
          <w:sz w:val="20"/>
          <w:szCs w:val="20"/>
          <w:color w:val="auto"/>
        </w:rPr>
      </w:pPr>
    </w:p>
    <w:p>
      <w:pPr>
        <w:ind w:left="620" w:right="3419" w:hanging="181"/>
        <w:spacing w:after="0" w:line="251"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2000, subsidiaries of Schlumberger acquired the following:</w:t>
      </w:r>
    </w:p>
    <w:p>
      <w:pPr>
        <w:spacing w:after="0" w:line="173" w:lineRule="exact"/>
        <w:rPr>
          <w:sz w:val="20"/>
          <w:szCs w:val="20"/>
          <w:color w:val="auto"/>
        </w:rPr>
      </w:pPr>
    </w:p>
    <w:p>
      <w:pPr>
        <w:ind w:left="620" w:right="3779" w:hanging="181"/>
        <w:spacing w:after="0" w:line="252"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Telweb Inc., an Internet access company based in Quebec, Canada. The purchase price was $28 million and the assets acquired included goodwill of $28 million.</w:t>
      </w:r>
    </w:p>
    <w:p>
      <w:pPr>
        <w:spacing w:after="0" w:line="163" w:lineRule="exact"/>
        <w:rPr>
          <w:sz w:val="20"/>
          <w:szCs w:val="20"/>
          <w:color w:val="auto"/>
        </w:rPr>
      </w:pPr>
    </w:p>
    <w:p>
      <w:pPr>
        <w:ind w:left="620" w:right="333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Operational Services, Inc., which provides a systematic approach to production management though efficient systems and processes. The purchase price was $13 million and the assets acquired included goodwill of $13 million.</w:t>
      </w:r>
    </w:p>
    <w:p>
      <w:pPr>
        <w:spacing w:after="0" w:line="162" w:lineRule="exact"/>
        <w:rPr>
          <w:sz w:val="20"/>
          <w:szCs w:val="20"/>
          <w:color w:val="auto"/>
        </w:rPr>
      </w:pPr>
    </w:p>
    <w:p>
      <w:pPr>
        <w:ind w:left="620" w:right="3419" w:hanging="181"/>
        <w:spacing w:after="0" w:line="251"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164" w:lineRule="exact"/>
        <w:rPr>
          <w:sz w:val="20"/>
          <w:szCs w:val="20"/>
          <w:color w:val="auto"/>
        </w:rPr>
      </w:pPr>
    </w:p>
    <w:p>
      <w:pPr>
        <w:ind w:left="620" w:right="3419" w:hanging="181"/>
        <w:spacing w:after="0" w:line="252"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9" w:name="page30"/>
    <w:bookmarkEnd w:id="29"/>
    <w:p>
      <w:pPr>
        <w:ind w:left="620" w:right="3339" w:hanging="181"/>
        <w:spacing w:after="0" w:line="252"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162" w:lineRule="exact"/>
        <w:rPr>
          <w:sz w:val="20"/>
          <w:szCs w:val="20"/>
          <w:color w:val="auto"/>
        </w:rPr>
      </w:pPr>
    </w:p>
    <w:p>
      <w:pPr>
        <w:ind w:left="620" w:right="3339" w:hanging="181"/>
        <w:spacing w:after="0" w:line="251"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Unaudited APB 16 proforma results pertaining to the above acquisitions are not presented as the impact was not significant.</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and the total goodwill arising on the acquisitions was $106 million.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Oilfield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Affiliated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2001 and 2000 was $573 million and $461 million, respectively. Schlumberger's equity income from this joint venture in 2001 was $51 million and $33 million in 2000.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Balance Sheet reflects the Schlumberger investment portfolio separated between current and long term, based on maturity. Except for $146 million of investments which are considered trading on December 31, 2001 ($139 million in 2000), under normal circumstances it is the intent of Schlumberger to hold the investments until maturity.</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Long-term investments mature as follows: $123 million in 2003, $173 million in 2004 and $280 million in 2005.</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On December 31, 2001, there were no interest rate swap arrangements outstanding related to investments. Interest rate swap arrangements had no material effect on consolidated interest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September 2000, a wholly-owned subsidiary of Schlumberger entered into an agreement to sell, on an ongoing basis, up to $220 million of an undivided interest in its accounts receivable and subsequently amended up to $350 million. The amount of receivables sold under this agreement totaled $176 million at December 31, 2001. Costs of the program, which primarily consist of the purchasers' financing and administrative costs, were not significant.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30" w:name="page31"/>
    <w:bookmarkEnd w:id="30"/>
    <w:p>
      <w:pPr>
        <w:ind w:right="3339"/>
        <w:spacing w:after="0" w:line="252" w:lineRule="auto"/>
        <w:rPr>
          <w:sz w:val="20"/>
          <w:szCs w:val="20"/>
          <w:color w:val="auto"/>
        </w:rPr>
      </w:pPr>
      <w:r>
        <w:rPr>
          <w:rFonts w:ascii="Courier New" w:cs="Courier New" w:eastAsia="Courier New" w:hAnsi="Courier New"/>
          <w:sz w:val="14"/>
          <w:szCs w:val="14"/>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fixed assets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2001</w:t>
            </w:r>
          </w:p>
        </w:tc>
        <w:tc>
          <w:tcPr>
            <w:tcW w:w="560" w:type="dxa"/>
            <w:vAlign w:val="bottom"/>
          </w:tcPr>
          <w:p>
            <w:pPr>
              <w:spacing w:after="0"/>
              <w:rPr>
                <w:sz w:val="14"/>
                <w:szCs w:val="14"/>
                <w:color w:val="auto"/>
              </w:rPr>
            </w:pPr>
          </w:p>
        </w:tc>
        <w:tc>
          <w:tcPr>
            <w:tcW w:w="7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9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Building &amp; Improvements</w:t>
            </w:r>
          </w:p>
        </w:tc>
        <w:tc>
          <w:tcPr>
            <w:tcW w:w="7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1,050</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Machinery &amp; Equipment</w:t>
            </w:r>
          </w:p>
        </w:tc>
        <w:tc>
          <w:tcPr>
            <w:tcW w:w="7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10,047</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9,661</w:t>
            </w:r>
          </w:p>
        </w:tc>
      </w:tr>
      <w:tr>
        <w:trPr>
          <w:trHeight w:val="166"/>
        </w:trPr>
        <w:tc>
          <w:tcPr>
            <w:tcW w:w="29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cost</w:t>
            </w:r>
          </w:p>
        </w:tc>
        <w:tc>
          <w:tcPr>
            <w:tcW w:w="7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11,179</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10,822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7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6,351</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6,427</w:t>
            </w:r>
          </w:p>
        </w:tc>
      </w:tr>
      <w:tr>
        <w:trPr>
          <w:trHeight w:val="166"/>
        </w:trPr>
        <w:tc>
          <w:tcPr>
            <w:tcW w:w="29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4,395</w:t>
            </w:r>
          </w:p>
        </w:tc>
      </w:tr>
      <w:tr>
        <w:trPr>
          <w:trHeight w:val="166"/>
        </w:trPr>
        <w:tc>
          <w:tcPr>
            <w:tcW w:w="29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estimated useful lives of Buildings &amp; Improvements are primarily 30 to 40 years. For Machinery &amp; Equipment, 13% is being depreciated over 16 to 25 years, 14% over 10 to 15 years and 73% over 2 to 9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long-term debt by currency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0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080" w:type="dxa"/>
            <w:vAlign w:val="bottom"/>
          </w:tcPr>
          <w:p>
            <w:pPr>
              <w:spacing w:after="0"/>
              <w:rPr>
                <w:sz w:val="14"/>
                <w:szCs w:val="14"/>
                <w:color w:val="auto"/>
              </w:rPr>
            </w:pP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US dollar</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3,194</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Euro</w:t>
            </w:r>
          </w:p>
        </w:tc>
        <w:tc>
          <w:tcPr>
            <w:tcW w:w="10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1,565</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UK pound</w:t>
            </w:r>
          </w:p>
        </w:tc>
        <w:tc>
          <w:tcPr>
            <w:tcW w:w="10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1,201</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Canadian dollar</w:t>
            </w:r>
          </w:p>
        </w:tc>
        <w:tc>
          <w:tcPr>
            <w:tcW w:w="10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Japanese yen</w:t>
            </w:r>
          </w:p>
        </w:tc>
        <w:tc>
          <w:tcPr>
            <w:tcW w:w="10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080" w:type="dxa"/>
            <w:vAlign w:val="bottom"/>
          </w:tcPr>
          <w:p>
            <w:pPr>
              <w:spacing w:after="0"/>
              <w:rPr>
                <w:sz w:val="14"/>
                <w:szCs w:val="14"/>
                <w:color w:val="auto"/>
              </w:rPr>
            </w:pP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6,216</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3,573</w:t>
            </w:r>
          </w:p>
        </w:tc>
      </w:tr>
      <w:tr>
        <w:trPr>
          <w:trHeight w:val="166"/>
        </w:trPr>
        <w:tc>
          <w:tcPr>
            <w:tcW w:w="2080" w:type="dxa"/>
            <w:vAlign w:val="bottom"/>
          </w:tcPr>
          <w:p>
            <w:pPr>
              <w:spacing w:after="0"/>
              <w:rPr>
                <w:sz w:val="14"/>
                <w:szCs w:val="14"/>
                <w:color w:val="auto"/>
              </w:rPr>
            </w:pP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December 2001, the principal US subsidiary of Schlumberger initiated a US commercial paper program. At December 31, 2001, commercial paper borrowings totaled $335 million with a weighted average interest rate of 2.04%. Commercial paper borrowings are supported by a revolving credit agreement with the principal US subsidiary.</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December 31, 2001, the Euro borrowings included $747 million of 7 year bonds at 5.25% and $441 million of 10 year bonds at 5.875% issued by a principal subsidiary in France. The aggregate fair market value at December 31, 2001 approximated the stated value.</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December 31, 2001, the UK pound borrowings included $362 million of 7 year bonds at 6.25% and $253 million of 31 year bonds at 6.50% issued by a principal subsidiary in the UK. The aggregate fair market value at December 31, 2001 was $642 million.</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remainder of the long-term debt is at variable interest rates; the weighted-average interest rate of the debt outstanding on December 31, 2001 was 3.19%. Such rates are reset every six months or sooner. The carrying value of long-term debt on December 31, 2001 approximates the aggregate fair market value.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1" w:name="page32"/>
    <w:bookmarkEnd w:id="31"/>
    <w:p>
      <w:pPr>
        <w:ind w:right="3419"/>
        <w:spacing w:after="0" w:line="252" w:lineRule="auto"/>
        <w:rPr>
          <w:sz w:val="20"/>
          <w:szCs w:val="20"/>
          <w:color w:val="auto"/>
        </w:rPr>
      </w:pPr>
      <w:r>
        <w:rPr>
          <w:rFonts w:ascii="Courier New" w:cs="Courier New" w:eastAsia="Courier New" w:hAnsi="Courier New"/>
          <w:sz w:val="14"/>
          <w:szCs w:val="14"/>
          <w:color w:val="auto"/>
        </w:rPr>
        <w:t>Long-term debt on December 31, 2001, is due as follows: $3,129 million in 2003, $571 million in 2004, $485 million in 2005, $138 million in 2006 and $1,893 million thereafter.</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On December 31, 2001, interest rate swap arrangements outstanding were: pay fixed/receive floating on US dollar debt of $800 million; pay fixed/receive floating on Japanese yen debt of $84 million. These arrangements mature at various dates to December 2009. Interest rate swap arrangements increased consolidated interest expense in 2001 by $16 million.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31, 2001, wholly owned subsidiaries of Schlumberger had separate lines of credit agreements aggregating $7.7 billion with commercial banks, of which $7.1 billion was committed and $2.5 billion was available and unused. Interest rates and other terms of borrowing under these lines of credit vary from country to country. Commercial paper borrowings are classified as long-term debt to the extent of the available and unused committed facilities maturing in more than one year because of the ability under these credit agreements and the intent to maintain these obligations for longer than one year. In January 2002, Schlumberger and its subsidiaries replaced $2.5 billion of revolving credit agreements and $1.8 billion of term loans with three new revolving credit agreements totaling $4.6 billion, of which $3.6 billion matures in January 2007 and $1 billion matures in January 2003. Schlumberger plans to use these new revolving credit facilities to backup borrowings under its commercial paper programs in the United States and Europe and therefore expects these facilities to remain largely undrawn. At January 31, 2002, $3.7 billion of these new facilities was available unused.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Schlumberger's specific goals are (1) to manage interest rate sensitivity by modifying the repricing or maturity characteristics of certain of its debt and (2) to lower (where possible) the cost of borrowed funds.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December 31, 2001, Schlumberger recognized a net $49.5 million charge in Stockholders' Equity relating to derivative instruments and hedging activities. This charge was primarily due to the change in the fair market value of Schlumberger's US interest rate swaps as a result of declining interest rates. The effect on Stockholders' Equity as of the date of adoption, January 1, 2001, was not significant.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Capital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is authorized to issue 1,500,000,000 shares of common stock, par value $0.01 per share, of which 575,890,398 and 572,724,694 shares were outstanding on December 31, 2001 and 2000,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of December 31, 2001,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determined based on the fair value at the</w:t>
            </w:r>
          </w:p>
        </w:tc>
        <w:tc>
          <w:tcPr>
            <w:tcW w:w="24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grant dates for awards under</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those</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plans, consistent with the method of SFAS</w:t>
            </w:r>
          </w:p>
        </w:tc>
        <w:tc>
          <w:tcPr>
            <w:tcW w:w="24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123, Schlumberger net income</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and</w:t>
            </w:r>
          </w:p>
        </w:tc>
        <w:tc>
          <w:tcPr>
            <w:tcW w:w="600" w:type="dxa"/>
            <w:vAlign w:val="bottom"/>
          </w:tcPr>
          <w:p>
            <w:pPr>
              <w:spacing w:after="0"/>
              <w:rPr>
                <w:sz w:val="14"/>
                <w:szCs w:val="14"/>
                <w:color w:val="auto"/>
              </w:rPr>
            </w:pPr>
          </w:p>
        </w:tc>
      </w:tr>
      <w:tr>
        <w:trPr>
          <w:trHeight w:val="166"/>
        </w:trPr>
        <w:tc>
          <w:tcPr>
            <w:tcW w:w="6380" w:type="dxa"/>
            <w:vAlign w:val="bottom"/>
            <w:gridSpan w:val="7"/>
          </w:tcPr>
          <w:p>
            <w:pPr>
              <w:spacing w:after="0"/>
              <w:rPr>
                <w:sz w:val="20"/>
                <w:szCs w:val="20"/>
                <w:color w:val="auto"/>
              </w:rPr>
            </w:pPr>
            <w:r>
              <w:rPr>
                <w:rFonts w:ascii="Courier New" w:cs="Courier New" w:eastAsia="Courier New" w:hAnsi="Courier New"/>
                <w:sz w:val="14"/>
                <w:szCs w:val="14"/>
                <w:color w:val="auto"/>
              </w:rPr>
              <w:t>earnings per share would have been the pro forma amounts indicated below:</w:t>
            </w:r>
          </w:p>
        </w:tc>
        <w:tc>
          <w:tcPr>
            <w:tcW w:w="600" w:type="dxa"/>
            <w:vAlign w:val="bottom"/>
          </w:tcPr>
          <w:p>
            <w:pPr>
              <w:spacing w:after="0"/>
              <w:rPr>
                <w:sz w:val="14"/>
                <w:szCs w:val="14"/>
                <w:color w:val="auto"/>
              </w:rPr>
            </w:pPr>
          </w:p>
        </w:tc>
      </w:tr>
      <w:tr>
        <w:trPr>
          <w:trHeight w:val="663"/>
        </w:trPr>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(Stated in millions except per share amounts)</w:t>
            </w:r>
          </w:p>
        </w:tc>
      </w:tr>
      <w:tr>
        <w:trPr>
          <w:trHeight w:val="166"/>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r>
      <w:tr>
        <w:trPr>
          <w:trHeight w:val="166"/>
        </w:trPr>
        <w:tc>
          <w:tcPr>
            <w:tcW w:w="2460" w:type="dxa"/>
            <w:vAlign w:val="bottom"/>
          </w:tcPr>
          <w:p>
            <w:pPr>
              <w:spacing w:after="0"/>
              <w:rPr>
                <w:sz w:val="14"/>
                <w:szCs w:val="14"/>
                <w:color w:val="auto"/>
              </w:rPr>
            </w:pPr>
          </w:p>
        </w:tc>
        <w:tc>
          <w:tcPr>
            <w:tcW w:w="15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522</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735</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633</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0.91</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1.29</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0.67</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1.11</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0.91</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0.67</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1.09</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2001, 2000, 1999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2001, 2000 and 1999: dividend of $0.75; expected volatility of 32-35% for 2001 grants, 27-33% for 2000 grants and 25-29% for 1999 grants; risk-free interest rates for the 2001 grants of 4.91% for officers and 3.87%-5.01% for the 2001 grants to all other employees; risk-free interest rates for the 2000 grants of 5.75%-6.84% for officers and</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5.69%-6.72% for the 2000 grants to all other employees; risk-free interest rates for the 1999 grants of 4.92%-5.29% for officers and 4.80%-6.25% for the 1999 grants to all other employees; and expected option lives of 5.51 years for officers and 5.02 years for other employees for 2001 grants, expected option lives of 7.16 years for officers and 5.49 years for other employees for 2000 grants, 7.14 years for officers and 5.28 years for other employees for 1999 grants.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3" w:name="page34"/>
    <w:bookmarkEnd w:id="33"/>
    <w:p>
      <w:pPr>
        <w:ind w:right="3720"/>
        <w:spacing w:after="0" w:line="252" w:lineRule="auto"/>
        <w:rPr>
          <w:sz w:val="20"/>
          <w:szCs w:val="20"/>
          <w:color w:val="auto"/>
        </w:rPr>
      </w:pPr>
      <w:r>
        <w:rPr>
          <w:rFonts w:ascii="Courier New" w:cs="Courier New" w:eastAsia="Courier New" w:hAnsi="Courier New"/>
          <w:sz w:val="14"/>
          <w:szCs w:val="14"/>
          <w:color w:val="auto"/>
        </w:rPr>
        <w:t>A summary of the status of the Schlumberger stock option plans as of December 31, 2001, 2000 and 1999, and changes during the years ending on those dates is presented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2001</w:t>
            </w:r>
          </w:p>
        </w:tc>
        <w:tc>
          <w:tcPr>
            <w:tcW w:w="1100" w:type="dxa"/>
            <w:vAlign w:val="bottom"/>
          </w:tcPr>
          <w:p>
            <w:pPr>
              <w:spacing w:after="0"/>
              <w:rPr>
                <w:sz w:val="14"/>
                <w:szCs w:val="14"/>
                <w:color w:val="auto"/>
              </w:rPr>
            </w:pPr>
          </w:p>
        </w:tc>
        <w:tc>
          <w:tcPr>
            <w:tcW w:w="15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spacing w:after="0"/>
              <w:rPr>
                <w:sz w:val="14"/>
                <w:szCs w:val="14"/>
                <w:color w:val="auto"/>
              </w:rPr>
            </w:pP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1999/1/</w:t>
            </w:r>
          </w:p>
        </w:tc>
      </w:tr>
      <w:tr>
        <w:trPr>
          <w:trHeight w:val="166"/>
        </w:trPr>
        <w:tc>
          <w:tcPr>
            <w:tcW w:w="1900" w:type="dxa"/>
            <w:vAlign w:val="bottom"/>
          </w:tcPr>
          <w:p>
            <w:pPr>
              <w:spacing w:after="0"/>
              <w:rPr>
                <w:sz w:val="14"/>
                <w:szCs w:val="14"/>
                <w:color w:val="auto"/>
              </w:rPr>
            </w:pPr>
          </w:p>
        </w:tc>
        <w:tc>
          <w:tcPr>
            <w:tcW w:w="3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Weighted-</w:t>
            </w:r>
          </w:p>
        </w:tc>
        <w:tc>
          <w:tcPr>
            <w:tcW w:w="1100" w:type="dxa"/>
            <w:vAlign w:val="bottom"/>
          </w:tcPr>
          <w:p>
            <w:pPr>
              <w:spacing w:after="0"/>
              <w:rPr>
                <w:sz w:val="14"/>
                <w:szCs w:val="1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15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average</w:t>
            </w:r>
          </w:p>
        </w:tc>
        <w:tc>
          <w:tcPr>
            <w:tcW w:w="1100" w:type="dxa"/>
            <w:vAlign w:val="bottom"/>
          </w:tcPr>
          <w:p>
            <w:pPr>
              <w:spacing w:after="0"/>
              <w:rPr>
                <w:sz w:val="14"/>
                <w:szCs w:val="14"/>
                <w:color w:val="auto"/>
              </w:rPr>
            </w:pP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150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100" w:type="dxa"/>
            <w:vAlign w:val="bottom"/>
          </w:tcPr>
          <w:p>
            <w:pPr>
              <w:spacing w:after="0"/>
              <w:rPr>
                <w:sz w:val="14"/>
                <w:szCs w:val="14"/>
                <w:color w:val="auto"/>
              </w:rPr>
            </w:pP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exercise</w:t>
            </w:r>
          </w:p>
        </w:tc>
        <w:tc>
          <w:tcPr>
            <w:tcW w:w="100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Fixed Options</w:t>
            </w:r>
          </w:p>
        </w:tc>
        <w:tc>
          <w:tcPr>
            <w:tcW w:w="1720" w:type="dxa"/>
            <w:vAlign w:val="bottom"/>
          </w:tcPr>
          <w:p>
            <w:pPr>
              <w:ind w:left="1040"/>
              <w:spacing w:after="0"/>
              <w:rPr>
                <w:sz w:val="20"/>
                <w:szCs w:val="20"/>
                <w:color w:val="auto"/>
              </w:rPr>
            </w:pPr>
            <w:r>
              <w:rPr>
                <w:rFonts w:ascii="Courier New" w:cs="Courier New" w:eastAsia="Courier New" w:hAnsi="Courier New"/>
                <w:sz w:val="14"/>
                <w:szCs w:val="14"/>
                <w:color w:val="auto"/>
              </w:rPr>
              <w:t>Shares</w:t>
            </w:r>
          </w:p>
        </w:tc>
        <w:tc>
          <w:tcPr>
            <w:tcW w:w="148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price</w:t>
            </w:r>
          </w:p>
        </w:tc>
        <w:tc>
          <w:tcPr>
            <w:tcW w:w="1100" w:type="dxa"/>
            <w:vAlign w:val="bottom"/>
          </w:tcPr>
          <w:p>
            <w:pPr>
              <w:ind w:left="500"/>
              <w:spacing w:after="0"/>
              <w:rPr>
                <w:sz w:val="20"/>
                <w:szCs w:val="20"/>
                <w:color w:val="auto"/>
              </w:rPr>
            </w:pPr>
            <w:r>
              <w:rPr>
                <w:rFonts w:ascii="Courier New" w:cs="Courier New" w:eastAsia="Courier New" w:hAnsi="Courier New"/>
                <w:sz w:val="14"/>
                <w:szCs w:val="14"/>
                <w:color w:val="auto"/>
              </w:rPr>
              <w:t>Shares</w:t>
            </w: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price</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150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4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31,208,321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$ 54.43</w:t>
            </w:r>
          </w:p>
        </w:tc>
        <w:tc>
          <w:tcPr>
            <w:tcW w:w="4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31,613,924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46.25</w:t>
            </w:r>
          </w:p>
        </w:tc>
        <w:tc>
          <w:tcPr>
            <w:tcW w:w="4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30,310,579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42.50</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44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4,110,468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$ 61.55</w:t>
            </w:r>
          </w:p>
        </w:tc>
        <w:tc>
          <w:tcPr>
            <w:tcW w:w="42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5,643,500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79.64</w:t>
            </w:r>
          </w:p>
        </w:tc>
        <w:tc>
          <w:tcPr>
            <w:tcW w:w="40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6,012,168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54.04</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(1,444,588)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$ 31.88</w:t>
            </w:r>
          </w:p>
        </w:tc>
        <w:tc>
          <w:tcPr>
            <w:tcW w:w="42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(5,447,870)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30.76</w:t>
            </w:r>
          </w:p>
        </w:tc>
        <w:tc>
          <w:tcPr>
            <w:tcW w:w="4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(3,634,790)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28.68</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44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(1,037,861)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$ 71.27</w:t>
            </w:r>
          </w:p>
        </w:tc>
        <w:tc>
          <w:tcPr>
            <w:tcW w:w="42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(601,233)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62.03</w:t>
            </w:r>
          </w:p>
        </w:tc>
        <w:tc>
          <w:tcPr>
            <w:tcW w:w="4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(1,074,033)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250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Outstanding at year-end</w:t>
            </w:r>
          </w:p>
        </w:tc>
        <w:tc>
          <w:tcPr>
            <w:tcW w:w="4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32,836,340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$ 55.80</w:t>
            </w:r>
          </w:p>
        </w:tc>
        <w:tc>
          <w:tcPr>
            <w:tcW w:w="4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31,208,321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w:t>
            </w:r>
          </w:p>
        </w:tc>
        <w:tc>
          <w:tcPr>
            <w:tcW w:w="4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31,613,924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46.25</w:t>
            </w:r>
          </w:p>
        </w:tc>
      </w:tr>
      <w:tr>
        <w:trPr>
          <w:trHeight w:val="166"/>
        </w:trPr>
        <w:tc>
          <w:tcPr>
            <w:tcW w:w="250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year-end</w:t>
            </w:r>
          </w:p>
        </w:tc>
        <w:tc>
          <w:tcPr>
            <w:tcW w:w="4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19,724,680</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16,277,868</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16,396,821</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Weighted-average fair</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value of options granted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during the year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21.51</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30.03</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17.72</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360" w:right="3540" w:hanging="343"/>
        <w:spacing w:after="0" w:line="252" w:lineRule="auto"/>
        <w:rPr>
          <w:sz w:val="20"/>
          <w:szCs w:val="20"/>
          <w:color w:val="auto"/>
        </w:rPr>
      </w:pPr>
      <w:r>
        <w:rPr>
          <w:rFonts w:ascii="Courier New" w:cs="Courier New" w:eastAsia="Courier New" w:hAnsi="Courier New"/>
          <w:sz w:val="14"/>
          <w:szCs w:val="14"/>
          <w:color w:val="auto"/>
        </w:rPr>
        <w:t>/1/ Shares and exercise price have been restated to reflect adjustments made as a result of the spin-off of Sedco Forex, in accordance with EITF Issue 90-9, Changes to Fixed Employee Stock Option Plans as Result of Equity Restructuring.</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440"/>
          </w:cols>
          <w:pgMar w:left="220" w:top="616" w:right="1239" w:bottom="1440" w:gutter="0" w:footer="0" w:header="0"/>
        </w:sectPr>
      </w:pPr>
    </w:p>
    <w:bookmarkStart w:id="34" w:name="page35"/>
    <w:bookmarkEnd w:id="34"/>
    <w:p>
      <w:pPr>
        <w:ind w:right="3419"/>
        <w:spacing w:after="0" w:line="255"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on December 31, 2001: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Options Outstanding</w:t>
            </w:r>
          </w:p>
        </w:tc>
        <w:tc>
          <w:tcPr>
            <w:tcW w:w="1160" w:type="dxa"/>
            <w:vAlign w:val="bottom"/>
          </w:tcPr>
          <w:p>
            <w:pPr>
              <w:spacing w:after="0"/>
              <w:rPr>
                <w:sz w:val="14"/>
                <w:szCs w:val="14"/>
                <w:color w:val="auto"/>
              </w:rPr>
            </w:pPr>
          </w:p>
        </w:tc>
        <w:tc>
          <w:tcPr>
            <w:tcW w:w="27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190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w:t>
            </w:r>
          </w:p>
        </w:tc>
        <w:tc>
          <w:tcPr>
            <w:tcW w:w="116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Weighted-</w:t>
            </w:r>
          </w:p>
        </w:tc>
        <w:tc>
          <w:tcPr>
            <w:tcW w:w="17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900" w:type="dxa"/>
            <w:vAlign w:val="bottom"/>
          </w:tcPr>
          <w:p>
            <w:pPr>
              <w:spacing w:after="0"/>
              <w:rPr>
                <w:sz w:val="14"/>
                <w:szCs w:val="14"/>
                <w:color w:val="auto"/>
              </w:rPr>
            </w:pP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Number</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ind w:left="740"/>
              <w:spacing w:after="0"/>
              <w:rPr>
                <w:sz w:val="20"/>
                <w:szCs w:val="20"/>
                <w:color w:val="auto"/>
              </w:rPr>
            </w:pPr>
            <w:r>
              <w:rPr>
                <w:rFonts w:ascii="Courier New" w:cs="Courier New" w:eastAsia="Courier New" w:hAnsi="Courier New"/>
                <w:sz w:val="14"/>
                <w:szCs w:val="14"/>
                <w:color w:val="auto"/>
              </w:rPr>
              <w:t>Number</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2160" w:type="dxa"/>
            <w:vAlign w:val="bottom"/>
          </w:tcPr>
          <w:p>
            <w:pPr>
              <w:ind w:left="860"/>
              <w:spacing w:after="0"/>
              <w:rPr>
                <w:sz w:val="20"/>
                <w:szCs w:val="20"/>
                <w:color w:val="auto"/>
              </w:rPr>
            </w:pPr>
            <w:r>
              <w:rPr>
                <w:rFonts w:ascii="Courier New" w:cs="Courier New" w:eastAsia="Courier New" w:hAnsi="Courier New"/>
                <w:sz w:val="14"/>
                <w:szCs w:val="14"/>
                <w:color w:val="auto"/>
              </w:rPr>
              <w:t>outstanding</w:t>
            </w: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remaining</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exercise</w:t>
            </w:r>
          </w:p>
        </w:tc>
        <w:tc>
          <w:tcPr>
            <w:tcW w:w="1720" w:type="dxa"/>
            <w:vAlign w:val="bottom"/>
          </w:tcPr>
          <w:p>
            <w:pPr>
              <w:ind w:left="480"/>
              <w:spacing w:after="0"/>
              <w:rPr>
                <w:sz w:val="20"/>
                <w:szCs w:val="20"/>
                <w:color w:val="auto"/>
              </w:rPr>
            </w:pPr>
            <w:r>
              <w:rPr>
                <w:rFonts w:ascii="Courier New" w:cs="Courier New" w:eastAsia="Courier New" w:hAnsi="Courier New"/>
                <w:sz w:val="14"/>
                <w:szCs w:val="14"/>
                <w:color w:val="auto"/>
              </w:rPr>
              <w:t>exercisable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as of 12/31/01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contractual life</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price</w:t>
            </w: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as of 12/31/01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3.831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$22.073</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162,795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$18.573</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162,795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$18.573</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24.142</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$30.710</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7,270,886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$27.808</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7,270,886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$27.808</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30.795</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$44.843</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4,465,540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$39.253</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4,114,998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$38.778</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46.075</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$65.330</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9,917,581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$56.857</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2,744,519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$53.966</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71.315</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$82.348</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11,019,538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$80.582</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5,431,482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$80.974</w:t>
            </w:r>
          </w:p>
        </w:tc>
      </w:tr>
      <w:tr>
        <w:trPr>
          <w:trHeight w:val="166"/>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32,836,340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$55.803</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19,724,680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$48.300</w:t>
            </w:r>
          </w:p>
        </w:tc>
      </w:tr>
      <w:tr>
        <w:trPr>
          <w:trHeight w:val="166"/>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1,752,833, 1,431,309 and 1,324,848 shares to employees in 2001, 2000 and 1999, respectively. Compensation cost has been computed for the fair value of the employees' purchase rights, which was estimated using the Black-Scholes model with the following assumptions for 2001, 2000 and 1999: Dividend of $0.75; expected life of one year; expected volatility of 36% for 2001, 38% for 2000 and 40% for 1999; and risk-free interest rates of 3.03% for 2001, 5.71% for 2000 and 5.33% for 1999. The weighted-average fair value of those purchase rights granted in 2001, 2000 and 1999, was $15.540, $23.141 and $19.829,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Schlumberger and its subsidiaries operate in more than 100 taxing jurisdictions where statutory tax rates generally vary from 0% to 50%.</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2001, pretax book income in the US included gains from business divestitures aggregating approximately $360 million; outside the US, pretax book income includes losses on business divestitures of approximately $300 million. Pretax book income from continuing operations subject to US and non-US income taxes for each of the three years ended December 31, was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3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1999</w:t>
            </w:r>
          </w:p>
        </w:tc>
      </w:tr>
      <w:tr>
        <w:trPr>
          <w:trHeight w:val="166"/>
        </w:trPr>
        <w:tc>
          <w:tcPr>
            <w:tcW w:w="23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714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Outside United States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c>
          <w:tcPr>
            <w:tcW w:w="4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910</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w:t>
            </w:r>
          </w:p>
        </w:tc>
      </w:tr>
      <w:tr>
        <w:trPr>
          <w:trHeight w:val="166"/>
        </w:trPr>
        <w:tc>
          <w:tcPr>
            <w:tcW w:w="23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w:t>
            </w:r>
          </w:p>
        </w:tc>
      </w:tr>
      <w:tr>
        <w:trPr>
          <w:trHeight w:val="166"/>
        </w:trPr>
        <w:tc>
          <w:tcPr>
            <w:tcW w:w="23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Schlumberger had net deductible temporary differences of $1.0 billion on December 31, 2001, $1.0 billion on December 31, 2000 and $1.1 billion on December 31, 1999. Temporary differences at December 31, 2001 pertain to postretirement medical benefits ($0.5 billion), employee benefits ($0.2 billion), and fixed assets, inventory and other ($0.2 billion).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35" w:name="page36"/>
    <w:bookmarkEnd w:id="35"/>
    <w:p>
      <w:pPr>
        <w:ind w:right="3679"/>
        <w:spacing w:after="0" w:line="255" w:lineRule="auto"/>
        <w:rPr>
          <w:sz w:val="20"/>
          <w:szCs w:val="20"/>
          <w:color w:val="auto"/>
        </w:rPr>
      </w:pPr>
      <w:r>
        <w:rPr>
          <w:rFonts w:ascii="Courier New" w:cs="Courier New" w:eastAsia="Courier New" w:hAnsi="Courier New"/>
          <w:sz w:val="14"/>
          <w:szCs w:val="14"/>
          <w:color w:val="auto"/>
        </w:rPr>
        <w:t>The components of consolidated income tax expense from continuing operations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460" w:type="dxa"/>
            <w:vAlign w:val="bottom"/>
          </w:tcPr>
          <w:p>
            <w:pPr>
              <w:spacing w:after="0"/>
              <w:rPr>
                <w:sz w:val="14"/>
                <w:szCs w:val="14"/>
                <w:color w:val="auto"/>
              </w:rPr>
            </w:pPr>
          </w:p>
        </w:tc>
        <w:tc>
          <w:tcPr>
            <w:tcW w:w="1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United States - Federal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United States - State</w:t>
            </w:r>
          </w:p>
        </w:tc>
        <w:tc>
          <w:tcPr>
            <w:tcW w:w="5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46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Outside United States</w:t>
            </w:r>
          </w:p>
        </w:tc>
        <w:tc>
          <w:tcPr>
            <w:tcW w:w="5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w:t>
            </w:r>
          </w:p>
        </w:tc>
        <w:tc>
          <w:tcPr>
            <w:tcW w:w="46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United States - Federal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United States - State</w:t>
            </w:r>
          </w:p>
        </w:tc>
        <w:tc>
          <w:tcPr>
            <w:tcW w:w="5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4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Outside United States</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46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Consolidated taxes on income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56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46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7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2001, Schlumberger recorded several charges/credits in continuing operations as more fully described on page XXX. Excluding these charges/credits, the consolidated effective tax rate would have been 32%. Excluding the charges/credits and amortization of goodwill/intangibles, the consolidated effective tax rate would have been 27%. The variation from the US statutory federal tax rate (35%) and 27% was due primarily to a substantial proportion of operations in countries where taxation on income is lower than in the US.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2000 and 1999,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and 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rental expense was $390 million in 2001, $287 million in 2000 and $303 million in 1999. Future minimum rental commitments under noncancelable leases for years ending December 31 are: $173 million in 2002; $152 million in 2003; $141 million in 2004; $108 million in 2005; and $108 million in 2006. For the ensuing three five-year periods, these commitments decrease from $300 million to $76 million. The minimum rentals over the remaining terms of the leases aggregate to $32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6" w:name="page37"/>
    <w:bookmarkEnd w:id="36"/>
    <w:p>
      <w:pPr>
        <w:ind w:right="3339"/>
        <w:spacing w:after="0" w:line="251" w:lineRule="auto"/>
        <w:rPr>
          <w:sz w:val="20"/>
          <w:szCs w:val="20"/>
          <w:color w:val="auto"/>
        </w:rPr>
      </w:pPr>
      <w:r>
        <w:rPr>
          <w:rFonts w:ascii="Courier New" w:cs="Courier New" w:eastAsia="Courier New" w:hAnsi="Courier New"/>
          <w:sz w:val="14"/>
          <w:szCs w:val="14"/>
          <w:color w:val="auto"/>
        </w:rPr>
        <w:t>Schlumberger' 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Schlumberger operates two reportable segments: Oilfield Services (OFS) and SchlumbergerSema (SLSEMA).</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Oilfield Services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SchlumbergerSema segment is a leading information technology services company providing domain expertise and global capabilities delivered on a local basis. The company has proven capabilities delivering consulting, systems integration, managed services and products serving the telecommunications, energy &amp; utilities, finance, transport, public sector markets and oil and gas markets.</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7" w:name="page38"/>
    <w:bookmarkEnd w:id="37"/>
    <w:p>
      <w:pPr>
        <w:ind w:right="4660"/>
        <w:spacing w:after="0" w:line="255" w:lineRule="auto"/>
        <w:rPr>
          <w:sz w:val="20"/>
          <w:szCs w:val="20"/>
          <w:color w:val="auto"/>
        </w:rPr>
      </w:pPr>
      <w:r>
        <w:rPr>
          <w:rFonts w:ascii="Courier New" w:cs="Courier New" w:eastAsia="Courier New" w:hAnsi="Courier New"/>
          <w:sz w:val="14"/>
          <w:szCs w:val="14"/>
          <w:color w:val="auto"/>
        </w:rPr>
        <w:t>Financial information for the years ended December 31, 2001, 2000 and 1999, by segment,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Other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Elims/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NAM</w:t>
            </w:r>
          </w:p>
        </w:tc>
        <w:tc>
          <w:tcPr>
            <w:tcW w:w="240" w:type="dxa"/>
            <w:vAlign w:val="bottom"/>
          </w:tcPr>
          <w:p>
            <w:pPr>
              <w:spacing w:after="0"/>
              <w:rPr>
                <w:sz w:val="14"/>
                <w:szCs w:val="14"/>
                <w:color w:val="auto"/>
              </w:rPr>
            </w:pPr>
          </w:p>
        </w:tc>
        <w:tc>
          <w:tcPr>
            <w:tcW w:w="6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LAM</w:t>
            </w:r>
          </w:p>
        </w:tc>
        <w:tc>
          <w:tcPr>
            <w:tcW w:w="22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ECA</w:t>
            </w:r>
          </w:p>
        </w:tc>
        <w:tc>
          <w:tcPr>
            <w:tcW w:w="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Eastern</w:t>
            </w:r>
          </w:p>
        </w:tc>
        <w:tc>
          <w:tcPr>
            <w:tcW w:w="220" w:type="dxa"/>
            <w:vAlign w:val="bottom"/>
          </w:tcPr>
          <w:p>
            <w:pPr>
              <w:spacing w:after="0"/>
              <w:rPr>
                <w:sz w:val="14"/>
                <w:szCs w:val="14"/>
                <w:color w:val="auto"/>
              </w:rPr>
            </w:pPr>
          </w:p>
        </w:tc>
        <w:tc>
          <w:tcPr>
            <w:tcW w:w="7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Elims</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OFS</w:t>
            </w: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SLSEMA</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Other/(1)/</w:t>
            </w:r>
          </w:p>
        </w:tc>
        <w:tc>
          <w:tcPr>
            <w:tcW w:w="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Other Consolidated</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9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$ 3,655</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$ 1,479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2,139</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$ 2,105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$ 9,773</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$ 3,045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$ 13,746</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$ 1,288</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(303)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/(2)/</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c>
          <w:tcPr>
            <w:tcW w:w="2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w:t>
            </w:r>
          </w:p>
        </w:tc>
        <w:tc>
          <w:tcPr>
            <w:tcW w:w="2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(114)</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 before tax</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MI</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880</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$ 1,859</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(420)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1,495</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60" w:type="dxa"/>
            <w:vAlign w:val="bottom"/>
            <w:gridSpan w:val="17"/>
          </w:tcPr>
          <w:p>
            <w:pPr>
              <w:jc w:val="cente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Pretax Income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Assets</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$ 3,086</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$ 1,606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2,206</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$ 1,751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$ 8,254</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$ 19,961</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Corporate Assets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2,365</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$ 22,326</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Depreciation/Amortization/(3)/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$ 1,354</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1,896</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$ 2,160</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2,469</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320" w:type="dxa"/>
            <w:vAlign w:val="bottom"/>
            <w:gridSpan w:val="11"/>
          </w:tcPr>
          <w:p>
            <w:pPr>
              <w:jc w:val="center"/>
              <w:ind w:right="308"/>
              <w:spacing w:after="0"/>
              <w:rPr>
                <w:sz w:val="20"/>
                <w:szCs w:val="20"/>
                <w:color w:val="auto"/>
              </w:rPr>
            </w:pPr>
            <w:r>
              <w:rPr>
                <w:rFonts w:ascii="Courier New" w:cs="Courier New" w:eastAsia="Courier New" w:hAnsi="Courier New"/>
                <w:sz w:val="14"/>
                <w:szCs w:val="14"/>
                <w:color w:val="auto"/>
              </w:rPr>
              <w:t>Includes Semiconductor Solutions and the divested Resource Management</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Systems businesses.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6320" w:type="dxa"/>
            <w:vAlign w:val="bottom"/>
            <w:gridSpan w:val="11"/>
          </w:tcPr>
          <w:p>
            <w:pPr>
              <w:jc w:val="center"/>
              <w:ind w:right="308"/>
              <w:spacing w:after="0"/>
              <w:rPr>
                <w:sz w:val="20"/>
                <w:szCs w:val="20"/>
                <w:color w:val="auto"/>
              </w:rPr>
            </w:pPr>
            <w:r>
              <w:rPr>
                <w:rFonts w:ascii="Courier New" w:cs="Courier New" w:eastAsia="Courier New" w:hAnsi="Courier New"/>
                <w:sz w:val="14"/>
                <w:szCs w:val="14"/>
                <w:color w:val="auto"/>
              </w:rPr>
              <w:t>2001 income tax expense excludes $163 million related to the Charges.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3700" w:type="dxa"/>
            <w:vAlign w:val="bottom"/>
            <w:gridSpan w:val="5"/>
          </w:tcPr>
          <w:p>
            <w:pPr>
              <w:spacing w:after="0"/>
              <w:rPr>
                <w:sz w:val="20"/>
                <w:szCs w:val="20"/>
                <w:color w:val="auto"/>
              </w:rPr>
            </w:pPr>
            <w:r>
              <w:rPr>
                <w:rFonts w:ascii="Courier New" w:cs="Courier New" w:eastAsia="Courier New" w:hAnsi="Courier New"/>
                <w:sz w:val="14"/>
                <w:szCs w:val="14"/>
                <w:color w:val="auto"/>
              </w:rPr>
              <w:t>Includes multiclient seismic data costs.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28"/>
        </w:trPr>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Other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Elims/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NAM</w:t>
            </w:r>
          </w:p>
        </w:tc>
        <w:tc>
          <w:tcPr>
            <w:tcW w:w="240" w:type="dxa"/>
            <w:vAlign w:val="bottom"/>
          </w:tcPr>
          <w:p>
            <w:pPr>
              <w:spacing w:after="0"/>
              <w:rPr>
                <w:sz w:val="14"/>
                <w:szCs w:val="14"/>
                <w:color w:val="auto"/>
              </w:rPr>
            </w:pPr>
          </w:p>
        </w:tc>
        <w:tc>
          <w:tcPr>
            <w:tcW w:w="6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LAM</w:t>
            </w:r>
          </w:p>
        </w:tc>
        <w:tc>
          <w:tcPr>
            <w:tcW w:w="22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ECA</w:t>
            </w:r>
          </w:p>
        </w:tc>
        <w:tc>
          <w:tcPr>
            <w:tcW w:w="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Eastern</w:t>
            </w:r>
          </w:p>
        </w:tc>
        <w:tc>
          <w:tcPr>
            <w:tcW w:w="220" w:type="dxa"/>
            <w:vAlign w:val="bottom"/>
          </w:tcPr>
          <w:p>
            <w:pPr>
              <w:spacing w:after="0"/>
              <w:rPr>
                <w:sz w:val="14"/>
                <w:szCs w:val="14"/>
                <w:color w:val="auto"/>
              </w:rPr>
            </w:pPr>
          </w:p>
        </w:tc>
        <w:tc>
          <w:tcPr>
            <w:tcW w:w="7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Elims</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OFS</w:t>
            </w: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SLSEMA</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Other/(1)/</w:t>
            </w:r>
          </w:p>
        </w:tc>
        <w:tc>
          <w:tcPr>
            <w:tcW w:w="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Other Consolidated</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9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$ 2,413</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1,603</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$ 7,146</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$ 1,049</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$ 1,475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9,611</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$ 769</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/(2)/</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c>
          <w:tcPr>
            <w:tcW w:w="2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2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 before tax</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MI</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$ 1,062</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60" w:type="dxa"/>
            <w:vAlign w:val="bottom"/>
            <w:gridSpan w:val="17"/>
          </w:tcPr>
          <w:p>
            <w:pPr>
              <w:jc w:val="cente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Pretax Income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Segment Assets</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$ 2,984</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$ 1,305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1,689</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$ 1,475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$ 9,337</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$ 1,339</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$ 1,170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$ 11,846</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Corporate Assets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5,327</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$ 17,173</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Depreciation/Amortization/(3)/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$ 1,052</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1,271</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c>
          <w:tcPr>
            <w:tcW w:w="2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$ 1,363</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1,546</w:t>
            </w:r>
          </w:p>
        </w:tc>
      </w:tr>
      <w:tr>
        <w:trPr>
          <w:trHeight w:val="166"/>
        </w:trPr>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8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700" w:right="4740" w:hanging="599"/>
        <w:spacing w:after="0" w:line="250" w:lineRule="auto"/>
        <w:tabs>
          <w:tab w:leader="none" w:pos="680" w:val="left"/>
        </w:tabs>
        <w:rPr>
          <w:sz w:val="20"/>
          <w:szCs w:val="20"/>
          <w:color w:val="auto"/>
        </w:rPr>
      </w:pPr>
      <w:r>
        <w:rPr>
          <w:rFonts w:ascii="Courier New" w:cs="Courier New" w:eastAsia="Courier New" w:hAnsi="Courier New"/>
          <w:sz w:val="14"/>
          <w:szCs w:val="14"/>
          <w:color w:val="auto"/>
        </w:rPr>
        <w:t>/(1)/</w:t>
        <w:tab/>
        <w:t>Includes Semiconductor Solutions and the divested Resource Management Systems businesses.</w:t>
      </w:r>
    </w:p>
    <w:p>
      <w:pPr>
        <w:spacing w:after="0" w:line="1"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/(2)/</w:t>
        <w:tab/>
        <w:t>2000 income tax expense excludes $10 million related to the Charges.</w:t>
      </w:r>
    </w:p>
    <w:p>
      <w:pPr>
        <w:spacing w:after="0" w:line="7"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/(3)/</w:t>
        <w:tab/>
        <w:t>Includes multiclient seismic data costs.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380"/>
          </w:cols>
          <w:pgMar w:left="220" w:top="616"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Elims/</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NAM</w:t>
            </w:r>
          </w:p>
        </w:tc>
        <w:tc>
          <w:tcPr>
            <w:tcW w:w="2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LAM</w:t>
            </w:r>
          </w:p>
        </w:tc>
        <w:tc>
          <w:tcPr>
            <w:tcW w:w="26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ECA</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Eastern</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Elims</w:t>
            </w:r>
          </w:p>
        </w:tc>
        <w:tc>
          <w:tcPr>
            <w:tcW w:w="3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OFS</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SLSEMA</w:t>
            </w:r>
          </w:p>
        </w:tc>
        <w:tc>
          <w:tcPr>
            <w:tcW w:w="164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Other/(1)/ Other</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$1,649</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$ 947</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$ 1,514</w:t>
            </w:r>
          </w:p>
        </w:tc>
        <w:tc>
          <w:tcPr>
            <w:tcW w:w="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$ 1,561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9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$ 5,936</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$ 851</w:t>
            </w:r>
          </w:p>
        </w:tc>
        <w:tc>
          <w:tcPr>
            <w:tcW w:w="9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$1,640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$ 8,395</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83"/>
              </w:rPr>
              <w:t>41</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5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Tax Expense /(2)/</w:t>
            </w:r>
          </w:p>
        </w:tc>
        <w:tc>
          <w:tcPr>
            <w:tcW w:w="5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w:t>
            </w:r>
          </w:p>
        </w:tc>
        <w:tc>
          <w:tcPr>
            <w:tcW w:w="40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83"/>
              </w:rPr>
              <w:t>13</w:t>
            </w:r>
          </w:p>
        </w:tc>
        <w:tc>
          <w:tcPr>
            <w:tcW w:w="48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Segment Income before tax and MI</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616</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83"/>
              </w:rPr>
              <w:t>63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(164)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2800" w:type="dxa"/>
            <w:vAlign w:val="bottom"/>
          </w:tcPr>
          <w:p>
            <w:pPr>
              <w:spacing w:after="0"/>
              <w:rPr>
                <w:sz w:val="14"/>
                <w:szCs w:val="14"/>
                <w:color w:val="auto"/>
              </w:rPr>
            </w:pPr>
          </w:p>
        </w:tc>
        <w:tc>
          <w:tcPr>
            <w:tcW w:w="746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$1,787</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$ 992</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$ 1,414</w:t>
            </w:r>
          </w:p>
        </w:tc>
        <w:tc>
          <w:tcPr>
            <w:tcW w:w="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$ 1,299</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$1,954</w:t>
            </w:r>
          </w:p>
        </w:tc>
        <w:tc>
          <w:tcPr>
            <w:tcW w:w="9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$ 7,446</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$ 655</w:t>
            </w:r>
          </w:p>
        </w:tc>
        <w:tc>
          <w:tcPr>
            <w:tcW w:w="9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$1,298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$ 9,399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Corporate Assets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5,682</w:t>
            </w:r>
          </w:p>
        </w:tc>
      </w:tr>
      <w:tr>
        <w:trPr>
          <w:trHeight w:val="166"/>
        </w:trPr>
        <w:tc>
          <w:tcPr>
            <w:tcW w:w="2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$15,081</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Depreciation/Amortization /(3)/</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316</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$ 156</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83"/>
              </w:rPr>
              <w:t>35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$ 1,150</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Capital Expenditures /(3)/</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$ 189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c>
          <w:tcPr>
            <w:tcW w:w="16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68</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   923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$ 1,019</w:t>
            </w:r>
          </w:p>
        </w:tc>
      </w:tr>
      <w:tr>
        <w:trPr>
          <w:trHeight w:val="166"/>
        </w:trPr>
        <w:tc>
          <w:tcPr>
            <w:tcW w:w="2800" w:type="dxa"/>
            <w:vAlign w:val="bottom"/>
          </w:tcPr>
          <w:p>
            <w:pPr>
              <w:spacing w:after="0"/>
              <w:rPr>
                <w:sz w:val="14"/>
                <w:szCs w:val="14"/>
                <w:color w:val="auto"/>
              </w:rPr>
            </w:pPr>
          </w:p>
        </w:tc>
        <w:tc>
          <w:tcPr>
            <w:tcW w:w="850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620" w:right="4920" w:hanging="612"/>
        <w:spacing w:after="0" w:line="250" w:lineRule="auto"/>
        <w:tabs>
          <w:tab w:leader="none" w:pos="44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Semiconductor Solutions and the divested Resource Management Systems businesses.</w:t>
      </w: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income tax expense excludes $8 million related to the Charges.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multiclient seismic data costs.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300"/>
          </w:cols>
          <w:pgMar w:left="220" w:top="947" w:right="37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Corporate assets largely comprise short-term and long-term investments.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During the three years ended December 31, 2001, no single customer exceeded 10% of consolidated revenue.</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Summary of Accounting Policies.</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Oilfield Services' net income eliminations include: certain headquarters administrative costs which are not allocated geographically, manufacturing and certain other operations, and costs maintained at the Oilfield Services level. In 2001, eliminations includes WesternGeco minority interest expense of $35 million.</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Elims/Other principally comprises the amortization of goodwill and other intangibles ($347 million in 2001), as well as nonoperating expenses, such as certain intersegment charges and interest expense (except as shown above), which are not included in segment operating income.</w:t>
      </w:r>
    </w:p>
    <w:p>
      <w:pPr>
        <w:spacing w:after="0" w:line="16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2001, 2000 and 1999 was $5.1 billion, $3.5 billion and $2.5 billion,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and Other Benefit Plans</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 PENSION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2001 were 7.5%, 4.5% and 9%, respectively. In 2000, the assumptions were 7.75%, 4.5% and 9%, respectively. In 1999, the assumptions were 7%, 4.5% and 9%, respectively.</w:t>
      </w:r>
    </w:p>
    <w:p>
      <w:pPr>
        <w:spacing w:after="0" w:line="162"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Net pension cost in the US for 2001, 2000 and 1999, included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060" w:type="dxa"/>
            <w:vAlign w:val="bottom"/>
          </w:tcPr>
          <w:p>
            <w:pPr>
              <w:spacing w:after="0"/>
              <w:rPr>
                <w:sz w:val="14"/>
                <w:szCs w:val="14"/>
                <w:color w:val="auto"/>
              </w:rPr>
            </w:pPr>
          </w:p>
        </w:tc>
        <w:tc>
          <w:tcPr>
            <w:tcW w:w="1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Service cost-benefits earned</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during the period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7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w:t>
            </w:r>
          </w:p>
        </w:tc>
        <w:tc>
          <w:tcPr>
            <w:tcW w:w="5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(actual return: 2001 - $(70);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2000 - $(2); 1999 - $211)</w:t>
            </w:r>
          </w:p>
        </w:tc>
        <w:tc>
          <w:tcPr>
            <w:tcW w:w="7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8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Amortization of transition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cost/other</w:t>
            </w:r>
          </w:p>
        </w:tc>
        <w:tc>
          <w:tcPr>
            <w:tcW w:w="7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Amortization of unrecognized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net gain</w:t>
            </w:r>
          </w:p>
        </w:tc>
        <w:tc>
          <w:tcPr>
            <w:tcW w:w="7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1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Net pension cost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w:t>
            </w:r>
          </w:p>
        </w:tc>
      </w:tr>
      <w:tr>
        <w:trPr>
          <w:trHeight w:val="166"/>
        </w:trPr>
        <w:tc>
          <w:tcPr>
            <w:tcW w:w="3060" w:type="dxa"/>
            <w:vAlign w:val="bottom"/>
          </w:tcPr>
          <w:p>
            <w:pPr>
              <w:spacing w:after="0"/>
              <w:rPr>
                <w:sz w:val="14"/>
                <w:szCs w:val="14"/>
                <w:color w:val="auto"/>
              </w:rPr>
            </w:pPr>
          </w:p>
        </w:tc>
        <w:tc>
          <w:tcPr>
            <w:tcW w:w="1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06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0" w:name="page41"/>
    <w:bookmarkEnd w:id="40"/>
    <w:p>
      <w:pPr>
        <w:ind w:right="3859"/>
        <w:spacing w:after="0" w:line="255" w:lineRule="auto"/>
        <w:rPr>
          <w:sz w:val="20"/>
          <w:szCs w:val="20"/>
          <w:color w:val="auto"/>
        </w:rPr>
      </w:pPr>
      <w:r>
        <w:rPr>
          <w:rFonts w:ascii="Courier New" w:cs="Courier New" w:eastAsia="Courier New" w:hAnsi="Courier New"/>
          <w:sz w:val="14"/>
          <w:szCs w:val="14"/>
          <w:color w:val="auto"/>
        </w:rPr>
        <w:t>Effective January 1, 2000, Schlumberger and its subsidiaries amended their pension plans to improve retirement benefits for active employees.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plans on December 31, 2001 and 2000,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spacing w:after="0"/>
              <w:rPr>
                <w:sz w:val="14"/>
                <w:szCs w:val="1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at</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beginning of the year</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1,105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w:t>
            </w:r>
          </w:p>
        </w:tc>
        <w:tc>
          <w:tcPr>
            <w:tcW w:w="10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Actuarial losses</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at</w:t>
            </w: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end of the year</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1,254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Plan assets at market value at</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beginning of the year</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Plan assets at market value at</w:t>
            </w: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end of the year</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1,074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1,212</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Excess of assets over projected</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w:t>
            </w:r>
          </w:p>
        </w:tc>
        <w:tc>
          <w:tcPr>
            <w:tcW w:w="10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Unrecognized net asset at</w:t>
            </w: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transition date</w:t>
            </w:r>
          </w:p>
        </w:tc>
        <w:tc>
          <w:tcPr>
            <w:tcW w:w="14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840" w:type="dxa"/>
            <w:vAlign w:val="bottom"/>
          </w:tcPr>
          <w:p>
            <w:pPr>
              <w:spacing w:after="0"/>
              <w:rPr>
                <w:sz w:val="14"/>
                <w:szCs w:val="14"/>
                <w:color w:val="auto"/>
              </w:rPr>
            </w:pPr>
          </w:p>
        </w:tc>
        <w:tc>
          <w:tcPr>
            <w:tcW w:w="23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7.25%, 4.5% and 9%, respectively, in 2001, and 7.5%, 4.5% and 9%, respectively, in 2000. Plan assets on December 31, 2001, consisted of common stocks ($630 million), cash or cash equivalents ($48 million), fixed income investments ($326 million) and other investments ($70 million). On December 31, 2001, there is no investment of the plan assets in Schlumberger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 PENSION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$52 million, $23 million and $19 million in 2001, 2000 and 1999, respectively. Based on plan assets and the projected benefit obligation, the only significant defined benefit plan is in the UK.</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2001 and 2000 were 6%, 4% and 9%, respectively. In 1999, the assumptions were 7%, 4% and 9%, respectively.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41" w:name="page42"/>
    <w:bookmarkEnd w:id="41"/>
    <w:p>
      <w:pPr>
        <w:ind w:right="3599"/>
        <w:spacing w:after="0" w:line="252" w:lineRule="auto"/>
        <w:rPr>
          <w:sz w:val="20"/>
          <w:szCs w:val="20"/>
          <w:color w:val="auto"/>
        </w:rPr>
      </w:pPr>
      <w:r>
        <w:rPr>
          <w:rFonts w:ascii="Courier New" w:cs="Courier New" w:eastAsia="Courier New" w:hAnsi="Courier New"/>
          <w:sz w:val="14"/>
          <w:szCs w:val="14"/>
          <w:color w:val="auto"/>
        </w:rPr>
        <w:t>Net pension cost in the UK plan for 2001 (including the Sema plc plans), 2000 and 1999 (translated into US dollars at the average exchange rate for the periods), included the following components: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160" w:type="dxa"/>
            <w:vAlign w:val="bottom"/>
          </w:tcPr>
          <w:p>
            <w:pPr>
              <w:spacing w:after="0"/>
              <w:rPr>
                <w:sz w:val="14"/>
                <w:szCs w:val="14"/>
                <w:color w:val="auto"/>
              </w:rPr>
            </w:pPr>
          </w:p>
        </w:tc>
        <w:tc>
          <w:tcPr>
            <w:tcW w:w="17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Service cost-benefits earned</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during the period</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7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(actual return: 2001 - ($47);</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2000 - ($28); 1999 - $106)</w:t>
            </w:r>
          </w:p>
        </w:tc>
        <w:tc>
          <w:tcPr>
            <w:tcW w:w="7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Amortization of transition</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asset and other</w:t>
            </w:r>
          </w:p>
        </w:tc>
        <w:tc>
          <w:tcPr>
            <w:tcW w:w="7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3160" w:type="dxa"/>
            <w:vAlign w:val="bottom"/>
          </w:tcPr>
          <w:p>
            <w:pPr>
              <w:spacing w:after="0"/>
              <w:rPr>
                <w:sz w:val="24"/>
                <w:szCs w:val="24"/>
                <w:color w:val="auto"/>
              </w:rPr>
            </w:pPr>
          </w:p>
        </w:tc>
        <w:tc>
          <w:tcPr>
            <w:tcW w:w="17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pension cost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160" w:type="dxa"/>
            <w:vAlign w:val="bottom"/>
          </w:tcPr>
          <w:p>
            <w:pPr>
              <w:spacing w:after="0"/>
              <w:rPr>
                <w:sz w:val="14"/>
                <w:szCs w:val="14"/>
                <w:color w:val="auto"/>
              </w:rPr>
            </w:pPr>
          </w:p>
        </w:tc>
        <w:tc>
          <w:tcPr>
            <w:tcW w:w="17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including the Sema plc plans (translated into US dollars at year-end exchange rates)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at</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beginning of the year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Acquisition of Sema</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Actuarial losses</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Gain in exchange</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Disposals</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at</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end of the year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Plan assets at market value at</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beginning of the year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Acquisition of Sema</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Loss in exchange</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Employee contributions</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Disposals</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Plan assets at market value at</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end of the year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Excess of assets over projected</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7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Unrecognized net asset at</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transition date</w:t>
            </w:r>
          </w:p>
        </w:tc>
        <w:tc>
          <w:tcPr>
            <w:tcW w:w="7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Pension asset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20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2001, and 6.5% and 4%, respectively, in 2000; the expected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42" w:name="page43"/>
    <w:bookmarkEnd w:id="42"/>
    <w:p>
      <w:pPr>
        <w:ind w:right="3599"/>
        <w:spacing w:after="0" w:line="252" w:lineRule="auto"/>
        <w:rPr>
          <w:sz w:val="20"/>
          <w:szCs w:val="20"/>
          <w:color w:val="auto"/>
        </w:rPr>
      </w:pPr>
      <w:r>
        <w:rPr>
          <w:rFonts w:ascii="Courier New" w:cs="Courier New" w:eastAsia="Courier New" w:hAnsi="Courier New"/>
          <w:sz w:val="14"/>
          <w:szCs w:val="14"/>
          <w:color w:val="auto"/>
        </w:rPr>
        <w:t>long-term rate of return on plan assets was 9% in 2001 and 2000. Plan assets consisted of common stocks ($702 million), cash or cash equivalents ($23 million) and fixed income investments ($143 million). None of the plan assets represented Schlumberger common stock.</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2001, 2000 and 1999, were $32 million, $22 million and $24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DEFERRED BENEFITS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addition to providing pension benefits, Schlumberger and its subsidiaries have other deferred benefit programs, primarily profit sharing. Expenses for these programs were $192 million, $114 million and $73 million in 2001, 2000 and 1999,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HEALTH CARE BENEFITS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Schlumberger and its US subsidiary provide health care benefits for certain active employees. The cost of providing these benefits is recognized as expense when incurred and aggregated $68 million, $60 million and $53 million in 2001, 2000 and 1999, respectively. Outside the US, such benefits are mostly provided through government-sponsored programs.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 OTHER THAN PENSIONS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Schlumberger and its US subsidiary provide certain health care benefits to former employees who have retired under the US pension plans.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7.5% in 2001, 7.75% in 2000 and 7% in 1999. The overall medical cost trend rate assumption is 9.5% graded to 5% over the next six years and 5% thereafter.</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Net periodic postretirement benefit cost in the US for 2001, 2000 and 1999, included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020" w:type="dxa"/>
            <w:vAlign w:val="bottom"/>
          </w:tcPr>
          <w:p>
            <w:pPr>
              <w:spacing w:after="0"/>
              <w:rPr>
                <w:sz w:val="14"/>
                <w:szCs w:val="14"/>
                <w:color w:val="auto"/>
              </w:rPr>
            </w:pP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Service cost - benefits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earned during the period</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postretirement benefit obligation</w:t>
            </w:r>
          </w:p>
        </w:tc>
        <w:tc>
          <w:tcPr>
            <w:tcW w:w="2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4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Amortization of unrecognized net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gain and other</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166"/>
        </w:trPr>
        <w:tc>
          <w:tcPr>
            <w:tcW w:w="3020" w:type="dxa"/>
            <w:vAlign w:val="bottom"/>
          </w:tcPr>
          <w:p>
            <w:pPr>
              <w:spacing w:after="0"/>
              <w:rPr>
                <w:sz w:val="14"/>
                <w:szCs w:val="14"/>
                <w:color w:val="auto"/>
              </w:rPr>
            </w:pP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020" w:type="dxa"/>
            <w:vAlign w:val="bottom"/>
          </w:tcPr>
          <w:p>
            <w:pPr>
              <w:spacing w:after="0"/>
              <w:rPr>
                <w:sz w:val="14"/>
                <w:szCs w:val="14"/>
                <w:color w:val="auto"/>
              </w:rPr>
            </w:pP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27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and 2000,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spacing w:after="0"/>
              <w:rPr>
                <w:sz w:val="14"/>
                <w:szCs w:val="14"/>
                <w:color w:val="auto"/>
              </w:rPr>
            </w:pPr>
          </w:p>
        </w:tc>
        <w:tc>
          <w:tcPr>
            <w:tcW w:w="1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540" w:type="dxa"/>
            <w:vAlign w:val="bottom"/>
          </w:tcPr>
          <w:p>
            <w:pPr>
              <w:spacing w:after="0"/>
              <w:rPr>
                <w:sz w:val="14"/>
                <w:szCs w:val="14"/>
                <w:color w:val="auto"/>
              </w:rPr>
            </w:pP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obligation at beginning of the year</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Actuarial losses (gains)</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5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540" w:type="dxa"/>
            <w:vAlign w:val="bottom"/>
          </w:tcPr>
          <w:p>
            <w:pPr>
              <w:spacing w:after="0"/>
              <w:rPr>
                <w:sz w:val="14"/>
                <w:szCs w:val="14"/>
                <w:color w:val="auto"/>
              </w:rPr>
            </w:pP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obligation at the end of the year</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cost/other</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w:t>
            </w:r>
          </w:p>
        </w:tc>
        <w:tc>
          <w:tcPr>
            <w:tcW w:w="5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r>
      <w:tr>
        <w:trPr>
          <w:trHeight w:val="331"/>
        </w:trPr>
        <w:tc>
          <w:tcPr>
            <w:tcW w:w="3540" w:type="dxa"/>
            <w:vAlign w:val="bottom"/>
          </w:tcPr>
          <w:p>
            <w:pPr>
              <w:spacing w:after="0"/>
              <w:rPr>
                <w:sz w:val="24"/>
                <w:szCs w:val="24"/>
                <w:color w:val="auto"/>
              </w:rPr>
            </w:pP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on December 31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w:t>
            </w:r>
          </w:p>
        </w:tc>
      </w:tr>
      <w:tr>
        <w:trPr>
          <w:trHeight w:val="166"/>
        </w:trPr>
        <w:tc>
          <w:tcPr>
            <w:tcW w:w="3540" w:type="dxa"/>
            <w:vAlign w:val="bottom"/>
          </w:tcPr>
          <w:p>
            <w:pPr>
              <w:spacing w:after="0"/>
              <w:rPr>
                <w:sz w:val="14"/>
                <w:szCs w:val="14"/>
                <w:color w:val="auto"/>
              </w:rPr>
            </w:pP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components of the accumulated postretirement benefit obligation on December 31, 2001 and 2000,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640" w:type="dxa"/>
            <w:vAlign w:val="bottom"/>
          </w:tcPr>
          <w:p>
            <w:pPr>
              <w:spacing w:after="0"/>
              <w:rPr>
                <w:sz w:val="14"/>
                <w:szCs w:val="14"/>
                <w:color w:val="auto"/>
              </w:rPr>
            </w:pP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Retirees</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Fully eligible</w:t>
            </w:r>
          </w:p>
        </w:tc>
        <w:tc>
          <w:tcPr>
            <w:tcW w:w="6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64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Actives</w:t>
            </w:r>
          </w:p>
        </w:tc>
        <w:tc>
          <w:tcPr>
            <w:tcW w:w="6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w:t>
            </w:r>
          </w:p>
        </w:tc>
        <w:tc>
          <w:tcPr>
            <w:tcW w:w="64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1640" w:type="dxa"/>
            <w:vAlign w:val="bottom"/>
          </w:tcPr>
          <w:p>
            <w:pPr>
              <w:spacing w:after="0"/>
              <w:rPr>
                <w:sz w:val="14"/>
                <w:szCs w:val="14"/>
                <w:color w:val="auto"/>
              </w:rPr>
            </w:pP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398</w:t>
            </w:r>
          </w:p>
        </w:tc>
      </w:tr>
      <w:tr>
        <w:trPr>
          <w:trHeight w:val="166"/>
        </w:trPr>
        <w:tc>
          <w:tcPr>
            <w:tcW w:w="1640" w:type="dxa"/>
            <w:vAlign w:val="bottom"/>
          </w:tcPr>
          <w:p>
            <w:pPr>
              <w:spacing w:after="0"/>
              <w:rPr>
                <w:sz w:val="14"/>
                <w:szCs w:val="14"/>
                <w:color w:val="auto"/>
              </w:rPr>
            </w:pP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7.25% for 2001 and 7.50% for 2000.</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the assumed medical cost trend rate was increased by one percentage point, health care cost in 2001 would have been $53 million, and the accumulated postretirement benefit obligation would have been $560 million on December 31, 2001.</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the assumed medical cost trend rate was decreased by one percentage point, health care cost in 2001 would have been $38 million, and the accumulated postretirement benefit obligation would have been $412 million on December 31,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Supplementary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Operating revenue and related cost of goods sold and services for continuing operations comprised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Products</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4,225</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3,822</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8,850</w:t>
            </w:r>
          </w:p>
        </w:tc>
        <w:tc>
          <w:tcPr>
            <w:tcW w:w="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5,386</w:t>
            </w:r>
          </w:p>
        </w:tc>
        <w:tc>
          <w:tcPr>
            <w:tcW w:w="7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4,573</w:t>
            </w:r>
          </w:p>
        </w:tc>
      </w:tr>
      <w:tr>
        <w:trPr>
          <w:trHeight w:val="166"/>
        </w:trPr>
        <w:tc>
          <w:tcPr>
            <w:tcW w:w="2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9,611</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8,395</w:t>
            </w:r>
          </w:p>
        </w:tc>
      </w:tr>
      <w:tr>
        <w:trPr>
          <w:trHeight w:val="166"/>
        </w:trPr>
        <w:tc>
          <w:tcPr>
            <w:tcW w:w="2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Direct operating costs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Goods sold</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2,582</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2,461</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7,255</w:t>
            </w:r>
          </w:p>
        </w:tc>
        <w:tc>
          <w:tcPr>
            <w:tcW w:w="2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4,790</w:t>
            </w:r>
          </w:p>
        </w:tc>
        <w:tc>
          <w:tcPr>
            <w:tcW w:w="7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4,288</w:t>
            </w:r>
          </w:p>
        </w:tc>
      </w:tr>
      <w:tr>
        <w:trPr>
          <w:trHeight w:val="166"/>
        </w:trPr>
        <w:tc>
          <w:tcPr>
            <w:tcW w:w="2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7,372</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6,749</w:t>
            </w:r>
          </w:p>
        </w:tc>
      </w:tr>
      <w:tr>
        <w:trPr>
          <w:trHeight w:val="166"/>
        </w:trPr>
        <w:tc>
          <w:tcPr>
            <w:tcW w:w="2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4" w:name="page45"/>
    <w:bookmarkEnd w:id="44"/>
    <w:p>
      <w:pPr>
        <w:ind w:right="4019"/>
        <w:spacing w:after="0" w:line="255" w:lineRule="auto"/>
        <w:rPr>
          <w:sz w:val="20"/>
          <w:szCs w:val="20"/>
          <w:color w:val="auto"/>
        </w:rPr>
      </w:pPr>
      <w:r>
        <w:rPr>
          <w:rFonts w:ascii="Courier New" w:cs="Courier New" w:eastAsia="Courier New" w:hAnsi="Courier New"/>
          <w:sz w:val="14"/>
          <w:szCs w:val="14"/>
          <w:color w:val="auto"/>
        </w:rPr>
        <w:t>Cash paid for interest and income taxes for continuing operations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00" w:type="dxa"/>
            <w:vAlign w:val="bottom"/>
          </w:tcPr>
          <w:p>
            <w:pPr>
              <w:spacing w:after="0"/>
              <w:rPr>
                <w:sz w:val="24"/>
                <w:szCs w:val="2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24"/>
                <w:szCs w:val="24"/>
                <w:color w:val="auto"/>
              </w:rPr>
            </w:pP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500" w:type="dxa"/>
            <w:vAlign w:val="bottom"/>
          </w:tcPr>
          <w:p>
            <w:pPr>
              <w:spacing w:after="0"/>
              <w:rPr>
                <w:sz w:val="24"/>
                <w:szCs w:val="24"/>
                <w:color w:val="auto"/>
              </w:rPr>
            </w:pP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6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 are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52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3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Payroll, vacation and</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employee benefits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929</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Trade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w:t>
            </w:r>
          </w:p>
        </w:tc>
        <w:tc>
          <w:tcPr>
            <w:tcW w:w="68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Taxes, other than income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w:t>
            </w:r>
          </w:p>
        </w:tc>
        <w:tc>
          <w:tcPr>
            <w:tcW w:w="68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2,082</w:t>
            </w:r>
          </w:p>
        </w:tc>
        <w:tc>
          <w:tcPr>
            <w:tcW w:w="68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1,089</w:t>
            </w:r>
          </w:p>
        </w:tc>
      </w:tr>
      <w:tr>
        <w:trPr>
          <w:trHeight w:val="166"/>
        </w:trPr>
        <w:tc>
          <w:tcPr>
            <w:tcW w:w="23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4,507</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2,911</w:t>
            </w:r>
          </w:p>
        </w:tc>
      </w:tr>
      <w:tr>
        <w:trPr>
          <w:trHeight w:val="166"/>
        </w:trPr>
        <w:tc>
          <w:tcPr>
            <w:tcW w:w="234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income includes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62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6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3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Equity in net earnings of</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affiliated companies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Gain on sale of business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48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Gain on sale of financial instruments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6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33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46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497"/>
        </w:trPr>
        <w:tc>
          <w:tcPr>
            <w:tcW w:w="3620" w:type="dxa"/>
            <w:vAlign w:val="bottom"/>
          </w:tcPr>
          <w:p>
            <w:pPr>
              <w:ind w:left="3360"/>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5" w:name="page46"/>
    <w:bookmarkEnd w:id="45"/>
    <w:p>
      <w:pPr>
        <w:jc w:val="center"/>
        <w:ind w:right="3319"/>
        <w:spacing w:after="0"/>
        <w:rPr>
          <w:sz w:val="20"/>
          <w:szCs w:val="20"/>
          <w:color w:val="auto"/>
        </w:rPr>
      </w:pPr>
      <w:r>
        <w:rPr>
          <w:rFonts w:ascii="Courier New" w:cs="Courier New" w:eastAsia="Courier New" w:hAnsi="Courier New"/>
          <w:sz w:val="14"/>
          <w:szCs w:val="14"/>
          <w:color w:val="auto"/>
        </w:rPr>
        <w:t>Schlumberger Limited (Schlumberger N.V.)</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Proxy Solicitation on Behalf of the Board of Directors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Annual General Meeting of Stockholders</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undersigned, having received the Notice and Proxy Statement of the</w:t>
      </w:r>
    </w:p>
    <w:p>
      <w:pPr>
        <w:spacing w:after="0" w:line="7" w:lineRule="exact"/>
        <w:rPr>
          <w:sz w:val="20"/>
          <w:szCs w:val="20"/>
          <w:color w:val="auto"/>
        </w:rPr>
      </w:pPr>
    </w:p>
    <w:p>
      <w:pPr>
        <w:ind w:left="440" w:right="3519" w:hanging="346"/>
        <w:spacing w:after="0" w:line="250"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General Meeting of Stockholders and the 2001 Annual Report to Stockholders, hereby appoints Lupe A. Bosnie, Olette Pierik, Jan A. Konig</w:t>
      </w:r>
    </w:p>
    <w:p>
      <w:pPr>
        <w:spacing w:after="0" w:line="1" w:lineRule="exact"/>
        <w:rPr>
          <w:sz w:val="20"/>
          <w:szCs w:val="20"/>
          <w:color w:val="auto"/>
        </w:rPr>
      </w:pPr>
    </w:p>
    <w:p>
      <w:pPr>
        <w:ind w:left="440" w:right="3419" w:hanging="346"/>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Leoni van Roggen and each of them, proxies, with power of subsititution, to vote in the manner indicated on the reverse side hereof,</w:t>
      </w:r>
    </w:p>
    <w:p>
      <w:pPr>
        <w:spacing w:after="0" w:line="1" w:lineRule="exact"/>
        <w:rPr>
          <w:sz w:val="20"/>
          <w:szCs w:val="20"/>
          <w:color w:val="auto"/>
        </w:rPr>
      </w:pPr>
    </w:p>
    <w:p>
      <w:pPr>
        <w:ind w:left="440" w:hanging="346"/>
        <w:spacing w:after="0"/>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with discretionary authority as to any other matters that may properly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come before the meeting, all my (our) shares of record of Schlumberger</w:t>
      </w:r>
    </w:p>
    <w:p>
      <w:pPr>
        <w:spacing w:after="0" w:line="7" w:lineRule="exact"/>
        <w:rPr>
          <w:sz w:val="20"/>
          <w:szCs w:val="20"/>
          <w:color w:val="auto"/>
        </w:rPr>
      </w:pPr>
    </w:p>
    <w:p>
      <w:pPr>
        <w:ind w:left="440" w:right="3519" w:hanging="346"/>
        <w:spacing w:after="0" w:line="250"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(Schlumberger N.V.) at the Annual General Meeting of Stockholders to be held at the Avila Beach Hotel, Penstraat 130, Willemstad, Curacao,</w:t>
      </w:r>
    </w:p>
    <w:p>
      <w:pPr>
        <w:spacing w:after="0" w:line="1" w:lineRule="exact"/>
        <w:rPr>
          <w:sz w:val="20"/>
          <w:szCs w:val="20"/>
          <w:color w:val="auto"/>
        </w:rPr>
      </w:pPr>
    </w:p>
    <w:p>
      <w:pPr>
        <w:ind w:left="440" w:right="4199" w:hanging="346"/>
        <w:spacing w:after="0" w:line="255"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Netherlands Antilles on April 10, 2002, and at any adjournment or adjournments thereof.</w:t>
      </w:r>
    </w:p>
    <w:p>
      <w:pPr>
        <w:spacing w:after="0" w:line="160" w:lineRule="exact"/>
        <w:rPr>
          <w:sz w:val="20"/>
          <w:szCs w:val="20"/>
          <w:color w:val="auto"/>
        </w:rPr>
      </w:pPr>
    </w:p>
    <w:p>
      <w:pPr>
        <w:ind w:left="440" w:right="3339" w:firstLine="431"/>
        <w:spacing w:after="0" w:line="255" w:lineRule="auto"/>
        <w:rPr>
          <w:sz w:val="20"/>
          <w:szCs w:val="20"/>
          <w:color w:val="auto"/>
        </w:rPr>
      </w:pPr>
      <w:r>
        <w:rPr>
          <w:rFonts w:ascii="Courier New" w:cs="Courier New" w:eastAsia="Courier New" w:hAnsi="Courier New"/>
          <w:sz w:val="14"/>
          <w:szCs w:val="14"/>
          <w:color w:val="auto"/>
        </w:rPr>
        <w:t>If no other indication is made, the proxies will vote FOR the election of the director nominees and FOR Proposals 2 and 3.</w:t>
      </w:r>
    </w:p>
    <w:p>
      <w:pPr>
        <w:sectPr>
          <w:pgSz w:w="11900" w:h="16838" w:orient="portrait"/>
          <w:cols w:equalWidth="0" w:num="1">
            <w:col w:w="10239"/>
          </w:cols>
          <w:pgMar w:left="220" w:top="782"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SEE REVERSE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SEE REVERSE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640" w:space="0"/>
            <w:col w:w="3620" w:space="340"/>
            <w:col w:w="4639"/>
          </w:cols>
          <w:pgMar w:left="220" w:top="782"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500" w:space="720"/>
            <w:col w:w="5080"/>
          </w:cols>
          <w:pgMar w:left="220" w:top="616" w:right="379" w:bottom="1440" w:gutter="0" w:footer="0" w:header="0"/>
        </w:sectPr>
      </w:pP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Please 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example</w:t>
      </w:r>
    </w:p>
    <w:p>
      <w:pPr>
        <w:spacing w:after="0" w:line="7" w:lineRule="exact"/>
        <w:rPr>
          <w:sz w:val="20"/>
          <w:szCs w:val="20"/>
          <w:color w:val="auto"/>
        </w:rPr>
      </w:pPr>
    </w:p>
    <w:p>
      <w:pPr>
        <w:sectPr>
          <w:pgSz w:w="11900" w:h="16838" w:orient="portrait"/>
          <w:cols w:equalWidth="0" w:num="2">
            <w:col w:w="260" w:space="360"/>
            <w:col w:w="1068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00" w:space="720"/>
            <w:col w:w="5080"/>
          </w:cols>
          <w:pgMar w:left="220" w:top="616" w:right="379" w:bottom="1440" w:gutter="0" w:footer="0" w:header="0"/>
          <w:type w:val="continuous"/>
        </w:sectPr>
      </w:pPr>
    </w:p>
    <w:p>
      <w:pPr>
        <w:ind w:left="620" w:right="4740"/>
        <w:spacing w:after="0" w:line="252"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 Directors recommend a vote FOR items 1, 2 and 3.</w:t>
      </w:r>
    </w:p>
    <w:p>
      <w:pPr>
        <w:sectPr>
          <w:pgSz w:w="11900" w:h="16838" w:orient="portrait"/>
          <w:cols w:equalWidth="0" w:num="1">
            <w:col w:w="11300"/>
          </w:cols>
          <w:pgMar w:left="220" w:top="616" w:right="37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 Election of 11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Adoption and approval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sectPr>
          <w:pgSz w:w="11900" w:h="16838" w:orient="portrait"/>
          <w:cols w:equalWidth="0" w:num="5">
            <w:col w:w="5320" w:space="720"/>
            <w:col w:w="2320" w:space="600"/>
            <w:col w:w="260" w:space="440"/>
            <w:col w:w="600" w:space="420"/>
            <w:col w:w="620"/>
          </w:cols>
          <w:pgMar w:left="220" w:top="616" w:right="379"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Nominees: D.E. Baird, J. Deutch, J. Gorelick, A. Gould,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Financials and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7" w:lineRule="exact"/>
        <w:rPr>
          <w:sz w:val="20"/>
          <w:szCs w:val="20"/>
          <w:color w:val="auto"/>
        </w:rPr>
      </w:pPr>
    </w:p>
    <w:p>
      <w:pPr>
        <w:sectPr>
          <w:pgSz w:w="11900" w:h="16838" w:orient="portrait"/>
          <w:cols w:equalWidth="0" w:num="5">
            <w:col w:w="5600" w:space="700"/>
            <w:col w:w="2060" w:space="600"/>
            <w:col w:w="260" w:space="600"/>
            <w:col w:w="320" w:space="720"/>
            <w:col w:w="440"/>
          </w:cols>
          <w:pgMar w:left="220" w:top="616" w:right="379"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A. Lajous, A. Levy-Lang, W.T. McCormick, Jr.,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 Primat, N. Seydoux, L.G. Stuntz,</w:t>
      </w:r>
    </w:p>
    <w:p>
      <w:pPr>
        <w:sectPr>
          <w:pgSz w:w="11900" w:h="16838" w:orient="portrait"/>
          <w:cols w:equalWidth="0" w:num="1">
            <w:col w:w="11300"/>
          </w:cols>
          <w:pgMar w:left="220" w:top="616" w:right="379"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 Ullring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 Approval of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5">
            <w:col w:w="5320" w:space="720"/>
            <w:col w:w="2200" w:space="720"/>
            <w:col w:w="260" w:space="600"/>
            <w:col w:w="320" w:space="720"/>
            <w:col w:w="440"/>
          </w:cols>
          <w:pgMar w:left="220" w:top="616" w:right="379" w:bottom="1440" w:gutter="0" w:footer="0" w:header="0"/>
          <w:type w:val="continuous"/>
        </w:sectPr>
      </w:pP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4">
            <w:col w:w="1560" w:space="180"/>
            <w:col w:w="300" w:space="720"/>
            <w:col w:w="700" w:space="340"/>
            <w:col w:w="7500"/>
          </w:cols>
          <w:pgMar w:left="220" w:top="616" w:right="379" w:bottom="1440" w:gutter="0" w:footer="0" w:header="0"/>
          <w:type w:val="continuous"/>
        </w:sectPr>
      </w:pPr>
    </w:p>
    <w:p>
      <w:pPr>
        <w:spacing w:after="0" w:line="304" w:lineRule="exact"/>
        <w:rPr>
          <w:sz w:val="20"/>
          <w:szCs w:val="20"/>
          <w:color w:val="auto"/>
        </w:rPr>
      </w:pPr>
    </w:p>
    <w:p>
      <w:pPr>
        <w:jc w:val="center"/>
        <w:ind w:left="860"/>
        <w:spacing w:after="0" w:line="252" w:lineRule="auto"/>
        <w:rPr>
          <w:sz w:val="20"/>
          <w:szCs w:val="20"/>
          <w:color w:val="auto"/>
        </w:rPr>
      </w:pPr>
      <w:r>
        <w:rPr>
          <w:rFonts w:ascii="Courier New" w:cs="Courier New" w:eastAsia="Courier New" w:hAnsi="Courier New"/>
          <w:sz w:val="14"/>
          <w:szCs w:val="14"/>
          <w:color w:val="auto"/>
        </w:rPr>
        <w:t>FOR ALL NOMINEES EXCEPT THOSE NOTED IN THE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 _________________</w:t>
      </w:r>
    </w:p>
    <w:p>
      <w:pPr>
        <w:spacing w:after="0" w:line="209" w:lineRule="exact"/>
        <w:rPr>
          <w:sz w:val="20"/>
          <w:szCs w:val="20"/>
          <w:color w:val="auto"/>
        </w:rPr>
      </w:pPr>
    </w:p>
    <w:p>
      <w:pPr>
        <w:sectPr>
          <w:pgSz w:w="11900" w:h="16838" w:orient="portrait"/>
          <w:cols w:equalWidth="0" w:num="2">
            <w:col w:w="2420" w:space="340"/>
            <w:col w:w="8540"/>
          </w:cols>
          <w:pgMar w:left="220" w:top="616" w:right="379" w:bottom="1440" w:gutter="0" w:footer="0" w:header="0"/>
          <w:type w:val="continuous"/>
        </w:sectPr>
      </w:pPr>
    </w:p>
    <w:p>
      <w:pPr>
        <w:spacing w:after="0" w:line="29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2">
            <w:col w:w="8620" w:space="520"/>
            <w:col w:w="2160"/>
          </w:cols>
          <w:pgMar w:left="220" w:top="616" w:right="379" w:bottom="1440" w:gutter="0" w:footer="0" w:header="0"/>
          <w:type w:val="continuous"/>
        </w:sectPr>
      </w:pPr>
    </w:p>
    <w:p>
      <w:pPr>
        <w:spacing w:after="0" w:line="13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Please sign names exactly as printed hereon. If</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signing as attorney, administrator, executor,</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guardian or trustee, please give full title as</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such. Please sign, date and return in the enclosed</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envelope.</w:t>
      </w:r>
    </w:p>
    <w:p>
      <w:pPr>
        <w:spacing w:after="0" w:line="33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Signature:_________________________ Date:_______</w:t>
        <w:tab/>
        <w:t>Signature:_________________________ Date:_______</w:t>
      </w:r>
    </w:p>
    <w:sectPr>
      <w:pgSz w:w="11900" w:h="16838" w:orient="portrait"/>
      <w:cols w:equalWidth="0" w:num="1">
        <w:col w:w="11300"/>
      </w:cols>
      <w:pgMar w:left="220" w:top="6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5"/>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lvl w:ilvl="1">
      <w:lvlJc w:val="left"/>
      <w:lvlText w:val="(%2)"/>
      <w:numFmt w:val="lowerLetter"/>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P"/>
      <w:numFmt w:val="bullet"/>
      <w:start w:val="1"/>
    </w:lvl>
  </w:abstractNum>
  <w:abstractNum w:abstractNumId="38">
    <w:nsid w:val="580BD78F"/>
    <w:multiLevelType w:val="hybridMultilevel"/>
    <w:lvl w:ilvl="0">
      <w:lvlJc w:val="left"/>
      <w:lvlText w:val="R"/>
      <w:numFmt w:val="bullet"/>
      <w:start w:val="1"/>
    </w:lvl>
  </w:abstractNum>
  <w:abstractNum w:abstractNumId="39">
    <w:nsid w:val="153EA438"/>
    <w:multiLevelType w:val="hybridMultilevel"/>
    <w:lvl w:ilvl="0">
      <w:lvlJc w:val="left"/>
      <w:lvlText w:val="O"/>
      <w:numFmt w:val="bullet"/>
      <w:start w:val="1"/>
    </w:lvl>
  </w:abstractNum>
  <w:abstractNum w:abstractNumId="40">
    <w:nsid w:val="3855585C"/>
    <w:multiLevelType w:val="hybridMultilevel"/>
    <w:lvl w:ilvl="0">
      <w:lvlJc w:val="left"/>
      <w:lvlText w:val="X"/>
      <w:numFmt w:val="bullet"/>
      <w:start w:val="1"/>
    </w:lvl>
  </w:abstractNum>
  <w:abstractNum w:abstractNumId="41">
    <w:nsid w:val="70A64E2A"/>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2019-12-11T19:19:11Z</dcterms:created>
  <dcterms:modified xsi:type="dcterms:W3CDTF">2019-12-11T19:19:11Z</dcterms:modified>
</cp:coreProperties>
</file>