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280"/>
        <w:spacing w:after="0"/>
        <w:rPr>
          <w:sz w:val="20"/>
          <w:szCs w:val="20"/>
          <w:color w:val="auto"/>
        </w:rPr>
      </w:pPr>
      <w:r>
        <w:rPr>
          <w:rFonts w:ascii="Arial" w:cs="Arial" w:eastAsia="Arial" w:hAnsi="Arial"/>
          <w:sz w:val="18"/>
          <w:szCs w:val="18"/>
          <w:b w:val="1"/>
          <w:bCs w:val="1"/>
          <w:color w:val="auto"/>
        </w:rPr>
        <w:t>Filed by Schlumberger N.V.</w:t>
      </w:r>
    </w:p>
    <w:p>
      <w:pPr>
        <w:spacing w:after="0" w:line="9" w:lineRule="exact"/>
        <w:rPr>
          <w:sz w:val="24"/>
          <w:szCs w:val="24"/>
          <w:color w:val="auto"/>
        </w:rPr>
      </w:pPr>
    </w:p>
    <w:p>
      <w:pPr>
        <w:ind w:left="6280"/>
        <w:spacing w:after="0"/>
        <w:rPr>
          <w:sz w:val="20"/>
          <w:szCs w:val="20"/>
          <w:color w:val="auto"/>
        </w:rPr>
      </w:pPr>
      <w:r>
        <w:rPr>
          <w:rFonts w:ascii="Arial" w:cs="Arial" w:eastAsia="Arial" w:hAnsi="Arial"/>
          <w:sz w:val="18"/>
          <w:szCs w:val="18"/>
          <w:b w:val="1"/>
          <w:bCs w:val="1"/>
          <w:color w:val="auto"/>
        </w:rPr>
        <w:t>pursuant to Rule 425 under the Securities Act of 1933</w:t>
      </w:r>
    </w:p>
    <w:p>
      <w:pPr>
        <w:ind w:left="6280"/>
        <w:spacing w:after="0" w:line="234" w:lineRule="auto"/>
        <w:rPr>
          <w:sz w:val="20"/>
          <w:szCs w:val="20"/>
          <w:color w:val="auto"/>
        </w:rPr>
      </w:pPr>
      <w:r>
        <w:rPr>
          <w:rFonts w:ascii="Arial" w:cs="Arial" w:eastAsia="Arial" w:hAnsi="Arial"/>
          <w:sz w:val="18"/>
          <w:szCs w:val="18"/>
          <w:b w:val="1"/>
          <w:bCs w:val="1"/>
          <w:color w:val="auto"/>
        </w:rPr>
        <w:t>and deemed filed pursuant to Rule 14a-12</w:t>
      </w:r>
    </w:p>
    <w:p>
      <w:pPr>
        <w:ind w:left="6280"/>
        <w:spacing w:after="0" w:line="235" w:lineRule="auto"/>
        <w:rPr>
          <w:sz w:val="20"/>
          <w:szCs w:val="20"/>
          <w:color w:val="auto"/>
        </w:rPr>
      </w:pPr>
      <w:r>
        <w:rPr>
          <w:rFonts w:ascii="Arial" w:cs="Arial" w:eastAsia="Arial" w:hAnsi="Arial"/>
          <w:sz w:val="18"/>
          <w:szCs w:val="18"/>
          <w:b w:val="1"/>
          <w:bCs w:val="1"/>
          <w:color w:val="auto"/>
        </w:rPr>
        <w:t>under the Securities Exchange Act of 1934</w:t>
      </w:r>
    </w:p>
    <w:p>
      <w:pPr>
        <w:ind w:left="6280"/>
        <w:spacing w:after="0" w:line="235" w:lineRule="auto"/>
        <w:rPr>
          <w:sz w:val="20"/>
          <w:szCs w:val="20"/>
          <w:color w:val="auto"/>
        </w:rPr>
      </w:pPr>
      <w:r>
        <w:rPr>
          <w:rFonts w:ascii="Arial" w:cs="Arial" w:eastAsia="Arial" w:hAnsi="Arial"/>
          <w:sz w:val="18"/>
          <w:szCs w:val="18"/>
          <w:b w:val="1"/>
          <w:bCs w:val="1"/>
          <w:color w:val="auto"/>
        </w:rPr>
        <w:t>Subject Company: ChampionX Corporation</w:t>
      </w:r>
    </w:p>
    <w:p>
      <w:pPr>
        <w:ind w:left="6280"/>
        <w:spacing w:after="0" w:line="235" w:lineRule="auto"/>
        <w:rPr>
          <w:sz w:val="20"/>
          <w:szCs w:val="20"/>
          <w:color w:val="auto"/>
        </w:rPr>
      </w:pPr>
      <w:r>
        <w:rPr>
          <w:rFonts w:ascii="Arial" w:cs="Arial" w:eastAsia="Arial" w:hAnsi="Arial"/>
          <w:sz w:val="18"/>
          <w:szCs w:val="18"/>
          <w:b w:val="1"/>
          <w:bCs w:val="1"/>
          <w:color w:val="auto"/>
        </w:rPr>
        <w:t>Filers SEC File No.: 001-38441</w:t>
      </w:r>
    </w:p>
    <w:p>
      <w:pPr>
        <w:ind w:left="6280"/>
        <w:spacing w:after="0"/>
        <w:rPr>
          <w:sz w:val="20"/>
          <w:szCs w:val="20"/>
          <w:color w:val="auto"/>
        </w:rPr>
      </w:pPr>
      <w:r>
        <w:rPr>
          <w:rFonts w:ascii="Arial" w:cs="Arial" w:eastAsia="Arial" w:hAnsi="Arial"/>
          <w:sz w:val="18"/>
          <w:szCs w:val="18"/>
          <w:b w:val="1"/>
          <w:bCs w:val="1"/>
          <w:color w:val="auto"/>
        </w:rPr>
        <w:t>Date: April 10, 2024</w:t>
      </w:r>
    </w:p>
    <w:p>
      <w:pPr>
        <w:spacing w:after="0" w:line="288" w:lineRule="exact"/>
        <w:rPr>
          <w:sz w:val="24"/>
          <w:szCs w:val="24"/>
          <w:color w:val="auto"/>
        </w:rPr>
      </w:pPr>
    </w:p>
    <w:p>
      <w:pPr>
        <w:spacing w:after="0"/>
        <w:rPr>
          <w:sz w:val="20"/>
          <w:szCs w:val="20"/>
          <w:color w:val="auto"/>
        </w:rPr>
      </w:pPr>
      <w:r>
        <w:rPr>
          <w:rFonts w:ascii="Arial" w:cs="Arial" w:eastAsia="Arial" w:hAnsi="Arial"/>
          <w:sz w:val="18"/>
          <w:szCs w:val="18"/>
          <w:color w:val="auto"/>
        </w:rPr>
        <w:t>On April 10, 2024, ChampionX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shared the following materials with certain employees of the Company.</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Transaction communications toolkit for managers</w:t>
      </w:r>
    </w:p>
    <w:p>
      <w:pPr>
        <w:spacing w:after="0" w:line="333" w:lineRule="exact"/>
        <w:rPr>
          <w:sz w:val="24"/>
          <w:szCs w:val="24"/>
          <w:color w:val="auto"/>
        </w:rPr>
      </w:pPr>
    </w:p>
    <w:p>
      <w:pPr>
        <w:spacing w:after="0" w:line="247" w:lineRule="auto"/>
        <w:rPr>
          <w:sz w:val="20"/>
          <w:szCs w:val="20"/>
          <w:color w:val="auto"/>
        </w:rPr>
      </w:pPr>
      <w:r>
        <w:rPr>
          <w:rFonts w:ascii="Arial" w:cs="Arial" w:eastAsia="Arial" w:hAnsi="Arial"/>
          <w:sz w:val="18"/>
          <w:szCs w:val="18"/>
          <w:color w:val="auto"/>
        </w:rPr>
        <w:t>As you may have seen, on April 2, 2024 we announced that ChampionX has agreed to be acquired by SLB in an all-stock transaction for a total enterprise value $8.2 billion. This is a strategic decision that advances our journey to build one of the best production-focused platforms in our industry. The transaction creates significant value for our shareholders through a premium 15% above the current share price as well as the opportunity to share in the upside of the combined company going forward.</w:t>
      </w:r>
    </w:p>
    <w:p>
      <w:pPr>
        <w:spacing w:after="0" w:line="174" w:lineRule="exact"/>
        <w:rPr>
          <w:sz w:val="24"/>
          <w:szCs w:val="24"/>
          <w:color w:val="auto"/>
        </w:rPr>
      </w:pPr>
    </w:p>
    <w:p>
      <w:pPr>
        <w:ind w:right="520"/>
        <w:spacing w:after="0" w:line="253" w:lineRule="auto"/>
        <w:rPr>
          <w:sz w:val="20"/>
          <w:szCs w:val="20"/>
          <w:color w:val="auto"/>
        </w:rPr>
      </w:pPr>
      <w:r>
        <w:rPr>
          <w:rFonts w:ascii="Arial" w:cs="Arial" w:eastAsia="Arial" w:hAnsi="Arial"/>
          <w:sz w:val="18"/>
          <w:szCs w:val="18"/>
          <w:color w:val="auto"/>
        </w:rPr>
        <w:t>We believe SLB’s resources and reach will enhance our production chemical, artificial lift, drilling technologies, digital and emissions expertise. Together, we’ll continue to be a leader in helping to provide energy to the world in an economically and environmentally sustainable way.</w:t>
      </w:r>
    </w:p>
    <w:p>
      <w:pPr>
        <w:spacing w:after="0" w:line="27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Your role as leaders</w:t>
      </w:r>
    </w:p>
    <w:p>
      <w:pPr>
        <w:spacing w:after="0" w:line="104" w:lineRule="exact"/>
        <w:rPr>
          <w:sz w:val="24"/>
          <w:szCs w:val="24"/>
          <w:color w:val="auto"/>
        </w:rPr>
      </w:pPr>
    </w:p>
    <w:p>
      <w:pPr>
        <w:ind w:right="140"/>
        <w:spacing w:after="0" w:line="253" w:lineRule="auto"/>
        <w:rPr>
          <w:sz w:val="20"/>
          <w:szCs w:val="20"/>
          <w:color w:val="auto"/>
        </w:rPr>
      </w:pPr>
      <w:r>
        <w:rPr>
          <w:rFonts w:ascii="Arial" w:cs="Arial" w:eastAsia="Arial" w:hAnsi="Arial"/>
          <w:sz w:val="18"/>
          <w:szCs w:val="18"/>
          <w:color w:val="auto"/>
        </w:rPr>
        <w:t>As leaders at ChampionX, you will play an important role in communicating with our employees about this transaction and what is means for them. Your teams will have questions, and we want to equip you to address as many of them as possible. This document and the linked materials are designed to assist you in these conversations.</w:t>
      </w:r>
    </w:p>
    <w:p>
      <w:pPr>
        <w:spacing w:after="0" w:line="169" w:lineRule="exact"/>
        <w:rPr>
          <w:sz w:val="24"/>
          <w:szCs w:val="24"/>
          <w:color w:val="auto"/>
        </w:rPr>
      </w:pPr>
    </w:p>
    <w:p>
      <w:pPr>
        <w:spacing w:after="0"/>
        <w:rPr>
          <w:sz w:val="20"/>
          <w:szCs w:val="20"/>
          <w:color w:val="auto"/>
        </w:rPr>
      </w:pPr>
      <w:r>
        <w:rPr>
          <w:rFonts w:ascii="Arial" w:cs="Arial" w:eastAsia="Arial" w:hAnsi="Arial"/>
          <w:sz w:val="18"/>
          <w:szCs w:val="18"/>
          <w:color w:val="auto"/>
        </w:rPr>
        <w:t>Below and linked are the following:</w:t>
      </w:r>
    </w:p>
    <w:p>
      <w:pPr>
        <w:spacing w:after="0" w:line="117" w:lineRule="exact"/>
        <w:rPr>
          <w:sz w:val="24"/>
          <w:szCs w:val="24"/>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u w:val="single" w:color="auto"/>
          <w:color w:val="auto"/>
        </w:rPr>
        <w:t>press release</w:t>
      </w:r>
      <w:r>
        <w:rPr>
          <w:rFonts w:ascii="Arial" w:cs="Arial" w:eastAsia="Arial" w:hAnsi="Arial"/>
          <w:sz w:val="18"/>
          <w:szCs w:val="18"/>
          <w:color w:val="auto"/>
        </w:rPr>
        <w:t xml:space="preserve"> we and SLB issued at 6:35 AM CT / 7:35 AM ET on April 2, 2024;</w:t>
      </w:r>
    </w:p>
    <w:p>
      <w:pPr>
        <w:spacing w:after="0" w:line="117" w:lineRule="exact"/>
        <w:rPr>
          <w:rFonts w:ascii="Arial" w:cs="Arial" w:eastAsia="Arial" w:hAnsi="Arial"/>
          <w:sz w:val="18"/>
          <w:szCs w:val="18"/>
          <w:color w:val="auto"/>
        </w:rPr>
      </w:pPr>
    </w:p>
    <w:p>
      <w:pPr>
        <w:ind w:left="960" w:right="200" w:hanging="424"/>
        <w:spacing w:after="0" w:line="271"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u w:val="single" w:color="auto"/>
          <w:color w:val="auto"/>
        </w:rPr>
        <w:t>employee letter</w:t>
      </w:r>
      <w:r>
        <w:rPr>
          <w:rFonts w:ascii="Arial" w:cs="Arial" w:eastAsia="Arial" w:hAnsi="Arial"/>
          <w:sz w:val="18"/>
          <w:szCs w:val="18"/>
          <w:color w:val="auto"/>
        </w:rPr>
        <w:t xml:space="preserve"> </w:t>
      </w:r>
      <w:r>
        <w:rPr>
          <w:rFonts w:ascii="Arial" w:cs="Arial" w:eastAsia="Arial" w:hAnsi="Arial"/>
          <w:sz w:val="18"/>
          <w:szCs w:val="18"/>
          <w:b w:val="1"/>
          <w:bCs w:val="1"/>
          <w:color w:val="auto"/>
        </w:rPr>
        <w:t>and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employee FAQs</w:t>
      </w:r>
      <w:r>
        <w:rPr>
          <w:rFonts w:ascii="Arial" w:cs="Arial" w:eastAsia="Arial" w:hAnsi="Arial"/>
          <w:sz w:val="18"/>
          <w:szCs w:val="18"/>
          <w:color w:val="auto"/>
        </w:rPr>
        <w:t xml:space="preserve"> that we distributed to all employees shortly after the press release was issued on April 2, 2024; and</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Talking points </w:t>
      </w:r>
      <w:r>
        <w:rPr>
          <w:rFonts w:ascii="Arial" w:cs="Arial" w:eastAsia="Arial" w:hAnsi="Arial"/>
          <w:sz w:val="18"/>
          <w:szCs w:val="18"/>
          <w:color w:val="auto"/>
        </w:rPr>
        <w:t>for use with your teams (below).</w:t>
      </w:r>
    </w:p>
    <w:p>
      <w:pPr>
        <w:spacing w:after="0" w:line="212" w:lineRule="exact"/>
        <w:rPr>
          <w:sz w:val="24"/>
          <w:szCs w:val="24"/>
          <w:color w:val="auto"/>
        </w:rPr>
      </w:pPr>
    </w:p>
    <w:p>
      <w:pPr>
        <w:ind w:right="640"/>
        <w:spacing w:after="0" w:line="271" w:lineRule="auto"/>
        <w:rPr>
          <w:sz w:val="20"/>
          <w:szCs w:val="20"/>
          <w:color w:val="auto"/>
        </w:rPr>
      </w:pPr>
      <w:r>
        <w:rPr>
          <w:rFonts w:ascii="Arial" w:cs="Arial" w:eastAsia="Arial" w:hAnsi="Arial"/>
          <w:sz w:val="18"/>
          <w:szCs w:val="18"/>
          <w:color w:val="auto"/>
        </w:rPr>
        <w:t>Some of you may also receive additional talking points and other materials to assist in conversations with customers and other key stakeholders.</w:t>
      </w:r>
    </w:p>
    <w:p>
      <w:pPr>
        <w:sectPr>
          <w:pgSz w:w="11900" w:h="16838" w:orient="portrait"/>
          <w:cols w:equalWidth="0" w:num="1">
            <w:col w:w="11000"/>
          </w:cols>
          <w:pgMar w:left="440" w:top="229"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Communications guidelines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 you familiarize yourself with these materials, please keep in mind:</w:t>
      </w:r>
    </w:p>
    <w:p>
      <w:pPr>
        <w:spacing w:after="0" w:line="117" w:lineRule="exact"/>
        <w:rPr>
          <w:sz w:val="20"/>
          <w:szCs w:val="20"/>
          <w:color w:val="auto"/>
        </w:rPr>
      </w:pPr>
    </w:p>
    <w:p>
      <w:pPr>
        <w:ind w:left="960" w:right="40" w:hanging="424"/>
        <w:spacing w:after="0" w:line="24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Adhere to approved materials. </w:t>
      </w:r>
      <w:r>
        <w:rPr>
          <w:rFonts w:ascii="Arial" w:cs="Arial" w:eastAsia="Arial" w:hAnsi="Arial"/>
          <w:sz w:val="18"/>
          <w:szCs w:val="18"/>
          <w:color w:val="auto"/>
        </w:rPr>
        <w:t>The attached documents and messages have been approved by legal counsel. Therefore, it</w:t>
      </w:r>
      <w:r>
        <w:rPr>
          <w:rFonts w:ascii="Arial" w:cs="Arial" w:eastAsia="Arial" w:hAnsi="Arial"/>
          <w:sz w:val="18"/>
          <w:szCs w:val="18"/>
          <w:b w:val="1"/>
          <w:bCs w:val="1"/>
          <w:color w:val="auto"/>
        </w:rPr>
        <w:t xml:space="preserve"> </w:t>
      </w:r>
      <w:r>
        <w:rPr>
          <w:rFonts w:ascii="Arial" w:cs="Arial" w:eastAsia="Arial" w:hAnsi="Arial"/>
          <w:sz w:val="18"/>
          <w:szCs w:val="18"/>
          <w:color w:val="auto"/>
        </w:rPr>
        <w:t>is important that you do not add to or alter these materials or any other communications you may receive regarding this announcement as doing so may trigger the need for notification to or filing requirements with the U.S. Securities and Exchange Commission.</w:t>
      </w:r>
    </w:p>
    <w:p>
      <w:pPr>
        <w:spacing w:after="0" w:line="79" w:lineRule="exact"/>
        <w:rPr>
          <w:rFonts w:ascii="Arial" w:cs="Arial" w:eastAsia="Arial" w:hAnsi="Arial"/>
          <w:sz w:val="18"/>
          <w:szCs w:val="18"/>
          <w:color w:val="auto"/>
        </w:rPr>
      </w:pPr>
    </w:p>
    <w:p>
      <w:pPr>
        <w:jc w:val="both"/>
        <w:ind w:left="960" w:hanging="424"/>
        <w:spacing w:after="0" w:line="25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Be responsive and supportive. </w:t>
      </w:r>
      <w:r>
        <w:rPr>
          <w:rFonts w:ascii="Arial" w:cs="Arial" w:eastAsia="Arial" w:hAnsi="Arial"/>
          <w:sz w:val="18"/>
          <w:szCs w:val="18"/>
          <w:color w:val="auto"/>
        </w:rPr>
        <w:t>Your teams will look to you for guidance and context. How you talk about the transaction will</w:t>
      </w:r>
      <w:r>
        <w:rPr>
          <w:rFonts w:ascii="Arial" w:cs="Arial" w:eastAsia="Arial" w:hAnsi="Arial"/>
          <w:sz w:val="18"/>
          <w:szCs w:val="18"/>
          <w:b w:val="1"/>
          <w:bCs w:val="1"/>
          <w:color w:val="auto"/>
        </w:rPr>
        <w:t xml:space="preserve"> </w:t>
      </w:r>
      <w:r>
        <w:rPr>
          <w:rFonts w:ascii="Arial" w:cs="Arial" w:eastAsia="Arial" w:hAnsi="Arial"/>
          <w:sz w:val="18"/>
          <w:szCs w:val="18"/>
          <w:color w:val="auto"/>
        </w:rPr>
        <w:t>influence how our employees and other stakeholders respond. Be sensitive to employees’ needs and listen to their concerns. Remain confident, positive and forward-looking about the news, and encourage them to do the same.</w:t>
      </w:r>
    </w:p>
    <w:p>
      <w:pPr>
        <w:spacing w:after="0" w:line="74" w:lineRule="exact"/>
        <w:rPr>
          <w:rFonts w:ascii="Arial" w:cs="Arial" w:eastAsia="Arial" w:hAnsi="Arial"/>
          <w:sz w:val="18"/>
          <w:szCs w:val="18"/>
          <w:color w:val="auto"/>
        </w:rPr>
      </w:pPr>
    </w:p>
    <w:p>
      <w:pPr>
        <w:ind w:left="960" w:right="60" w:hanging="424"/>
        <w:spacing w:after="0" w:line="24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Our priorities remain the same. </w:t>
      </w:r>
      <w:r>
        <w:rPr>
          <w:rFonts w:ascii="Arial" w:cs="Arial" w:eastAsia="Arial" w:hAnsi="Arial"/>
          <w:sz w:val="18"/>
          <w:szCs w:val="18"/>
          <w:color w:val="auto"/>
        </w:rPr>
        <w:t>While this transaction is big news, the April 2nd announcement was only day one. Until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closes, ChampionX and SLB will continue to function as independent companies. Our business priorities, roles and responsibilities will continue in the normal course. Encourage employees to stay focused on their day-to-day responsibilities.</w:t>
      </w:r>
    </w:p>
    <w:p>
      <w:pPr>
        <w:spacing w:after="0" w:line="79" w:lineRule="exact"/>
        <w:rPr>
          <w:rFonts w:ascii="Arial" w:cs="Arial" w:eastAsia="Arial" w:hAnsi="Arial"/>
          <w:sz w:val="18"/>
          <w:szCs w:val="18"/>
          <w:color w:val="auto"/>
        </w:rPr>
      </w:pPr>
    </w:p>
    <w:p>
      <w:pPr>
        <w:ind w:left="960" w:right="60" w:hanging="424"/>
        <w:spacing w:after="0" w:line="25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It is important we speak with one voice. </w:t>
      </w:r>
      <w:r>
        <w:rPr>
          <w:rFonts w:ascii="Arial" w:cs="Arial" w:eastAsia="Arial" w:hAnsi="Arial"/>
          <w:sz w:val="18"/>
          <w:szCs w:val="18"/>
          <w:color w:val="auto"/>
        </w:rPr>
        <w:t>This announcement may lead to inquiries from the media or other third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with usual policies, please forward any inquiries you receive from investors to Byron Pope. Media inquiries should be sent to John Breed.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Answering questions</w:t>
      </w:r>
    </w:p>
    <w:p>
      <w:pPr>
        <w:spacing w:after="0" w:line="104"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It is always okay to acknowledge that we don’t yet have all the answers. While we have created an FAQ document for employees, you will likely receive questions that you will not be able to answer directly at this time. In those situations, we recommend the following response:</w:t>
      </w:r>
    </w:p>
    <w:p>
      <w:pPr>
        <w:spacing w:after="0" w:line="25"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i w:val="1"/>
          <w:iCs w:val="1"/>
          <w:color w:val="auto"/>
        </w:rPr>
        <w:t>“I understand why knowing the answer is important to you. At this point, we’re very early in the process and there are still many decisions to be made. We will answer your questions as quickly and completely as possible and will keep you informed of important developments to the extent that we can.”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 talking points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was announced</w:t>
      </w:r>
    </w:p>
    <w:p>
      <w:pPr>
        <w:spacing w:after="0" w:line="115" w:lineRule="exact"/>
        <w:rPr>
          <w:sz w:val="20"/>
          <w:szCs w:val="20"/>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announced that ChampionX has agreed to be acquired by SLB in an all-stock transaction.</w:t>
      </w:r>
    </w:p>
    <w:p>
      <w:pPr>
        <w:spacing w:after="0" w:line="117" w:lineRule="exact"/>
        <w:rPr>
          <w:rFonts w:ascii="Arial" w:cs="Arial" w:eastAsia="Arial" w:hAnsi="Arial"/>
          <w:sz w:val="18"/>
          <w:szCs w:val="18"/>
          <w:color w:val="auto"/>
        </w:rPr>
      </w:pPr>
    </w:p>
    <w:p>
      <w:pPr>
        <w:ind w:left="960" w:right="760" w:hanging="424"/>
        <w:spacing w:after="0" w:line="271"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transaction creates significant value for our shareholders as well as the opportunity to share in the upside of the combined company going forward.</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is a strategic decision that advances our journey to build one of the best production-focused platforms in our industry.</w:t>
      </w:r>
    </w:p>
    <w:p>
      <w:pPr>
        <w:sectPr>
          <w:pgSz w:w="11900" w:h="16838" w:orient="portrait"/>
          <w:cols w:equalWidth="0" w:num="1">
            <w:col w:w="10940"/>
          </w:cols>
          <w:pgMar w:left="440" w:top="269" w:right="519" w:bottom="1440" w:gutter="0" w:footer="0" w:header="0"/>
        </w:sectPr>
      </w:pPr>
    </w:p>
    <w:bookmarkStart w:id="2" w:name="page3"/>
    <w:bookmarkEnd w:id="2"/>
    <w:p>
      <w:pPr>
        <w:ind w:left="960" w:right="400" w:hanging="424"/>
        <w:spacing w:after="0" w:line="271"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believe SLB’s resources and reach will enhance our production chemical, artificial lift, drilling technologies, digital and emissions expertise.</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Together, we believe we can offer superior technology, innovation and results to our customers.</w:t>
      </w:r>
    </w:p>
    <w:p>
      <w:pPr>
        <w:spacing w:after="0" w:line="117" w:lineRule="exact"/>
        <w:rPr>
          <w:rFonts w:ascii="Arial" w:cs="Arial" w:eastAsia="Arial" w:hAnsi="Arial"/>
          <w:sz w:val="18"/>
          <w:szCs w:val="18"/>
          <w:color w:val="auto"/>
        </w:rPr>
      </w:pPr>
    </w:p>
    <w:p>
      <w:pPr>
        <w:ind w:left="960" w:right="160" w:hanging="424"/>
        <w:spacing w:after="0" w:line="271"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believe the combined portfolio will offer very differentiated and enhanced capabilities to solve customer problems and be positioned for long-term success as the industry continues to evolve.</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SLB has a strong reputation for customer focus, technological capabilities, global reach and people development.</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believe they are a highly complementary partner that shares our vision for the future of the industry.</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Importantly, we have been impressed by SLB’s commitment to maintaining what has made ChampionX so successful.</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this means for employees</w:t>
      </w:r>
    </w:p>
    <w:p>
      <w:pPr>
        <w:spacing w:after="0" w:line="115" w:lineRule="exact"/>
        <w:rPr>
          <w:sz w:val="20"/>
          <w:szCs w:val="20"/>
          <w:color w:val="auto"/>
        </w:rPr>
      </w:pPr>
    </w:p>
    <w:p>
      <w:pPr>
        <w:ind w:left="960" w:right="140" w:hanging="424"/>
        <w:spacing w:after="0" w:line="27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While we know this announcement may have come as a surprise and perhaps brings some uncertainty, we are committed to keeping you all informed as we move through this process, subject to applicable limitations.</w:t>
      </w:r>
    </w:p>
    <w:p>
      <w:pPr>
        <w:spacing w:after="0" w:line="59" w:lineRule="exact"/>
        <w:rPr>
          <w:rFonts w:ascii="Arial" w:cs="Arial" w:eastAsia="Arial" w:hAnsi="Arial"/>
          <w:sz w:val="18"/>
          <w:szCs w:val="18"/>
          <w:color w:val="auto"/>
        </w:rPr>
      </w:pPr>
    </w:p>
    <w:p>
      <w:pPr>
        <w:ind w:left="960" w:right="160" w:hanging="424"/>
        <w:spacing w:after="0" w:line="27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Until the closing of the transaction, which we currently anticipate occurring before the end of 2024, subject to the satisfaction or waiver of customary closing conditions, ChampionX and SLB will continue to function as independent companies.</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Therefore, we must stay focused on delivering value for our customers and fulfilling our purpose.</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are no changes to day-to-day operations, reporting structures or your responsibilities during this time.</w:t>
      </w:r>
    </w:p>
    <w:p>
      <w:pPr>
        <w:spacing w:after="0" w:line="117" w:lineRule="exact"/>
        <w:rPr>
          <w:rFonts w:ascii="Arial" w:cs="Arial" w:eastAsia="Arial" w:hAnsi="Arial"/>
          <w:sz w:val="18"/>
          <w:szCs w:val="18"/>
          <w:color w:val="auto"/>
        </w:rPr>
      </w:pPr>
    </w:p>
    <w:p>
      <w:pPr>
        <w:ind w:left="960" w:right="680" w:hanging="424"/>
        <w:spacing w:after="0" w:line="27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Remaining focused on your day-to-day responsibilities and on our shared goal of delivering advanced solutions to our customers is the best thing we can do.</w:t>
      </w:r>
    </w:p>
    <w:p>
      <w:pPr>
        <w:spacing w:after="0" w:line="59" w:lineRule="exact"/>
        <w:rPr>
          <w:rFonts w:ascii="Arial" w:cs="Arial" w:eastAsia="Arial" w:hAnsi="Arial"/>
          <w:sz w:val="18"/>
          <w:szCs w:val="18"/>
          <w:color w:val="auto"/>
        </w:rPr>
      </w:pPr>
    </w:p>
    <w:p>
      <w:pPr>
        <w:ind w:left="960" w:right="400" w:hanging="424"/>
        <w:spacing w:after="0" w:line="27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integration team will be established to work through the details and plan the post-closing organization and how best to bring our companies together.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w:t>
      </w:r>
    </w:p>
    <w:p>
      <w:pPr>
        <w:spacing w:after="0" w:line="115" w:lineRule="exact"/>
        <w:rPr>
          <w:sz w:val="20"/>
          <w:szCs w:val="20"/>
          <w:color w:val="auto"/>
        </w:rPr>
      </w:pPr>
    </w:p>
    <w:p>
      <w:pPr>
        <w:ind w:left="960" w:right="400" w:hanging="424"/>
        <w:spacing w:after="0" w:line="271"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proud of all that we have accomplished together. It is thanks to your hard work that we were able to enter into this value-enhancing transaction with SLB.</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While there are still many details to be determined, rest assured that I am here to support you throughout this transition.</w:t>
      </w:r>
    </w:p>
    <w:p>
      <w:pPr>
        <w:spacing w:after="0" w:line="117" w:lineRule="exact"/>
        <w:rPr>
          <w:rFonts w:ascii="Arial" w:cs="Arial" w:eastAsia="Arial" w:hAnsi="Arial"/>
          <w:sz w:val="18"/>
          <w:szCs w:val="18"/>
          <w:color w:val="auto"/>
        </w:rPr>
      </w:pPr>
    </w:p>
    <w:p>
      <w:pPr>
        <w:ind w:left="960" w:hanging="424"/>
        <w:spacing w:after="0" w:line="253"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Accordingly, as we continue to operate as separate entities until closing, you should not exchange confidential or competitively sensitive information (e.g., ChampionX pricing information, customer-specific contract or bid details, or strategy plans) with anyone at SLB.</w:t>
      </w:r>
    </w:p>
    <w:p>
      <w:pPr>
        <w:sectPr>
          <w:pgSz w:w="11900" w:h="16838" w:orient="portrait"/>
          <w:cols w:equalWidth="0" w:num="1">
            <w:col w:w="11000"/>
          </w:cols>
          <w:pgMar w:left="440" w:top="269" w:right="459" w:bottom="1440" w:gutter="0" w:footer="0" w:header="0"/>
        </w:sectPr>
      </w:pPr>
    </w:p>
    <w:bookmarkStart w:id="3" w:name="page4"/>
    <w:bookmarkEnd w:id="3"/>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refrain from reaching out directly to SLB employees in regard to the transaction.</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Should you have any questions, please don’t hesitate to reach out.</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always, thank you for your continued commitment and dedication as we embark on this next chapter of our journey.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communication contains forward-looking statements within the meaning of the Private Securities Litigation Reform Act of 1995, Section 27A of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and Section 21E of the Securities Exchange Act of 1934, as amended.</w:t>
      </w:r>
    </w:p>
    <w:p>
      <w:pPr>
        <w:spacing w:after="0" w:line="16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on January 24, 2024 and Part 1, Item 1A, “Risk Factors” in ChampionX’s Annual Report on Form 10-K for the year ended December 31, 2023 filed with the SEC on February 6, 2024, and each of their respective, subsequent Quarterly Reports on Form 10-Q and Current Reports on Form 8-K.</w:t>
      </w:r>
    </w:p>
    <w:p>
      <w:pPr>
        <w:spacing w:after="0" w:line="18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w:t>
      </w:r>
    </w:p>
    <w:p>
      <w:pPr>
        <w:sectPr>
          <w:pgSz w:w="11900" w:h="16838" w:orient="portrait"/>
          <w:cols w:equalWidth="0" w:num="1">
            <w:col w:w="11000"/>
          </w:cols>
          <w:pgMar w:left="440" w:top="269" w:right="459" w:bottom="1440" w:gutter="0" w:footer="0" w:header="0"/>
        </w:sectPr>
      </w:pPr>
    </w:p>
    <w:bookmarkStart w:id="4" w:name="page5"/>
    <w:bookmarkEnd w:id="4"/>
    <w:p>
      <w:pPr>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w:t>
      </w:r>
    </w:p>
    <w:p>
      <w:pPr>
        <w:spacing w:after="0" w:line="18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These risks, as well as other risks related to the proposed transaction, will be included in the Form S-4 and proxy statement/prospectus (each, as defined below)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Transaction and Where to Find It</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connection with the proposed transaction, SLB intends to file with the SEC a registration statement on Form S-4 (the “</w:t>
      </w:r>
      <w:r>
        <w:rPr>
          <w:rFonts w:ascii="Arial" w:cs="Arial" w:eastAsia="Arial" w:hAnsi="Arial"/>
          <w:sz w:val="18"/>
          <w:szCs w:val="18"/>
          <w:b w:val="1"/>
          <w:bCs w:val="1"/>
          <w:i w:val="1"/>
          <w:iCs w:val="1"/>
          <w:color w:val="auto"/>
        </w:rPr>
        <w:t>Form S-4</w:t>
      </w:r>
      <w:r>
        <w:rPr>
          <w:rFonts w:ascii="Arial" w:cs="Arial" w:eastAsia="Arial" w:hAnsi="Arial"/>
          <w:sz w:val="18"/>
          <w:szCs w:val="18"/>
          <w:color w:val="auto"/>
        </w:rPr>
        <w:t>”) that will include a proxy statement of ChampionX and that also constitutes a prospectus of SLB with respect to the shares of SLB to be issued in the proposed transaction (the “</w:t>
      </w:r>
      <w:r>
        <w:rPr>
          <w:rFonts w:ascii="Arial" w:cs="Arial" w:eastAsia="Arial" w:hAnsi="Arial"/>
          <w:sz w:val="18"/>
          <w:szCs w:val="18"/>
          <w:b w:val="1"/>
          <w:bCs w:val="1"/>
          <w:i w:val="1"/>
          <w:iCs w:val="1"/>
          <w:color w:val="auto"/>
        </w:rPr>
        <w:t>proxy statement/prospectus</w:t>
      </w:r>
      <w:r>
        <w:rPr>
          <w:rFonts w:ascii="Arial" w:cs="Arial" w:eastAsia="Arial" w:hAnsi="Arial"/>
          <w:sz w:val="18"/>
          <w:szCs w:val="18"/>
          <w:color w:val="auto"/>
        </w:rPr>
        <w:t>”).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04" w:lineRule="exact"/>
        <w:rPr>
          <w:sz w:val="20"/>
          <w:szCs w:val="20"/>
          <w:color w:val="auto"/>
        </w:rPr>
      </w:pPr>
    </w:p>
    <w:p>
      <w:pPr>
        <w:jc w:val="both"/>
        <w:ind w:right="340"/>
        <w:spacing w:after="0" w:line="253" w:lineRule="auto"/>
        <w:rPr>
          <w:sz w:val="20"/>
          <w:szCs w:val="20"/>
          <w:color w:val="auto"/>
        </w:rPr>
      </w:pPr>
      <w:r>
        <w:rPr>
          <w:rFonts w:ascii="Arial" w:cs="Arial" w:eastAsia="Arial" w:hAnsi="Arial"/>
          <w:sz w:val="18"/>
          <w:szCs w:val="18"/>
          <w:color w:val="auto"/>
        </w:rPr>
        <w:t>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w:t>
      </w:r>
    </w:p>
    <w:p>
      <w:pPr>
        <w:sectPr>
          <w:pgSz w:w="11900" w:h="16838" w:orient="portrait"/>
          <w:cols w:equalWidth="0" w:num="1">
            <w:col w:w="11000"/>
          </w:cols>
          <w:pgMar w:left="440" w:top="269" w:right="459" w:bottom="1440" w:gutter="0" w:footer="0" w:header="0"/>
        </w:sectPr>
      </w:pPr>
    </w:p>
    <w:bookmarkStart w:id="5" w:name="page6"/>
    <w:bookmarkEnd w:id="5"/>
    <w:p>
      <w:pPr>
        <w:spacing w:after="0"/>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r:id="rId13">
        <w:r>
          <w:rPr>
            <w:rFonts w:ascii="Arial" w:cs="Arial" w:eastAsia="Arial" w:hAnsi="Arial"/>
            <w:sz w:val="18"/>
            <w:szCs w:val="18"/>
            <w:color w:val="auto"/>
          </w:rPr>
          <w:t>SLB’s proxy statement for its 2024 Annual Meeting of Stockholders (</w:t>
        </w:r>
        <w:r>
          <w:rPr>
            <w:rFonts w:ascii="Arial" w:cs="Arial" w:eastAsia="Arial" w:hAnsi="Arial"/>
            <w:sz w:val="18"/>
            <w:szCs w:val="18"/>
            <w:u w:val="single" w:color="auto"/>
            <w:color w:val="0000EE"/>
          </w:rPr>
          <w:t>https://www.sec.gov/ix?</w:t>
        </w:r>
      </w:hyperlink>
    </w:p>
    <w:p>
      <w:pPr>
        <w:spacing w:after="0" w:line="9" w:lineRule="exact"/>
        <w:rPr>
          <w:sz w:val="20"/>
          <w:szCs w:val="20"/>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doc=/Archives/edgar/data/0000087347/000130817924000033/lslb2024_def14a.htm</w:t>
        </w:r>
        <w:r>
          <w:rPr>
            <w:rFonts w:ascii="Arial" w:cs="Arial" w:eastAsia="Arial" w:hAnsi="Arial"/>
            <w:sz w:val="18"/>
            <w:szCs w:val="18"/>
            <w:color w:val="0000EE"/>
          </w:rPr>
          <w:t xml:space="preserve"> </w:t>
        </w:r>
        <w:r>
          <w:rPr>
            <w:rFonts w:ascii="Arial" w:cs="Arial" w:eastAsia="Arial" w:hAnsi="Arial"/>
            <w:sz w:val="18"/>
            <w:szCs w:val="18"/>
            <w:color w:val="000000"/>
          </w:rPr>
          <w:t xml:space="preserve">), which </w:t>
        </w:r>
      </w:hyperlink>
      <w:r>
        <w:rPr>
          <w:rFonts w:ascii="Arial" w:cs="Arial" w:eastAsia="Arial" w:hAnsi="Arial"/>
          <w:sz w:val="18"/>
          <w:szCs w:val="18"/>
          <w:color w:val="0000EE"/>
        </w:rPr>
        <w:t xml:space="preserve">was </w:t>
      </w:r>
      <w:r>
        <w:rPr>
          <w:rFonts w:ascii="Arial" w:cs="Arial" w:eastAsia="Arial" w:hAnsi="Arial"/>
          <w:sz w:val="18"/>
          <w:szCs w:val="18"/>
          <w:color w:val="000000"/>
        </w:rPr>
        <w:t>filed with the SEC on February 22,</w:t>
      </w:r>
    </w:p>
    <w:p>
      <w:pPr>
        <w:spacing w:after="0" w:line="234" w:lineRule="auto"/>
        <w:rPr>
          <w:sz w:val="20"/>
          <w:szCs w:val="20"/>
          <w:color w:val="auto"/>
        </w:rPr>
      </w:pPr>
      <w:r>
        <w:rPr>
          <w:rFonts w:ascii="Arial" w:cs="Arial" w:eastAsia="Arial" w:hAnsi="Arial"/>
          <w:sz w:val="18"/>
          <w:szCs w:val="18"/>
          <w:color w:val="auto"/>
        </w:rPr>
        <w:t>2024, including under the sections entitled “Director Compensation”, “Security Ownership by Management and Our Board”,</w:t>
      </w:r>
    </w:p>
    <w:p>
      <w:pPr>
        <w:spacing w:after="0" w:line="235" w:lineRule="auto"/>
        <w:rPr>
          <w:sz w:val="20"/>
          <w:szCs w:val="20"/>
          <w:color w:val="auto"/>
        </w:rPr>
      </w:pPr>
      <w:r>
        <w:rPr>
          <w:rFonts w:ascii="Arial" w:cs="Arial" w:eastAsia="Arial" w:hAnsi="Arial"/>
          <w:sz w:val="18"/>
          <w:szCs w:val="18"/>
          <w:color w:val="auto"/>
        </w:rPr>
        <w:t>“Compensation Discussion and Analysis”, “2023 Compensation Decisions and Results”, “Elements of 2023 Total Compensation”, “Long-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Term Equity Incentive Awards”, “Executive Compensation Tables”, “Grants of Plan-Based Awards in 2023”, “Outstanding Equity Awards at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Year-End 2023”, “Potential Payments Upon Termination or Change in Control” and “Pay vs. Performance Comparison” and SLB’s Annual</w:t>
      </w:r>
    </w:p>
    <w:p>
      <w:pPr>
        <w:spacing w:after="0" w:line="234" w:lineRule="auto"/>
        <w:rPr>
          <w:sz w:val="20"/>
          <w:szCs w:val="20"/>
          <w:color w:val="auto"/>
        </w:rPr>
      </w:pPr>
      <w:r>
        <w:rPr>
          <w:rFonts w:ascii="Arial" w:cs="Arial" w:eastAsia="Arial" w:hAnsi="Arial"/>
          <w:sz w:val="18"/>
          <w:szCs w:val="18"/>
          <w:color w:val="auto"/>
        </w:rPr>
        <w:t>Report on Form 10-K for the fiscal year ended December 31, 2023</w:t>
      </w:r>
    </w:p>
    <w:p>
      <w:pPr>
        <w:spacing w:after="0" w:line="235" w:lineRule="auto"/>
        <w:rPr>
          <w:rFonts w:ascii="Arial" w:cs="Arial" w:eastAsia="Arial" w:hAnsi="Arial"/>
          <w:sz w:val="18"/>
          <w:szCs w:val="18"/>
          <w:color w:val="auto"/>
        </w:rPr>
      </w:pPr>
      <w:r>
        <w:rPr>
          <w:rFonts w:ascii="Arial" w:cs="Arial" w:eastAsia="Arial" w:hAnsi="Arial"/>
          <w:sz w:val="18"/>
          <w:szCs w:val="18"/>
          <w:color w:val="auto"/>
        </w:rPr>
        <w:t>(</w:t>
      </w:r>
      <w:hyperlink r:id="rId14">
        <w:r>
          <w:rPr>
            <w:rFonts w:ascii="Arial" w:cs="Arial" w:eastAsia="Arial" w:hAnsi="Arial"/>
            <w:sz w:val="18"/>
            <w:szCs w:val="18"/>
            <w:u w:val="single" w:color="auto"/>
            <w:color w:val="0000EE"/>
          </w:rPr>
          <w:t>https://www.sec.gov/ix?doc=/Archives/edgar/data/0000087347/000095017024006884/slb-20231231.htm</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which was filed with the SEC</w:t>
      </w:r>
    </w:p>
    <w:p>
      <w:pPr>
        <w:spacing w:after="0" w:line="235" w:lineRule="auto"/>
        <w:rPr>
          <w:sz w:val="20"/>
          <w:szCs w:val="20"/>
          <w:color w:val="auto"/>
        </w:rPr>
      </w:pPr>
      <w:r>
        <w:rPr>
          <w:rFonts w:ascii="Arial" w:cs="Arial" w:eastAsia="Arial" w:hAnsi="Arial"/>
          <w:sz w:val="18"/>
          <w:szCs w:val="18"/>
          <w:color w:val="auto"/>
        </w:rPr>
        <w:t>on January 24, 2024, including under the sections entitled “Item 10. Directors, Executive Officers and Corporate Governance”, “Item 11.</w:t>
      </w:r>
    </w:p>
    <w:p>
      <w:pPr>
        <w:spacing w:after="0"/>
        <w:rPr>
          <w:sz w:val="20"/>
          <w:szCs w:val="20"/>
          <w:color w:val="auto"/>
        </w:rPr>
      </w:pPr>
      <w:r>
        <w:rPr>
          <w:rFonts w:ascii="Arial" w:cs="Arial" w:eastAsia="Arial" w:hAnsi="Arial"/>
          <w:sz w:val="17"/>
          <w:szCs w:val="17"/>
          <w:color w:val="auto"/>
        </w:rPr>
        <w:t>Executive Compensation”, “Item 12. Security Ownership of Certain Beneficial Owners and Management and Related Stockholder Matters”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and “Item 13. Certain Relationships and Related Transactions, and Director Independence”. Information about the directors and executive</w:t>
      </w:r>
    </w:p>
    <w:p>
      <w:pPr>
        <w:spacing w:after="0" w:line="234" w:lineRule="auto"/>
        <w:rPr>
          <w:sz w:val="20"/>
          <w:szCs w:val="20"/>
          <w:color w:val="auto"/>
        </w:rPr>
      </w:pPr>
      <w:r>
        <w:rPr>
          <w:rFonts w:ascii="Arial" w:cs="Arial" w:eastAsia="Arial" w:hAnsi="Arial"/>
          <w:sz w:val="18"/>
          <w:szCs w:val="18"/>
          <w:color w:val="auto"/>
        </w:rPr>
        <w:t>officers of ChampionX, including a description of their direct or indirect interests, by security holdings or otherwise, is set forth in</w:t>
      </w:r>
    </w:p>
    <w:p>
      <w:pPr>
        <w:spacing w:after="0" w:line="235" w:lineRule="auto"/>
        <w:rPr>
          <w:rFonts w:ascii="Arial" w:cs="Arial" w:eastAsia="Arial" w:hAnsi="Arial"/>
          <w:sz w:val="18"/>
          <w:szCs w:val="18"/>
          <w:color w:val="auto"/>
        </w:rPr>
      </w:pPr>
      <w:hyperlink r:id="rId15">
        <w:r>
          <w:rPr>
            <w:rFonts w:ascii="Arial" w:cs="Arial" w:eastAsia="Arial" w:hAnsi="Arial"/>
            <w:sz w:val="18"/>
            <w:szCs w:val="18"/>
            <w:color w:val="auto"/>
          </w:rPr>
          <w:t>ChampionX’s proxy statement for its 2024 Annual Meeting of Shareholders (</w:t>
        </w:r>
        <w:r>
          <w:rPr>
            <w:rFonts w:ascii="Arial" w:cs="Arial" w:eastAsia="Arial" w:hAnsi="Arial"/>
            <w:sz w:val="18"/>
            <w:szCs w:val="18"/>
            <w:u w:val="single" w:color="auto"/>
            <w:color w:val="0000EE"/>
          </w:rPr>
          <w:t>https://www.sec.gov/ix?</w:t>
        </w:r>
      </w:hyperlink>
    </w:p>
    <w:p>
      <w:pPr>
        <w:spacing w:after="0" w:line="235" w:lineRule="auto"/>
        <w:rPr>
          <w:rFonts w:ascii="Arial" w:cs="Arial" w:eastAsia="Arial" w:hAnsi="Arial"/>
          <w:sz w:val="18"/>
          <w:szCs w:val="18"/>
          <w:color w:val="0000EE"/>
        </w:rPr>
      </w:pPr>
      <w:hyperlink r:id="rId15">
        <w:r>
          <w:rPr>
            <w:rFonts w:ascii="Arial" w:cs="Arial" w:eastAsia="Arial" w:hAnsi="Arial"/>
            <w:sz w:val="18"/>
            <w:szCs w:val="18"/>
            <w:u w:val="single" w:color="auto"/>
            <w:color w:val="0000EE"/>
          </w:rPr>
          <w:t>doc=/Archives/edgar/data/0001723089/000172308924000079/championx-20240401.htm</w:t>
        </w:r>
        <w:r>
          <w:rPr>
            <w:rFonts w:ascii="Arial" w:cs="Arial" w:eastAsia="Arial" w:hAnsi="Arial"/>
            <w:sz w:val="18"/>
            <w:szCs w:val="18"/>
            <w:color w:val="0000EE"/>
          </w:rPr>
          <w:t xml:space="preserve"> </w:t>
        </w:r>
        <w:r>
          <w:rPr>
            <w:rFonts w:ascii="Arial" w:cs="Arial" w:eastAsia="Arial" w:hAnsi="Arial"/>
            <w:sz w:val="18"/>
            <w:szCs w:val="18"/>
            <w:color w:val="000000"/>
          </w:rPr>
          <w:t xml:space="preserve">), which </w:t>
        </w:r>
      </w:hyperlink>
      <w:r>
        <w:rPr>
          <w:rFonts w:ascii="Arial" w:cs="Arial" w:eastAsia="Arial" w:hAnsi="Arial"/>
          <w:sz w:val="18"/>
          <w:szCs w:val="18"/>
          <w:color w:val="0000EE"/>
        </w:rPr>
        <w:t xml:space="preserve">was </w:t>
      </w:r>
      <w:r>
        <w:rPr>
          <w:rFonts w:ascii="Arial" w:cs="Arial" w:eastAsia="Arial" w:hAnsi="Arial"/>
          <w:sz w:val="18"/>
          <w:szCs w:val="18"/>
          <w:color w:val="000000"/>
        </w:rPr>
        <w:t>filed with the SEC on April 3, 2024,</w:t>
      </w:r>
    </w:p>
    <w:p>
      <w:pPr>
        <w:spacing w:after="0"/>
        <w:rPr>
          <w:sz w:val="20"/>
          <w:szCs w:val="20"/>
          <w:color w:val="auto"/>
        </w:rPr>
      </w:pPr>
      <w:r>
        <w:rPr>
          <w:rFonts w:ascii="Arial" w:cs="Arial" w:eastAsia="Arial" w:hAnsi="Arial"/>
          <w:sz w:val="17"/>
          <w:szCs w:val="17"/>
          <w:color w:val="auto"/>
        </w:rPr>
        <w:t>including under the sections entitled “Executive Compensation Highlights”, “Director Compensation”, “2023 Director Compensation Table”,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“Security Ownership of Certain Beneficial Owners and Management”, “Compensation Discussion and Analysis”, “Key Compensation</w:t>
      </w:r>
    </w:p>
    <w:p>
      <w:pPr>
        <w:spacing w:after="0" w:line="234" w:lineRule="auto"/>
        <w:rPr>
          <w:sz w:val="20"/>
          <w:szCs w:val="20"/>
          <w:color w:val="auto"/>
        </w:rPr>
      </w:pPr>
      <w:r>
        <w:rPr>
          <w:rFonts w:ascii="Arial" w:cs="Arial" w:eastAsia="Arial" w:hAnsi="Arial"/>
          <w:sz w:val="18"/>
          <w:szCs w:val="18"/>
          <w:color w:val="auto"/>
        </w:rPr>
        <w:t>Overview for 2023”, “Elements of Our Executive Compensation Program”, “Long-Term Equity Incentive Compensation”, “Additional</w:t>
      </w:r>
    </w:p>
    <w:p>
      <w:pPr>
        <w:spacing w:after="0" w:line="235" w:lineRule="auto"/>
        <w:rPr>
          <w:sz w:val="20"/>
          <w:szCs w:val="20"/>
          <w:color w:val="auto"/>
        </w:rPr>
      </w:pPr>
      <w:r>
        <w:rPr>
          <w:rFonts w:ascii="Arial" w:cs="Arial" w:eastAsia="Arial" w:hAnsi="Arial"/>
          <w:sz w:val="18"/>
          <w:szCs w:val="18"/>
          <w:color w:val="auto"/>
        </w:rPr>
        <w:t>Executive Compensation Governance Considerations”, “Executive Compensation Tables”, “Potential Payments upon Termination or</w:t>
      </w:r>
    </w:p>
    <w:p>
      <w:pPr>
        <w:spacing w:after="0" w:line="235" w:lineRule="auto"/>
        <w:rPr>
          <w:sz w:val="20"/>
          <w:szCs w:val="20"/>
          <w:color w:val="auto"/>
        </w:rPr>
      </w:pPr>
      <w:r>
        <w:rPr>
          <w:rFonts w:ascii="Arial" w:cs="Arial" w:eastAsia="Arial" w:hAnsi="Arial"/>
          <w:sz w:val="18"/>
          <w:szCs w:val="18"/>
          <w:color w:val="auto"/>
        </w:rPr>
        <w:t>Change-in-Control”, “Pay-versus-Performance” and ChampionX’s Annual Report on Form 10-K for the fiscal year ended December 31,</w:t>
      </w:r>
    </w:p>
    <w:p>
      <w:pPr>
        <w:spacing w:after="0" w:line="235" w:lineRule="auto"/>
        <w:rPr>
          <w:rFonts w:ascii="Arial" w:cs="Arial" w:eastAsia="Arial" w:hAnsi="Arial"/>
          <w:sz w:val="18"/>
          <w:szCs w:val="18"/>
          <w:color w:val="auto"/>
        </w:rPr>
      </w:pPr>
      <w:r>
        <w:rPr>
          <w:rFonts w:ascii="Arial" w:cs="Arial" w:eastAsia="Arial" w:hAnsi="Arial"/>
          <w:sz w:val="18"/>
          <w:szCs w:val="18"/>
          <w:color w:val="auto"/>
        </w:rPr>
        <w:t>2023 (</w:t>
      </w:r>
      <w:hyperlink r:id="rId16">
        <w:r>
          <w:rPr>
            <w:rFonts w:ascii="Arial" w:cs="Arial" w:eastAsia="Arial" w:hAnsi="Arial"/>
            <w:sz w:val="18"/>
            <w:szCs w:val="18"/>
            <w:u w:val="single" w:color="auto"/>
            <w:color w:val="0000EE"/>
          </w:rPr>
          <w:t>https://www.sec.gov/ix?doc=/Archives/edgar/data/1723089/000172308924000011/championx-20231231.htm</w:t>
        </w:r>
      </w:hyperlink>
      <w:r>
        <w:rPr>
          <w:rFonts w:ascii="Arial" w:cs="Arial" w:eastAsia="Arial" w:hAnsi="Arial"/>
          <w:sz w:val="18"/>
          <w:szCs w:val="18"/>
          <w:color w:val="auto"/>
        </w:rPr>
        <w:t>), which was filed with</w:t>
      </w:r>
    </w:p>
    <w:p>
      <w:pPr>
        <w:spacing w:after="0" w:line="235" w:lineRule="auto"/>
        <w:rPr>
          <w:sz w:val="20"/>
          <w:szCs w:val="20"/>
          <w:color w:val="auto"/>
        </w:rPr>
      </w:pPr>
      <w:r>
        <w:rPr>
          <w:rFonts w:ascii="Arial" w:cs="Arial" w:eastAsia="Arial" w:hAnsi="Arial"/>
          <w:sz w:val="18"/>
          <w:szCs w:val="18"/>
          <w:color w:val="auto"/>
        </w:rPr>
        <w:t>the SEC on February 6, 2024, including under the sections entitled “Item. 10 Directors, Executive Officers and Corporate Governance”,</w:t>
      </w:r>
    </w:p>
    <w:p>
      <w:pPr>
        <w:spacing w:after="0" w:line="234" w:lineRule="auto"/>
        <w:rPr>
          <w:sz w:val="20"/>
          <w:szCs w:val="20"/>
          <w:color w:val="auto"/>
        </w:rPr>
      </w:pPr>
      <w:r>
        <w:rPr>
          <w:rFonts w:ascii="Arial" w:cs="Arial" w:eastAsia="Arial" w:hAnsi="Arial"/>
          <w:sz w:val="18"/>
          <w:szCs w:val="18"/>
          <w:color w:val="auto"/>
        </w:rPr>
        <w:t>“Item 11. Executive Compensation”, “Item 12. Security Ownership of Certain Beneficial Owners and Management and Related</w:t>
      </w:r>
    </w:p>
    <w:p>
      <w:pPr>
        <w:spacing w:after="0" w:line="235" w:lineRule="auto"/>
        <w:rPr>
          <w:sz w:val="20"/>
          <w:szCs w:val="20"/>
          <w:color w:val="auto"/>
        </w:rPr>
      </w:pPr>
      <w:r>
        <w:rPr>
          <w:rFonts w:ascii="Arial" w:cs="Arial" w:eastAsia="Arial" w:hAnsi="Arial"/>
          <w:sz w:val="18"/>
          <w:szCs w:val="18"/>
          <w:color w:val="auto"/>
        </w:rPr>
        <w:t>Stockholder Matters” and “Item 13. Certain Relationships and Related Transactions, and Director Independence”. Other information</w:t>
      </w:r>
    </w:p>
    <w:p>
      <w:pPr>
        <w:spacing w:after="0" w:line="235" w:lineRule="auto"/>
        <w:rPr>
          <w:sz w:val="20"/>
          <w:szCs w:val="20"/>
          <w:color w:val="auto"/>
        </w:rPr>
      </w:pPr>
      <w:r>
        <w:rPr>
          <w:rFonts w:ascii="Arial" w:cs="Arial" w:eastAsia="Arial" w:hAnsi="Arial"/>
          <w:sz w:val="18"/>
          <w:szCs w:val="18"/>
          <w:color w:val="auto"/>
        </w:rPr>
        <w:t>regarding the participants in the proxy solicitation and a description of their direct and indirect interests, by security holdings or otherwise,</w:t>
      </w:r>
    </w:p>
    <w:p>
      <w:pPr>
        <w:spacing w:after="0" w:line="235" w:lineRule="auto"/>
        <w:rPr>
          <w:sz w:val="20"/>
          <w:szCs w:val="20"/>
          <w:color w:val="auto"/>
        </w:rPr>
      </w:pPr>
      <w:r>
        <w:rPr>
          <w:rFonts w:ascii="Arial" w:cs="Arial" w:eastAsia="Arial" w:hAnsi="Arial"/>
          <w:sz w:val="18"/>
          <w:szCs w:val="18"/>
          <w:color w:val="auto"/>
        </w:rPr>
        <w:t>will be contained in the Form S-4 and the proxy statement/prospectus and other relevant materials to be filed with the SEC regarding the</w:t>
      </w:r>
    </w:p>
    <w:p>
      <w:pPr>
        <w:spacing w:after="0" w:line="235" w:lineRule="auto"/>
        <w:rPr>
          <w:sz w:val="20"/>
          <w:szCs w:val="20"/>
          <w:color w:val="auto"/>
        </w:rPr>
      </w:pPr>
      <w:r>
        <w:rPr>
          <w:rFonts w:ascii="Arial" w:cs="Arial" w:eastAsia="Arial" w:hAnsi="Arial"/>
          <w:sz w:val="18"/>
          <w:szCs w:val="18"/>
          <w:color w:val="auto"/>
        </w:rPr>
        <w:t>proposed transaction when such materials become available. Investors should read the Form S-4 and the proxy statement/prospectus</w:t>
      </w:r>
    </w:p>
    <w:p>
      <w:pPr>
        <w:spacing w:after="0" w:line="234" w:lineRule="auto"/>
        <w:rPr>
          <w:sz w:val="20"/>
          <w:szCs w:val="20"/>
          <w:color w:val="auto"/>
        </w:rPr>
      </w:pPr>
      <w:r>
        <w:rPr>
          <w:rFonts w:ascii="Arial" w:cs="Arial" w:eastAsia="Arial" w:hAnsi="Arial"/>
          <w:sz w:val="18"/>
          <w:szCs w:val="18"/>
          <w:color w:val="auto"/>
        </w:rPr>
        <w:t>carefully when available before making any voting or investment decisions. You may obtain free copies of these documents from SLB 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ChampionX using the sources indicated above.</w:t>
      </w:r>
    </w:p>
    <w:sectPr>
      <w:pgSz w:w="11900" w:h="16838" w:orient="portrait"/>
      <w:cols w:equalWidth="0" w:num="1">
        <w:col w:w="10980"/>
      </w:cols>
      <w:pgMar w:left="440" w:top="26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ix?doc=/Archives/edgar/data/0000087347/000130817924000033/lslb2024_def14a.htm" TargetMode="External"/><Relationship Id="rId14" Type="http://schemas.openxmlformats.org/officeDocument/2006/relationships/hyperlink" Target="http://www.sec.gov/ix?doc=/Archives/edgar/data/0000087347/000095017024006884/slb-20231231.htm" TargetMode="External"/><Relationship Id="rId15" Type="http://schemas.openxmlformats.org/officeDocument/2006/relationships/hyperlink" Target="http://www.sec.gov/ix?doc=/Archives/edgar/data/0001723089/000172308924000079/championx-20240401.htm" TargetMode="External"/><Relationship Id="rId16" Type="http://schemas.openxmlformats.org/officeDocument/2006/relationships/hyperlink" Target="http://www.sec.gov/ix?doc=/Archives/edgar/data/1723089/000172308924000011/championx-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2024-04-11T05:20:04Z</dcterms:created>
  <dcterms:modified xsi:type="dcterms:W3CDTF">2024-04-11T05:20:04Z</dcterms:modified>
</cp:coreProperties>
</file>