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5"/>
              </w:rPr>
              <w:t>5599 SAN FELIPE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120" w:lineRule="exact"/>
        <w:rPr>
          <w:sz w:val="24"/>
          <w:szCs w:val="24"/>
          <w:color w:val="auto"/>
        </w:rPr>
      </w:pPr>
    </w:p>
    <w:p>
      <w:pPr>
        <w:ind w:right="60"/>
        <w:spacing w:after="0" w:line="21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ind w:right="240"/>
        <w:spacing w:after="0" w:line="30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440"/>
          </w:cols>
          <w:pgMar w:left="240" w:top="205" w:right="219" w:bottom="1440" w:gutter="0" w:footer="0" w:header="0"/>
        </w:sectPr>
      </w:pP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1740" w:space="560"/>
            <w:col w:w="9140"/>
          </w:cols>
          <w:pgMar w:left="240" w:top="205" w:right="219" w:bottom="1440" w:gutter="0" w:footer="0" w:header="0"/>
          <w:type w:val="continuous"/>
        </w:sectPr>
      </w:pPr>
    </w:p>
    <w:p>
      <w:pPr>
        <w:ind w:right="3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Yes </w:t>
            </w:r>
            <w:r>
              <w:rPr>
                <w:rFonts w:ascii="MS PGothic" w:cs="MS PGothic" w:eastAsia="MS PGothic" w:hAnsi="MS PGothic"/>
                <w:sz w:val="16"/>
                <w:szCs w:val="16"/>
                <w:color w:val="auto"/>
                <w:w w:val="92"/>
              </w:rPr>
              <w:t>☐</w:t>
            </w:r>
          </w:p>
        </w:tc>
        <w:tc>
          <w:tcPr>
            <w:tcW w:w="350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Arial" w:cs="Arial" w:eastAsia="Arial" w:hAnsi="Arial"/>
                <w:sz w:val="16"/>
                <w:szCs w:val="16"/>
                <w:color w:val="auto"/>
                <w:w w:val="90"/>
              </w:rPr>
              <w:t>Indicate the number of shares outstanding of each of the issuer’s classes of common stock, as of the latest practicable date.</w:t>
            </w: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Arial" w:cs="Arial" w:eastAsia="Arial" w:hAnsi="Arial"/>
                <w:sz w:val="16"/>
                <w:szCs w:val="16"/>
                <w:b w:val="1"/>
                <w:bCs w:val="1"/>
                <w:color w:val="auto"/>
              </w:rPr>
              <w:t>Class</w:t>
            </w: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Outstanding at June 30, 2018</w:t>
            </w:r>
          </w:p>
        </w:tc>
      </w:tr>
      <w:tr>
        <w:trPr>
          <w:trHeight w:val="221"/>
        </w:trPr>
        <w:tc>
          <w:tcPr>
            <w:tcW w:w="794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780" w:type="dxa"/>
            <w:vAlign w:val="bottom"/>
          </w:tcPr>
          <w:p>
            <w:pPr>
              <w:spacing w:after="0"/>
              <w:rPr>
                <w:sz w:val="19"/>
                <w:szCs w:val="19"/>
                <w:color w:val="auto"/>
              </w:rPr>
            </w:pPr>
          </w:p>
        </w:tc>
        <w:tc>
          <w:tcPr>
            <w:tcW w:w="198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color w:val="auto"/>
              </w:rPr>
              <w:t>1,384,118,911</w:t>
            </w:r>
          </w:p>
        </w:tc>
        <w:tc>
          <w:tcPr>
            <w:tcW w:w="740" w:type="dxa"/>
            <w:vAlign w:val="bottom"/>
          </w:tcPr>
          <w:p>
            <w:pPr>
              <w:spacing w:after="0"/>
              <w:rPr>
                <w:sz w:val="19"/>
                <w:szCs w:val="19"/>
                <w:color w:val="auto"/>
              </w:rPr>
            </w:pPr>
          </w:p>
        </w:tc>
      </w:tr>
      <w:tr>
        <w:trPr>
          <w:trHeight w:val="131"/>
        </w:trPr>
        <w:tc>
          <w:tcPr>
            <w:tcW w:w="38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7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2018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66040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3"/>
              </w:rPr>
              <w:t>(Stated in millions, except per share amounts</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436"/>
        </w:trPr>
        <w:tc>
          <w:tcPr>
            <w:tcW w:w="5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8"/>
                <w:szCs w:val="18"/>
                <w:b w:val="1"/>
                <w:bCs w:val="1"/>
                <w:color w:val="auto"/>
              </w:rPr>
              <w:t>Second Quarter</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58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6,141</w:t>
            </w:r>
          </w:p>
        </w:tc>
        <w:tc>
          <w:tcPr>
            <w:tcW w:w="240" w:type="dxa"/>
            <w:vAlign w:val="bottom"/>
          </w:tcPr>
          <w:p>
            <w:pPr>
              <w:spacing w:after="0"/>
              <w:rPr>
                <w:sz w:val="19"/>
                <w:szCs w:val="19"/>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5,477</w:t>
            </w:r>
          </w:p>
        </w:tc>
        <w:tc>
          <w:tcPr>
            <w:tcW w:w="140" w:type="dxa"/>
            <w:vAlign w:val="bottom"/>
          </w:tcPr>
          <w:p>
            <w:pPr>
              <w:spacing w:after="0"/>
              <w:rPr>
                <w:sz w:val="19"/>
                <w:szCs w:val="19"/>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11,876</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8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2,162</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4,255</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8,303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5,196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4,624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10,076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1,983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tcPr>
          <w:p>
            <w:pPr>
              <w:ind w:left="240"/>
              <w:spacing w:after="0"/>
              <w:rPr>
                <w:sz w:val="20"/>
                <w:szCs w:val="20"/>
                <w:color w:val="auto"/>
              </w:rPr>
            </w:pPr>
            <w:r>
              <w:rPr>
                <w:rFonts w:ascii="Arial" w:cs="Arial" w:eastAsia="Arial" w:hAnsi="Arial"/>
                <w:sz w:val="18"/>
                <w:szCs w:val="18"/>
                <w:color w:val="auto"/>
              </w:rPr>
              <w:t>Merger &amp; integration</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8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Pr>
          <w:p>
            <w:pPr>
              <w:spacing w:after="0"/>
              <w:rPr>
                <w:sz w:val="20"/>
                <w:szCs w:val="20"/>
                <w:color w:val="auto"/>
              </w:rPr>
            </w:pPr>
            <w:r>
              <w:rPr>
                <w:rFonts w:ascii="Arial" w:cs="Arial" w:eastAsia="Arial" w:hAnsi="Arial"/>
                <w:sz w:val="18"/>
                <w:szCs w:val="18"/>
                <w:i w:val="1"/>
                <w:iCs w:val="1"/>
                <w:color w:val="auto"/>
              </w:rPr>
              <w:t>Income before taxes</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expense</w:t>
            </w:r>
          </w:p>
        </w:tc>
        <w:tc>
          <w:tcPr>
            <w:tcW w:w="8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noncontrolling interests</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8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0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240" w:type="dxa"/>
            <w:vAlign w:val="bottom"/>
          </w:tcPr>
          <w:p>
            <w:pPr>
              <w:spacing w:after="0"/>
              <w:rPr>
                <w:sz w:val="22"/>
                <w:szCs w:val="22"/>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vMerge w:val="continue"/>
          </w:tcPr>
          <w:p>
            <w:pPr>
              <w:spacing w:after="0"/>
              <w:rPr>
                <w:sz w:val="22"/>
                <w:szCs w:val="22"/>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955</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0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158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(0.05)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0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158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(0.05)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0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6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1,384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Assuming dilution</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1,392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278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5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8"/>
                <w:szCs w:val="18"/>
                <w:b w:val="1"/>
                <w:bCs w:val="1"/>
                <w:color w:val="auto"/>
              </w:rPr>
              <w:t>Second Quarter</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971</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(121)</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arising during the period</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(40)</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gain (loss) on cash flow hedges</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Reclassification to net income (loss) of net realized (gain) loss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60"/>
              <w:spacing w:after="0"/>
              <w:rPr>
                <w:sz w:val="20"/>
                <w:szCs w:val="20"/>
                <w:color w:val="auto"/>
              </w:rPr>
            </w:pPr>
            <w:r>
              <w:rPr>
                <w:rFonts w:ascii="Arial" w:cs="Arial" w:eastAsia="Arial" w:hAnsi="Arial"/>
                <w:sz w:val="18"/>
                <w:szCs w:val="18"/>
                <w:color w:val="auto"/>
              </w:rPr>
              <w:t>Amortization to net income of net actuarial loss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of net prior service (credit) cost</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3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(110)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w w:val="96"/>
              </w:rPr>
              <w:t>Comprehensive income (loss) attributable to noncontrolling interests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36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(103)</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924</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Jun.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(2018 - $249; 2017 - $241)</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8,606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16,900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11,504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25,121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70,156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9,367</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3,736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15,066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33,259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13,030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(4,001)</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31,760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(4,305)</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36,484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36,897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70,156</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3"/>
                <w:szCs w:val="13"/>
                <w:b w:val="1"/>
                <w:bCs w:val="1"/>
                <w:color w:val="auto"/>
                <w:w w:val="92"/>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23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21"/>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6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300" w:type="dxa"/>
            <w:vAlign w:val="bottom"/>
            <w:gridSpan w:val="2"/>
          </w:tcPr>
          <w:p>
            <w:pPr>
              <w:jc w:val="right"/>
              <w:ind w:right="786"/>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971</w:t>
            </w:r>
          </w:p>
        </w:tc>
        <w:tc>
          <w:tcPr>
            <w:tcW w:w="30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(74)</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40"/>
              <w:spacing w:after="0" w:line="214"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Increase in receivables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(284)</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in inventories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(71)</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(increase) in other current assets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in other assets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(120)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(1,015)</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estimated liability for taxes on income</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(34)</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 other liabilities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1,555</w:t>
            </w:r>
          </w:p>
        </w:tc>
        <w:tc>
          <w:tcPr>
            <w:tcW w:w="3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(974)</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SPM investments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(434)</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Multiclient seismic data costs capitalized</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(47)</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(47)</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Sale of investments, net</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1,692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4"/>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INVESTING ACTIVITIES</w:t>
            </w:r>
          </w:p>
        </w:tc>
        <w:tc>
          <w:tcPr>
            <w:tcW w:w="136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w:t>
            </w:r>
          </w:p>
        </w:tc>
        <w:tc>
          <w:tcPr>
            <w:tcW w:w="3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(1,385)</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Stock repurchase program</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Repayment of long-term debt</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(467)</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Net decrease in short-term borrowings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(2,051)</w:t>
            </w:r>
          </w:p>
        </w:tc>
        <w:tc>
          <w:tcPr>
            <w:tcW w:w="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before translation effect</w:t>
            </w:r>
          </w:p>
        </w:tc>
        <w:tc>
          <w:tcPr>
            <w:tcW w:w="1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(326)</w:t>
            </w:r>
          </w:p>
        </w:tc>
        <w:tc>
          <w:tcPr>
            <w:tcW w:w="3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3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1,799</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20"/>
                <w:szCs w:val="20"/>
                <w:color w:val="auto"/>
              </w:rPr>
            </w:pPr>
            <w:r>
              <w:rPr>
                <w:rFonts w:ascii="Arial" w:cs="Arial" w:eastAsia="Arial" w:hAnsi="Arial"/>
                <w:sz w:val="16"/>
                <w:szCs w:val="16"/>
                <w:color w:val="auto"/>
              </w:rPr>
              <w:t>Cash, end of period</w:t>
            </w:r>
          </w:p>
        </w:tc>
        <w:tc>
          <w:tcPr>
            <w:tcW w:w="1360" w:type="dxa"/>
            <w:vAlign w:val="bottom"/>
          </w:tcPr>
          <w:p>
            <w:pPr>
              <w:spacing w:after="0"/>
              <w:rPr>
                <w:sz w:val="17"/>
                <w:szCs w:val="17"/>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1,461</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Arial" w:cs="Arial" w:eastAsia="Arial" w:hAnsi="Arial"/>
          <w:sz w:val="23"/>
          <w:szCs w:val="23"/>
          <w:color w:val="auto"/>
          <w:vertAlign w:val="superscript"/>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3"/>
          <w:szCs w:val="23"/>
          <w:color w:val="auto"/>
          <w:vertAlign w:val="superscript"/>
        </w:rPr>
      </w:pPr>
    </w:p>
    <w:p>
      <w:pPr>
        <w:ind w:left="280" w:hanging="194"/>
        <w:spacing w:after="0" w:line="180" w:lineRule="auto"/>
        <w:tabs>
          <w:tab w:leader="none" w:pos="2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121" w:right="2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6"/>
          </w:tcPr>
          <w:p>
            <w:pPr>
              <w:ind w:left="4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260" w:type="dxa"/>
            <w:vAlign w:val="bottom"/>
            <w:gridSpan w:val="5"/>
          </w:tcPr>
          <w:p>
            <w:pPr>
              <w:ind w:left="60"/>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2018 – June 30, 2018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2018</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12,975</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(4,049)</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32,190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(4,274)</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419</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37,261</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955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971</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(82</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(27)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53</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(33)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107</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176</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176</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($1.00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(1,385)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(1,385</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June 30, 2018</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13,030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(4,001)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31,760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(4,305)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36,897</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i w:val="1"/>
                <w:iCs w:val="1"/>
                <w:color w:val="auto"/>
                <w:w w:val="92"/>
              </w:rPr>
              <w:t>(Stated in million</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2017 – June 30, 2017</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2017</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12,801</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(3,550)</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36,470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(4,643)</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gridSpan w:val="3"/>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41,52</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(33)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(80)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9</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(770)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180</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18</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($1.00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June 30, 2017</w:t>
            </w:r>
          </w:p>
        </w:tc>
        <w:tc>
          <w:tcPr>
            <w:tcW w:w="20" w:type="dxa"/>
            <w:vAlign w:val="bottom"/>
          </w:tcPr>
          <w:p>
            <w:pPr>
              <w:spacing w:after="0"/>
              <w:rPr>
                <w:sz w:val="13"/>
                <w:szCs w:val="13"/>
                <w:color w:val="auto"/>
              </w:rPr>
            </w:pPr>
          </w:p>
        </w:tc>
        <w:tc>
          <w:tcPr>
            <w:tcW w:w="200" w:type="dxa"/>
            <w:vAlign w:val="bottom"/>
            <w:tcBorders>
              <w:top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12,843</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(4,049)</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35,284</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(4,558)</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39,95</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7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2018 are not necessarily indicative of the results that may be expected for the full year ending December 31, 2018. The December 31, 2017 balance sheet information has been derived from the Schlumberger 2017 audited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2017,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Securities and Exchange Commission on January 24,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This ASU amended the existing accounting standards for revenue recognition and requires companies to recognize revenue when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promised goods or services is transferred to a customer at an amount that reflects the consideration a company expects to receive in exchange for those goods or services. Schlumberger adopted this ASU on January 1, 2018 using the modified retrospective transition method applied to those contracts which were not completed as of January 1, 2018. Prior period amounts have not been adjusted and continue to be reflected in accordance with Schlumberger’s historical accounting. The adoption of this ASU did not have a material impact on Schlumberger’s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30 to 60 days.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June 30, 2018 and $0.3 billion at December 31, 2017.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$2.5 billion at June 30, 2018, of which approximately 56% is expected to be recognized as revenue over the next 12 months.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Billings and cash collections in excess of revenue was $0.8 billion at both June 30, 2018 and December 31, 2017. Such amounts are included within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 of use asset and lease liability on the balance sheet for all leases, with the exception of short-term leases. This ASU is effective for Schlumberger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66" w:lineRule="auto"/>
        <w:rPr>
          <w:sz w:val="20"/>
          <w:szCs w:val="20"/>
          <w:color w:val="auto"/>
        </w:rPr>
      </w:pPr>
      <w:r>
        <w:rPr>
          <w:rFonts w:ascii="Arial" w:cs="Arial" w:eastAsia="Arial" w:hAnsi="Arial"/>
          <w:sz w:val="18"/>
          <w:szCs w:val="18"/>
          <w:color w:val="auto"/>
        </w:rPr>
        <w:t xml:space="preserve">January 1, 2019, with early adoption permitted. Based on its current lease portfolio, Schlumberger estimates that the adoption of this ASU will result in approximately $1.2 billion of additional assets and liabilities being reflected on its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9" w:lineRule="exact"/>
        <w:rPr>
          <w:sz w:val="20"/>
          <w:szCs w:val="20"/>
          <w:color w:val="auto"/>
        </w:rPr>
      </w:pPr>
    </w:p>
    <w:p>
      <w:pPr>
        <w:ind w:right="9580" w:firstLine="6"/>
        <w:spacing w:after="0" w:line="373"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2018</w:t>
      </w:r>
    </w:p>
    <w:p>
      <w:pPr>
        <w:spacing w:after="0" w:line="1"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six months of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2017:</w:t>
      </w:r>
    </w:p>
    <w:p>
      <w:pPr>
        <w:spacing w:after="0" w:line="112" w:lineRule="exact"/>
        <w:rPr>
          <w:sz w:val="20"/>
          <w:szCs w:val="20"/>
          <w:color w:val="auto"/>
        </w:rPr>
      </w:pPr>
    </w:p>
    <w:p>
      <w:pPr>
        <w:jc w:val="both"/>
        <w:ind w:left="760" w:hanging="382"/>
        <w:spacing w:after="0" w:line="26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During the second quarter of 2017, Schlumberger entered into a financing agreement with its primary customer in Venezuela. This agreement resulted in the exchange of $700 million of outstanding accounts receivable for a promissory note with a three-year term that bears interest at the rate of 6.50% per annum. Schlumberger recorded this note at its estimated fair value on the date of the exchange, which resulted in a charge of $460 million. Schlumberger is accounting for the promissory note as an available-for-sale security reported at fair value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with unrealized gains and losses included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The fair value of the promissory notes was based on management’s estimate of pricing assumptions that market participants would use.</w:t>
      </w:r>
    </w:p>
    <w:p>
      <w:pPr>
        <w:spacing w:after="0" w:line="178" w:lineRule="exact"/>
        <w:rPr>
          <w:rFonts w:ascii="Arial" w:cs="Arial" w:eastAsia="Arial" w:hAnsi="Arial"/>
          <w:sz w:val="17"/>
          <w:szCs w:val="17"/>
          <w:color w:val="auto"/>
        </w:rPr>
      </w:pPr>
    </w:p>
    <w:p>
      <w:pPr>
        <w:jc w:val="both"/>
        <w:ind w:left="760"/>
        <w:spacing w:after="0" w:line="256" w:lineRule="auto"/>
        <w:rPr>
          <w:rFonts w:ascii="Arial" w:cs="Arial" w:eastAsia="Arial" w:hAnsi="Arial"/>
          <w:sz w:val="17"/>
          <w:szCs w:val="17"/>
          <w:color w:val="auto"/>
        </w:rPr>
      </w:pPr>
      <w:r>
        <w:rPr>
          <w:rFonts w:ascii="Arial" w:cs="Arial" w:eastAsia="Arial" w:hAnsi="Arial"/>
          <w:sz w:val="18"/>
          <w:szCs w:val="18"/>
          <w:color w:val="auto"/>
        </w:rPr>
        <w:t>During the second quarter of 2017, Schlumberger also entered into discussions with another customer relating to certain of its outstanding accounts receivable. As a result of those discussions, Schlumberger recorded a charge of $50 million to adjust these receivables to their estimated net realizable value.</w:t>
      </w:r>
    </w:p>
    <w:p>
      <w:pPr>
        <w:spacing w:after="0" w:line="188"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 xml:space="preserve">These charges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p>
    <w:p>
      <w:pPr>
        <w:spacing w:after="0" w:line="111" w:lineRule="exact"/>
        <w:rPr>
          <w:rFonts w:ascii="Arial" w:cs="Arial" w:eastAsia="Arial" w:hAnsi="Arial"/>
          <w:sz w:val="17"/>
          <w:szCs w:val="17"/>
          <w:color w:val="auto"/>
        </w:rPr>
      </w:pPr>
    </w:p>
    <w:p>
      <w:pPr>
        <w:jc w:val="both"/>
        <w:ind w:left="760" w:hanging="382"/>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2016 acquisition of Cameron International Corporation (“Cameron”), Schlumberger recorded $81 million of charges consisting of employee benefits, facility consolidation and other merger and integration-related costs. These charges are classified in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&amp; integration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2017:</w:t>
      </w:r>
    </w:p>
    <w:p>
      <w:pPr>
        <w:spacing w:after="0" w:line="112" w:lineRule="exact"/>
        <w:rPr>
          <w:sz w:val="20"/>
          <w:szCs w:val="20"/>
          <w:color w:val="auto"/>
        </w:rPr>
      </w:pPr>
    </w:p>
    <w:p>
      <w:pPr>
        <w:jc w:val="both"/>
        <w:ind w:left="760" w:hanging="382"/>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acquisition of Cameron, Schlumberger recorded $82 million of charges during the first quarter of 2017 relating to employee benefits, facility closures and other merger and integration-related costs. These charges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six months of 2017:</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5"/>
        </w:trPr>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Noncontrolling</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46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Tax</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Interests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2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510</w:t>
            </w:r>
          </w:p>
        </w:tc>
        <w:tc>
          <w:tcPr>
            <w:tcW w:w="1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r>
      <w:tr>
        <w:trPr>
          <w:trHeight w:val="225"/>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Merger &amp; integration</w:t>
            </w:r>
          </w:p>
        </w:tc>
        <w:tc>
          <w:tcPr>
            <w:tcW w:w="1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164</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tcPr>
          <w:p>
            <w:pPr>
              <w:spacing w:after="0"/>
              <w:rPr>
                <w:sz w:val="19"/>
                <w:szCs w:val="19"/>
                <w:color w:val="auto"/>
              </w:rPr>
            </w:pPr>
          </w:p>
        </w:tc>
      </w:tr>
      <w:tr>
        <w:trPr>
          <w:trHeight w:val="219"/>
        </w:trPr>
        <w:tc>
          <w:tcPr>
            <w:tcW w:w="46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674</w:t>
            </w:r>
          </w:p>
        </w:tc>
        <w:tc>
          <w:tcPr>
            <w:tcW w:w="1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760" w:hanging="382"/>
        <w:spacing w:after="0" w:line="24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changed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consisted of two components: (i) a $410 million charge relating to the one-time mandatory tax on previously deferred earnings of certain non-US subsidiaries that are owned either wholly or partially by a US subsidiary of Schlumberger, and (ii) a $334 million credit resulting from the remeasurement of Schlumberger’s net deferred tax liabilities in the US based on the new lower corporate income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jc w:val="both"/>
        <w:ind w:left="760" w:right="20"/>
        <w:spacing w:after="0" w:line="251" w:lineRule="auto"/>
        <w:rPr>
          <w:sz w:val="20"/>
          <w:szCs w:val="20"/>
          <w:color w:val="auto"/>
        </w:rPr>
      </w:pPr>
      <w:r>
        <w:rPr>
          <w:rFonts w:ascii="Arial" w:cs="Arial" w:eastAsia="Arial" w:hAnsi="Arial"/>
          <w:sz w:val="18"/>
          <w:szCs w:val="18"/>
          <w:color w:val="auto"/>
        </w:rPr>
        <w:t xml:space="preserve">Although the $76 million net charge represents a reasonable estimate of the impact of the income tax effects of the Act on Schlumberger’s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as of December 31, 2017, it should be considered provisional. Once Schlumberger finalizes certain tax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it files its 2017 US tax return, it will be able to conclude whether any further adjustments are required. Any adjustments to these provisional amounts will be reported as a component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reporting period in which any such adjustments are determined, which will be no later than the fourth quarter of 2018.</w:t>
      </w:r>
    </w:p>
    <w:p>
      <w:pPr>
        <w:spacing w:after="0" w:line="294" w:lineRule="exact"/>
        <w:rPr>
          <w:sz w:val="20"/>
          <w:szCs w:val="20"/>
          <w:color w:val="auto"/>
        </w:rPr>
      </w:pPr>
    </w:p>
    <w:p>
      <w:pPr>
        <w:ind w:left="280" w:hanging="27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421"/>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Schlumberger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82"/>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Net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Loss per Share</w:t>
            </w:r>
          </w:p>
        </w:tc>
      </w:tr>
      <w:tr>
        <w:trPr>
          <w:trHeight w:val="202"/>
        </w:trPr>
        <w:tc>
          <w:tcPr>
            <w:tcW w:w="120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Second Quarter</w:t>
            </w:r>
          </w:p>
        </w:tc>
        <w:tc>
          <w:tcPr>
            <w:tcW w:w="164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(0.05)</w:t>
            </w: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42"/>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Schlumberger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82"/>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Earnings per</w:t>
            </w:r>
          </w:p>
        </w:tc>
      </w:tr>
      <w:tr>
        <w:trPr>
          <w:trHeight w:val="211"/>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Share</w:t>
            </w:r>
          </w:p>
        </w:tc>
      </w:tr>
      <w:tr>
        <w:trPr>
          <w:trHeight w:val="202"/>
        </w:trPr>
        <w:tc>
          <w:tcPr>
            <w:tcW w:w="86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Six Months</w:t>
            </w:r>
          </w:p>
        </w:tc>
        <w:tc>
          <w:tcPr>
            <w:tcW w:w="198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955</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8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1140" w:type="dxa"/>
            <w:vAlign w:val="bottom"/>
            <w:tcBorders>
              <w:bottom w:val="single" w:sz="8" w:color="auto"/>
            </w:tcBorders>
          </w:tcPr>
          <w:p>
            <w:pPr>
              <w:jc w:val="center"/>
              <w:ind w:left="358"/>
              <w:spacing w:after="0"/>
              <w:rPr>
                <w:sz w:val="20"/>
                <w:szCs w:val="20"/>
                <w:color w:val="auto"/>
              </w:rPr>
            </w:pPr>
            <w:r>
              <w:rPr>
                <w:rFonts w:ascii="Arial" w:cs="Arial" w:eastAsia="Arial" w:hAnsi="Arial"/>
                <w:sz w:val="18"/>
                <w:szCs w:val="18"/>
                <w:b w:val="1"/>
                <w:bCs w:val="1"/>
                <w:color w:val="auto"/>
                <w:w w:val="84"/>
              </w:rPr>
              <w:t>2018</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Six Months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4.  Inventories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820" w:type="dxa"/>
            <w:vAlign w:val="bottom"/>
            <w:gridSpan w:val="3"/>
          </w:tcPr>
          <w:p>
            <w:pPr>
              <w:spacing w:after="0"/>
              <w:rPr>
                <w:sz w:val="20"/>
                <w:szCs w:val="20"/>
                <w:color w:val="auto"/>
              </w:rPr>
            </w:pPr>
            <w:r>
              <w:rPr>
                <w:rFonts w:ascii="Arial" w:cs="Arial" w:eastAsia="Arial" w:hAnsi="Arial"/>
                <w:sz w:val="18"/>
                <w:szCs w:val="18"/>
                <w:color w:val="auto"/>
                <w:w w:val="94"/>
              </w:rPr>
              <w:t>A summary of inventories, which are stated at the lower of average cost or net realizable value, follows: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40" w:type="dxa"/>
            <w:vAlign w:val="bottom"/>
          </w:tcPr>
          <w:p>
            <w:pPr>
              <w:jc w:val="center"/>
              <w:ind w:left="358"/>
              <w:spacing w:after="0"/>
              <w:rPr>
                <w:sz w:val="20"/>
                <w:szCs w:val="20"/>
                <w:color w:val="auto"/>
              </w:rPr>
            </w:pPr>
            <w:r>
              <w:rPr>
                <w:rFonts w:ascii="Arial" w:cs="Arial" w:eastAsia="Arial" w:hAnsi="Arial"/>
                <w:sz w:val="18"/>
                <w:szCs w:val="18"/>
                <w:b w:val="1"/>
                <w:bCs w:val="1"/>
                <w:color w:val="auto"/>
                <w:w w:val="86"/>
              </w:rPr>
              <w:t>Jun. 30,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67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center"/>
              <w:ind w:left="358"/>
              <w:spacing w:after="0"/>
              <w:rPr>
                <w:sz w:val="20"/>
                <w:szCs w:val="20"/>
                <w:color w:val="auto"/>
              </w:rPr>
            </w:pPr>
            <w:r>
              <w:rPr>
                <w:rFonts w:ascii="Arial" w:cs="Arial" w:eastAsia="Arial" w:hAnsi="Arial"/>
                <w:sz w:val="18"/>
                <w:szCs w:val="18"/>
                <w:b w:val="1"/>
                <w:bCs w:val="1"/>
                <w:color w:val="auto"/>
                <w:w w:val="84"/>
              </w:rPr>
              <w:t>2018</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140" w:type="dxa"/>
            <w:vAlign w:val="bottom"/>
            <w:shd w:val="clear" w:color="auto" w:fill="CFF0FC"/>
          </w:tcPr>
          <w:p>
            <w:pPr>
              <w:jc w:val="right"/>
              <w:ind w:right="978"/>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1,853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1,742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140" w:type="dxa"/>
            <w:vAlign w:val="bottom"/>
            <w:tcBorders>
              <w:bottom w:val="single" w:sz="8" w:color="auto"/>
            </w:tcBorders>
          </w:tcPr>
          <w:p>
            <w:pPr>
              <w:jc w:val="right"/>
              <w:ind w:right="978"/>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4,120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78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0" w:name="page11"/>
    <w:bookmarkEnd w:id="10"/>
    <w:p>
      <w:pPr>
        <w:ind w:left="280" w:hanging="27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100" w:type="dxa"/>
            <w:vAlign w:val="bottom"/>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38,191</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26,687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11,504</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8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100" w:type="dxa"/>
            <w:vAlign w:val="bottom"/>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Six Months</w:t>
            </w:r>
          </w:p>
        </w:tc>
        <w:tc>
          <w:tcPr>
            <w:tcW w:w="1100" w:type="dxa"/>
            <w:vAlign w:val="bottom"/>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280" w:hanging="274"/>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2018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2018</w:t>
      </w:r>
    </w:p>
    <w:p>
      <w:pPr>
        <w:spacing w:after="0" w:line="345" w:lineRule="exact"/>
        <w:rPr>
          <w:sz w:val="20"/>
          <w:szCs w:val="20"/>
          <w:color w:val="auto"/>
        </w:rPr>
      </w:pPr>
    </w:p>
    <w:p>
      <w:pPr>
        <w:ind w:left="280" w:hanging="274"/>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87" w:hanging="1087"/>
        <w:spacing w:after="0"/>
        <w:tabs>
          <w:tab w:leader="none" w:pos="10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727</w:t>
      </w:r>
    </w:p>
    <w:p>
      <w:pPr>
        <w:spacing w:after="0" w:line="18"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2" w:lineRule="exact"/>
        <w:rPr>
          <w:sz w:val="20"/>
          <w:szCs w:val="20"/>
          <w:color w:val="auto"/>
        </w:rPr>
      </w:pPr>
    </w:p>
    <w:p>
      <w:pPr>
        <w:ind w:left="1087" w:hanging="1087"/>
        <w:spacing w:after="0"/>
        <w:tabs>
          <w:tab w:leader="none" w:pos="10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054" w:lineRule="exact"/>
        <w:rPr>
          <w:sz w:val="20"/>
          <w:szCs w:val="20"/>
          <w:color w:val="auto"/>
        </w:rPr>
      </w:pPr>
    </w:p>
    <w:p>
      <w:pPr>
        <w:sectPr>
          <w:pgSz w:w="11900" w:h="16838" w:orient="portrait"/>
          <w:cols w:equalWidth="0" w:num="2">
            <w:col w:w="9213" w:space="720"/>
            <w:col w:w="1487"/>
          </w:cols>
          <w:pgMar w:left="240" w:top="121" w:right="239" w:bottom="1440" w:gutter="0" w:footer="0" w:header="0"/>
          <w:type w:val="continuous"/>
        </w:sectPr>
      </w:pPr>
    </w:p>
    <w:p>
      <w:pPr>
        <w:spacing w:after="0" w:line="115" w:lineRule="exact"/>
        <w:rPr>
          <w:sz w:val="20"/>
          <w:szCs w:val="20"/>
          <w:color w:val="auto"/>
        </w:rPr>
      </w:pPr>
    </w:p>
    <w:tbl>
      <w:tblPr>
        <w:tblLayout w:type="fixed"/>
        <w:tblInd w:w="3280" w:type="dxa"/>
        <w:tblCellMar>
          <w:top w:w="0" w:type="dxa"/>
          <w:left w:w="0" w:type="dxa"/>
          <w:bottom w:w="0" w:type="dxa"/>
          <w:right w:w="0" w:type="dxa"/>
        </w:tblCellMar>
      </w:tblPr>
      <w:tr>
        <w:trPr>
          <w:trHeight w:val="180"/>
        </w:trPr>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ind w:left="220"/>
              <w:spacing w:after="0"/>
              <w:rPr>
                <w:sz w:val="20"/>
                <w:szCs w:val="20"/>
                <w:color w:val="auto"/>
              </w:rPr>
            </w:pPr>
            <w:r>
              <w:rPr>
                <w:rFonts w:ascii="Arial" w:cs="Arial" w:eastAsia="Arial" w:hAnsi="Arial"/>
                <w:sz w:val="14"/>
                <w:szCs w:val="14"/>
                <w:i w:val="1"/>
                <w:iCs w:val="1"/>
                <w:color w:val="auto"/>
                <w:w w:val="93"/>
              </w:rPr>
              <w:t>(Stated in millions)</w:t>
            </w:r>
          </w:p>
        </w:tc>
      </w:tr>
      <w:tr>
        <w:trPr>
          <w:trHeight w:val="434"/>
        </w:trPr>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Jun. 30, 2018</w:t>
            </w:r>
          </w:p>
        </w:tc>
        <w:tc>
          <w:tcPr>
            <w:tcW w:w="12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Dec. 31, 2017</w:t>
            </w:r>
          </w:p>
        </w:tc>
        <w:tc>
          <w:tcPr>
            <w:tcW w:w="1320" w:type="dxa"/>
            <w:vAlign w:val="bottom"/>
            <w:tcBorders>
              <w:bottom w:val="single" w:sz="8" w:color="auto"/>
            </w:tcBorders>
          </w:tcPr>
          <w:p>
            <w:pPr>
              <w:spacing w:after="0"/>
              <w:rPr>
                <w:sz w:val="24"/>
                <w:szCs w:val="24"/>
                <w:color w:val="auto"/>
              </w:rPr>
            </w:pPr>
          </w:p>
        </w:tc>
      </w:tr>
      <w:tr>
        <w:trPr>
          <w:trHeight w:val="204"/>
        </w:trPr>
        <w:tc>
          <w:tcPr>
            <w:tcW w:w="1220" w:type="dxa"/>
            <w:vAlign w:val="bottom"/>
          </w:tcPr>
          <w:p>
            <w:pPr>
              <w:jc w:val="center"/>
              <w:ind w:right="20"/>
              <w:spacing w:after="0"/>
              <w:rPr>
                <w:sz w:val="20"/>
                <w:szCs w:val="20"/>
                <w:color w:val="auto"/>
              </w:rPr>
            </w:pPr>
            <w:r>
              <w:rPr>
                <w:rFonts w:ascii="Arial" w:cs="Arial" w:eastAsia="Arial" w:hAnsi="Arial"/>
                <w:sz w:val="16"/>
                <w:szCs w:val="16"/>
                <w:b w:val="1"/>
                <w:bCs w:val="1"/>
                <w:color w:val="auto"/>
                <w:w w:val="86"/>
              </w:rPr>
              <w:t>Gross</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40" w:type="dxa"/>
            <w:vAlign w:val="bottom"/>
          </w:tcPr>
          <w:p>
            <w:pPr>
              <w:spacing w:after="0"/>
              <w:rPr>
                <w:sz w:val="17"/>
                <w:szCs w:val="17"/>
                <w:color w:val="auto"/>
              </w:rPr>
            </w:pPr>
          </w:p>
        </w:tc>
        <w:tc>
          <w:tcPr>
            <w:tcW w:w="1220" w:type="dxa"/>
            <w:vAlign w:val="bottom"/>
          </w:tcPr>
          <w:p>
            <w:pPr>
              <w:jc w:val="center"/>
              <w:ind w:right="20"/>
              <w:spacing w:after="0"/>
              <w:rPr>
                <w:sz w:val="20"/>
                <w:szCs w:val="20"/>
                <w:color w:val="auto"/>
              </w:rPr>
            </w:pPr>
            <w:r>
              <w:rPr>
                <w:rFonts w:ascii="Arial" w:cs="Arial" w:eastAsia="Arial" w:hAnsi="Arial"/>
                <w:sz w:val="16"/>
                <w:szCs w:val="16"/>
                <w:color w:val="auto"/>
                <w:w w:val="84"/>
              </w:rPr>
              <w:t>Gross</w:t>
            </w:r>
          </w:p>
        </w:tc>
        <w:tc>
          <w:tcPr>
            <w:tcW w:w="1380" w:type="dxa"/>
            <w:vAlign w:val="bottom"/>
          </w:tcPr>
          <w:p>
            <w:pPr>
              <w:ind w:left="300"/>
              <w:spacing w:after="0"/>
              <w:rPr>
                <w:sz w:val="20"/>
                <w:szCs w:val="20"/>
                <w:color w:val="auto"/>
              </w:rPr>
            </w:pPr>
            <w:r>
              <w:rPr>
                <w:rFonts w:ascii="Arial" w:cs="Arial" w:eastAsia="Arial" w:hAnsi="Arial"/>
                <w:sz w:val="16"/>
                <w:szCs w:val="16"/>
                <w:color w:val="auto"/>
              </w:rPr>
              <w:t>Accumulated</w:t>
            </w:r>
          </w:p>
        </w:tc>
        <w:tc>
          <w:tcPr>
            <w:tcW w:w="1320" w:type="dxa"/>
            <w:vAlign w:val="bottom"/>
          </w:tcPr>
          <w:p>
            <w:pPr>
              <w:jc w:val="center"/>
              <w:ind w:left="63"/>
              <w:spacing w:after="0"/>
              <w:rPr>
                <w:sz w:val="20"/>
                <w:szCs w:val="20"/>
                <w:color w:val="auto"/>
              </w:rPr>
            </w:pPr>
            <w:r>
              <w:rPr>
                <w:rFonts w:ascii="Arial" w:cs="Arial" w:eastAsia="Arial" w:hAnsi="Arial"/>
                <w:sz w:val="16"/>
                <w:szCs w:val="16"/>
                <w:color w:val="auto"/>
                <w:w w:val="94"/>
              </w:rPr>
              <w:t>Net Book</w:t>
            </w:r>
          </w:p>
        </w:tc>
      </w:tr>
      <w:tr>
        <w:trPr>
          <w:trHeight w:val="239"/>
        </w:trPr>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Book Value</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Amortization</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tcPr>
          <w:p>
            <w:pPr>
              <w:jc w:val="center"/>
              <w:ind w:right="20"/>
              <w:spacing w:after="0"/>
              <w:rPr>
                <w:sz w:val="20"/>
                <w:szCs w:val="20"/>
                <w:color w:val="auto"/>
              </w:rPr>
            </w:pPr>
            <w:r>
              <w:rPr>
                <w:rFonts w:ascii="Arial" w:cs="Arial" w:eastAsia="Arial" w:hAnsi="Arial"/>
                <w:sz w:val="16"/>
                <w:szCs w:val="16"/>
                <w:color w:val="auto"/>
                <w:w w:val="92"/>
              </w:rPr>
              <w:t>Book Value</w:t>
            </w:r>
          </w:p>
        </w:tc>
        <w:tc>
          <w:tcPr>
            <w:tcW w:w="138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1320" w:type="dxa"/>
            <w:vAlign w:val="bottom"/>
          </w:tcPr>
          <w:p>
            <w:pPr>
              <w:jc w:val="center"/>
              <w:ind w:left="63"/>
              <w:spacing w:after="0"/>
              <w:rPr>
                <w:sz w:val="20"/>
                <w:szCs w:val="20"/>
                <w:color w:val="auto"/>
              </w:rPr>
            </w:pPr>
            <w:r>
              <w:rPr>
                <w:rFonts w:ascii="Arial" w:cs="Arial" w:eastAsia="Arial" w:hAnsi="Arial"/>
                <w:sz w:val="16"/>
                <w:szCs w:val="16"/>
                <w:color w:val="auto"/>
                <w:w w:val="92"/>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3280" w:type="dxa"/>
            <w:vAlign w:val="bottom"/>
            <w:shd w:val="clear" w:color="auto" w:fill="CFF0FC"/>
          </w:tcPr>
          <w:p>
            <w:pPr>
              <w:spacing w:after="0" w:line="204" w:lineRule="exact"/>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FF0FC"/>
          </w:tcPr>
          <w:p>
            <w:pPr>
              <w:jc w:val="right"/>
              <w:ind w:right="171"/>
              <w:spacing w:after="0" w:line="204"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4,814</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1,129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line="204"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3,685</w:t>
            </w:r>
          </w:p>
        </w:tc>
        <w:tc>
          <w:tcPr>
            <w:tcW w:w="600" w:type="dxa"/>
            <w:vAlign w:val="bottom"/>
            <w:gridSpan w:val="2"/>
            <w:shd w:val="clear" w:color="auto" w:fill="CFF0FC"/>
          </w:tcPr>
          <w:p>
            <w:pPr>
              <w:jc w:val="right"/>
              <w:ind w:right="280"/>
              <w:spacing w:after="0" w:line="204"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4,832</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1,020</w:t>
            </w:r>
          </w:p>
        </w:tc>
        <w:tc>
          <w:tcPr>
            <w:tcW w:w="660" w:type="dxa"/>
            <w:vAlign w:val="bottom"/>
            <w:gridSpan w:val="2"/>
            <w:shd w:val="clear" w:color="auto" w:fill="CFF0FC"/>
          </w:tcPr>
          <w:p>
            <w:pPr>
              <w:jc w:val="right"/>
              <w:ind w:right="340"/>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3,812</w:t>
            </w:r>
          </w:p>
        </w:tc>
        <w:tc>
          <w:tcPr>
            <w:tcW w:w="100" w:type="dxa"/>
            <w:vAlign w:val="bottom"/>
            <w:shd w:val="clear" w:color="auto" w:fill="CFF0FC"/>
          </w:tcPr>
          <w:p>
            <w:pPr>
              <w:spacing w:after="0"/>
              <w:rPr>
                <w:sz w:val="17"/>
                <w:szCs w:val="17"/>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3,578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2,441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12,523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3,431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9,092</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0"/>
        </w:trPr>
        <w:tc>
          <w:tcPr>
            <w:tcW w:w="78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Six Months</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r>
    </w:tbl>
    <w:p>
      <w:pPr>
        <w:spacing w:after="0" w:line="236"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Based on the net book value of intangible assets at June 30, 2018, amortization charged to income for the subsequent five years is estimated to be: remaining two quarters of 2018—$346 million; 2019—$682 million; 2020—$648 million; 2021—$617 million; 2022—$610 million; and 2023—$600 million.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ind w:left="280" w:hanging="274"/>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0"/>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r>
      <w:tr>
        <w:trPr>
          <w:trHeight w:val="22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1100" w:type="dxa"/>
            <w:vAlign w:val="bottom"/>
            <w:shd w:val="clear" w:color="auto" w:fill="CFF0FC"/>
          </w:tcPr>
          <w:p>
            <w:pPr>
              <w:jc w:val="right"/>
              <w:ind w:right="940"/>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7.00%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4.50%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2021</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5.95%</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2022</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5.13%</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3.70%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0.63%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1.50%</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13,865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June 30, 2018 and December 31, 2017 was $13.8 billion and $15.2 billion, respectively.</w:t>
      </w:r>
    </w:p>
    <w:p>
      <w:pPr>
        <w:spacing w:after="0" w:line="17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Borrowings under Schlumberger’s commercial paper programs June 30, 2018 were $2.9 billion, of which $0.7 billion was classified in </w:t>
      </w:r>
      <w:r>
        <w:rPr>
          <w:rFonts w:ascii="Arial" w:cs="Arial" w:eastAsia="Arial" w:hAnsi="Arial"/>
          <w:sz w:val="16"/>
          <w:szCs w:val="16"/>
          <w:i w:val="1"/>
          <w:iCs w:val="1"/>
          <w:color w:val="auto"/>
        </w:rPr>
        <w:t>Short-term borrowings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current portion of long-term debt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Balance Sheet</w:t>
      </w:r>
      <w:r>
        <w:rPr>
          <w:rFonts w:ascii="Arial" w:cs="Arial" w:eastAsia="Arial" w:hAnsi="Arial"/>
          <w:sz w:val="16"/>
          <w:szCs w:val="16"/>
          <w:color w:val="auto"/>
        </w:rPr>
        <w:t>. At December 31, 2017, borrowings under the commercial paper programs were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billion of which $1.3 billion was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294" w:lineRule="exact"/>
        <w:rPr>
          <w:sz w:val="20"/>
          <w:szCs w:val="20"/>
          <w:color w:val="auto"/>
        </w:rPr>
      </w:pPr>
    </w:p>
    <w:p>
      <w:pPr>
        <w:ind w:left="280" w:hanging="274"/>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2013, Schlumberger entered into a cross-currency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cross-currency swap is designated as a fair value hedge of the underlying debt and is marked to market, with gains and losses recognized immediately in income to largely offset the effects on changes in the fair value of the hedged debt.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jc w:val="both"/>
        <w:ind w:right="20"/>
        <w:spacing w:after="0" w:line="253" w:lineRule="auto"/>
        <w:rPr>
          <w:sz w:val="20"/>
          <w:szCs w:val="20"/>
          <w:color w:val="auto"/>
        </w:rPr>
      </w:pPr>
      <w:r>
        <w:rPr>
          <w:rFonts w:ascii="Arial" w:cs="Arial" w:eastAsia="Arial" w:hAnsi="Arial"/>
          <w:sz w:val="18"/>
          <w:szCs w:val="18"/>
          <w:color w:val="auto"/>
        </w:rPr>
        <w:t>During 2017, a Canadian dollar functional currency subsidiary of Schlumberger issued $1.1 billion of US 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 dollar notes to Canadian dollar denominated debt with fixed annual interest rates of 1.97% and 2.52%, respectively.</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These cross-currency swaps are designated as cash flow hedges. The changes in the fair values of the hedges are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reclassified to earnings in the same periods that the underlying hedged item is recognized in earnings.</w:t>
      </w:r>
    </w:p>
    <w:p>
      <w:pPr>
        <w:spacing w:after="0" w:line="18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June 30, 2018, Schlumberger had fixed rate debt aggregating $13.5 billion and variable rate debt aggregating $4.1 billion, after taking into account the effect of interest rate swaps.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were $1.6 billion at June 30, 2018. The carrying value of these investments approximated fair value.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 earnings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or periods that the hedged item is recognized in earnings.</w:t>
      </w:r>
    </w:p>
    <w:p>
      <w:pPr>
        <w:spacing w:after="0" w:line="179"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 xml:space="preserve">At June 30, 2018, Schlumberger recognized a cumulative net $12 million loss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relating to revaluation of foreign currency forward contracts designated as cash flow hedges, the majority of which is expected to be reclassified into earnings within the next 12 months.</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June 30, 2018, contracts were outstanding for the US dollar equivalent of $4.7 billion in various foreign currencies, of which $1.8 billion relates to hedges of debt denominated in currencies other than the functional currency.</w:t>
      </w:r>
    </w:p>
    <w:p>
      <w:pPr>
        <w:spacing w:after="0" w:line="17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The effect of derivative instruments designated as fair value and cash flow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millions)</w:t>
            </w:r>
          </w:p>
        </w:tc>
        <w:tc>
          <w:tcPr>
            <w:tcW w:w="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43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1"/>
          </w:tcPr>
          <w:p>
            <w:pPr>
              <w:jc w:val="right"/>
              <w:ind w:right="660"/>
              <w:spacing w:after="0"/>
              <w:rPr>
                <w:sz w:val="20"/>
                <w:szCs w:val="20"/>
                <w:color w:val="auto"/>
              </w:rPr>
            </w:pPr>
            <w:r>
              <w:rPr>
                <w:rFonts w:ascii="Arial" w:cs="Arial" w:eastAsia="Arial" w:hAnsi="Arial"/>
                <w:sz w:val="16"/>
                <w:szCs w:val="16"/>
                <w:b w:val="1"/>
                <w:bCs w:val="1"/>
                <w:color w:val="auto"/>
                <w:w w:val="94"/>
              </w:rPr>
              <w:t>Gain (Loss) Recognized in Income (Loss)</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19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rPr>
              <w:t>Second Quarter</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rPr>
              <w:t>Six Months</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Consolidated Statement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Income Classification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60" w:type="dxa"/>
            <w:vAlign w:val="bottom"/>
          </w:tcPr>
          <w:p>
            <w:pPr>
              <w:ind w:left="240"/>
              <w:spacing w:after="0"/>
              <w:rPr>
                <w:sz w:val="20"/>
                <w:szCs w:val="20"/>
                <w:color w:val="auto"/>
              </w:rPr>
            </w:pPr>
            <w:r>
              <w:rPr>
                <w:rFonts w:ascii="Arial" w:cs="Arial" w:eastAsia="Arial" w:hAnsi="Arial"/>
                <w:sz w:val="18"/>
                <w:szCs w:val="18"/>
                <w:color w:val="auto"/>
              </w:rPr>
              <w:t>Cross currency swap</w:t>
            </w:r>
          </w:p>
        </w:tc>
        <w:tc>
          <w:tcPr>
            <w:tcW w:w="700" w:type="dxa"/>
            <w:vAlign w:val="bottom"/>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w:t>
            </w:r>
          </w:p>
        </w:tc>
        <w:tc>
          <w:tcPr>
            <w:tcW w:w="8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Arial" w:cs="Arial" w:eastAsia="Arial" w:hAnsi="Arial"/>
                <w:sz w:val="18"/>
                <w:szCs w:val="18"/>
                <w:i w:val="1"/>
                <w:iCs w:val="1"/>
                <w:color w:val="auto"/>
              </w:rPr>
              <w:t>Interest expense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3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Cross currency swap</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Interest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4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3" w:name="page14"/>
    <w:bookmarkEnd w:id="13"/>
    <w:p>
      <w:pPr>
        <w:ind w:left="360" w:hanging="354"/>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Second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color w:val="auto"/>
              </w:rPr>
              <w:t>Second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3" w:lineRule="exact"/>
        <w:rPr>
          <w:sz w:val="20"/>
          <w:szCs w:val="20"/>
          <w:color w:val="auto"/>
        </w:rPr>
      </w:pPr>
    </w:p>
    <w:p>
      <w:pPr>
        <w:ind w:left="300" w:hanging="287"/>
        <w:spacing w:after="0" w:line="286" w:lineRule="auto"/>
        <w:tabs>
          <w:tab w:leader="none" w:pos="241" w:val="left"/>
        </w:tabs>
        <w:numPr>
          <w:ilvl w:val="0"/>
          <w:numId w:val="16"/>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6"/>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 million in 2018; $6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6"/>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($9 million in 2018; $14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6"/>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8"/>
                <w:szCs w:val="18"/>
                <w:b w:val="1"/>
                <w:bCs w:val="1"/>
                <w:color w:val="auto"/>
              </w:rPr>
              <w:t>Six Months 2018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Before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9"/>
        </w:trPr>
        <w:tc>
          <w:tcPr>
            <w:tcW w:w="39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9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shd w:val="clear" w:color="auto" w:fill="CFF0FC"/>
          </w:tcPr>
          <w:p>
            <w:pPr>
              <w:spacing w:after="0"/>
              <w:rPr>
                <w:sz w:val="19"/>
                <w:szCs w:val="19"/>
                <w:color w:val="auto"/>
              </w:rPr>
            </w:pPr>
          </w:p>
        </w:tc>
        <w:tc>
          <w:tcPr>
            <w:tcW w:w="19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16,131</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00" w:hanging="287"/>
        <w:spacing w:after="0" w:line="286" w:lineRule="auto"/>
        <w:tabs>
          <w:tab w:leader="none" w:pos="241" w:val="left"/>
        </w:tabs>
        <w:numPr>
          <w:ilvl w:val="0"/>
          <w:numId w:val="17"/>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7"/>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($4 million in 2018; $11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7"/>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($21 million in 2018; $27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7"/>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ectPr>
          <w:pgSz w:w="11900" w:h="16838" w:orient="portrait"/>
          <w:cols w:equalWidth="0" w:num="1">
            <w:col w:w="11420"/>
          </w:cols>
          <w:pgMar w:left="240" w:top="334"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Revenue by geographic area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8"/>
                <w:szCs w:val="18"/>
                <w:b w:val="1"/>
                <w:bCs w:val="1"/>
                <w:color w:val="auto"/>
              </w:rPr>
              <w:t>Second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368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CFF0FC"/>
            </w:tcBorders>
          </w:tcPr>
          <w:p>
            <w:pPr>
              <w:spacing w:after="0"/>
              <w:rPr>
                <w:sz w:val="19"/>
                <w:szCs w:val="19"/>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3,139</w:t>
            </w:r>
          </w:p>
        </w:tc>
        <w:tc>
          <w:tcPr>
            <w:tcW w:w="1000" w:type="dxa"/>
            <w:vAlign w:val="bottom"/>
            <w:gridSpan w:val="2"/>
            <w:shd w:val="clear" w:color="auto" w:fill="CFF0FC"/>
          </w:tcPr>
          <w:p>
            <w:pPr>
              <w:jc w:val="right"/>
              <w:ind w:right="59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2,202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5,974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20" w:type="dxa"/>
            <w:vAlign w:val="bottom"/>
            <w:shd w:val="clear" w:color="auto" w:fill="CFF0FC"/>
          </w:tcPr>
          <w:p>
            <w:pPr>
              <w:spacing w:after="0"/>
              <w:rPr>
                <w:sz w:val="19"/>
                <w:szCs w:val="19"/>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Latin America</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r>
      <w:tr>
        <w:trPr>
          <w:trHeight w:val="22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1,778</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3,482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FF0FC"/>
          </w:tcPr>
          <w:p>
            <w:pPr>
              <w:spacing w:after="0"/>
              <w:rPr>
                <w:sz w:val="19"/>
                <w:szCs w:val="19"/>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Middle East &amp; Asia</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2,367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4,676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2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r>
      <w:tr>
        <w:trPr>
          <w:trHeight w:val="219"/>
        </w:trPr>
        <w:tc>
          <w:tcPr>
            <w:tcW w:w="3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8,303</w:t>
            </w:r>
          </w:p>
        </w:tc>
        <w:tc>
          <w:tcPr>
            <w:tcW w:w="1000" w:type="dxa"/>
            <w:vAlign w:val="bottom"/>
            <w:gridSpan w:val="2"/>
          </w:tcPr>
          <w:p>
            <w:pPr>
              <w:jc w:val="right"/>
              <w:ind w:right="59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7,462</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16,131</w:t>
            </w:r>
          </w:p>
        </w:tc>
        <w:tc>
          <w:tcPr>
            <w:tcW w:w="24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Group was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Second Quarter 2018</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America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4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2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2,234</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3,257</w:t>
            </w:r>
          </w:p>
        </w:tc>
        <w:tc>
          <w:tcPr>
            <w:tcW w:w="12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(119)</w:t>
            </w: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8,303</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7"/>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Second Quarter 2017</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8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0"/>
              </w:rPr>
              <w:t>America</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2"/>
              </w:rPr>
              <w:t>International</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6"/>
              </w:rPr>
              <w:t>&amp; other</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tcPr>
          <w:p>
            <w:pPr>
              <w:spacing w:after="0"/>
              <w:rPr>
                <w:sz w:val="19"/>
                <w:szCs w:val="19"/>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FF0FC"/>
          </w:tcPr>
          <w:p>
            <w:pPr>
              <w:spacing w:after="0"/>
              <w:rPr>
                <w:sz w:val="19"/>
                <w:szCs w:val="19"/>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FF0FC"/>
          </w:tcPr>
          <w:p>
            <w:pPr>
              <w:spacing w:after="0"/>
              <w:rPr>
                <w:sz w:val="19"/>
                <w:szCs w:val="19"/>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Six Months 2018</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America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4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2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4,360</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6,216</w:t>
            </w:r>
          </w:p>
        </w:tc>
        <w:tc>
          <w:tcPr>
            <w:tcW w:w="12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2,605</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(242)</w:t>
            </w: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16,131</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7"/>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color w:val="auto"/>
              </w:rPr>
              <w:t>Six Months 2017</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8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0"/>
              </w:rPr>
              <w:t>America</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2"/>
              </w:rPr>
              <w:t>International</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6"/>
              </w:rPr>
              <w:t>&amp; other</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tcPr>
          <w:p>
            <w:pPr>
              <w:spacing w:after="0"/>
              <w:rPr>
                <w:sz w:val="19"/>
                <w:szCs w:val="19"/>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FF0FC"/>
          </w:tcPr>
          <w:p>
            <w:pPr>
              <w:spacing w:after="0"/>
              <w:rPr>
                <w:sz w:val="19"/>
                <w:szCs w:val="19"/>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shd w:val="clear" w:color="auto" w:fill="CFF0FC"/>
          </w:tcPr>
          <w:p>
            <w:pPr>
              <w:spacing w:after="0"/>
              <w:rPr>
                <w:sz w:val="19"/>
                <w:szCs w:val="19"/>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w:t>
            </w: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10,058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hanging="354"/>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(credit) for the Schlumberger pension plans included the following components: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7"/>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7"/>
              </w:rPr>
              <w:t>Second Quarter</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rPr>
              <w:t>Six Months</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9"/>
              </w:rPr>
              <w:t>2017</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20" w:type="dxa"/>
            <w:vAlign w:val="bottom"/>
            <w:tcBorders>
              <w:bottom w:val="single" w:sz="8" w:color="CFF0FC"/>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51"/>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(125)</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(293)</w:t>
            </w:r>
          </w:p>
        </w:tc>
        <w:tc>
          <w:tcPr>
            <w:tcW w:w="120" w:type="dxa"/>
            <w:vAlign w:val="bottom"/>
            <w:shd w:val="clear" w:color="auto" w:fill="CFF0FC"/>
          </w:tcPr>
          <w:p>
            <w:pPr>
              <w:spacing w:after="0"/>
              <w:rPr>
                <w:sz w:val="20"/>
                <w:szCs w:val="20"/>
                <w:color w:val="auto"/>
              </w:rPr>
            </w:pPr>
          </w:p>
        </w:tc>
        <w:tc>
          <w:tcPr>
            <w:tcW w:w="880" w:type="dxa"/>
            <w:vAlign w:val="bottom"/>
            <w:gridSpan w:val="5"/>
            <w:shd w:val="clear" w:color="auto" w:fill="CFF0FC"/>
          </w:tcPr>
          <w:p>
            <w:pPr>
              <w:jc w:val="right"/>
              <w:ind w:right="69"/>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19</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640" w:type="dxa"/>
            <w:vAlign w:val="bottom"/>
            <w:gridSpan w:val="22"/>
          </w:tcPr>
          <w:p>
            <w:pPr>
              <w:spacing w:after="0"/>
              <w:rPr>
                <w:sz w:val="20"/>
                <w:szCs w:val="20"/>
                <w:color w:val="auto"/>
              </w:rPr>
            </w:pPr>
            <w:r>
              <w:rPr>
                <w:rFonts w:ascii="Arial" w:cs="Arial" w:eastAsia="Arial" w:hAnsi="Arial"/>
                <w:sz w:val="18"/>
                <w:szCs w:val="18"/>
                <w:color w:val="auto"/>
                <w:w w:val="90"/>
              </w:rPr>
              <w:t>The net periodic benefit credit for the Schlumberger US postretirement medical plan included the following components: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391"/>
              <w:spacing w:after="0"/>
              <w:rPr>
                <w:sz w:val="20"/>
                <w:szCs w:val="20"/>
                <w:color w:val="auto"/>
              </w:rPr>
            </w:pPr>
            <w:r>
              <w:rPr>
                <w:rFonts w:ascii="Arial" w:cs="Arial" w:eastAsia="Arial" w:hAnsi="Arial"/>
                <w:sz w:val="18"/>
                <w:szCs w:val="18"/>
                <w:b w:val="1"/>
                <w:bCs w:val="1"/>
                <w:color w:val="auto"/>
                <w:w w:val="93"/>
              </w:rPr>
              <w:t>Second Quarter</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8"/>
                <w:szCs w:val="18"/>
                <w:b w:val="1"/>
                <w:bCs w:val="1"/>
                <w:color w:val="auto"/>
                <w:w w:val="91"/>
              </w:rPr>
              <w:t>Six Months</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2017</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9"/>
              </w:rPr>
              <w:t>16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06" w:right="219" w:bottom="1440" w:gutter="0" w:footer="0" w:header="0"/>
        </w:sectPr>
      </w:pPr>
    </w:p>
    <w:bookmarkStart w:id="16" w:name="page17"/>
    <w:bookmarkEnd w:id="16"/>
    <w:p>
      <w:pPr>
        <w:ind w:left="280" w:hanging="274"/>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i w:val="1"/>
                <w:iCs w:val="1"/>
                <w:color w:val="auto"/>
                <w:w w:val="98"/>
              </w:rPr>
              <w:t>(Stated in millions)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Pension 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Postretirement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7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8"/>
              </w:rPr>
              <w:t>Adjustments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Benefit Plans</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7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Other comprehensive loss before reclassifications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7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Amounts reclassified from accumulated other comprehensive loss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60"/>
              <w:spacing w:after="0"/>
              <w:rPr>
                <w:sz w:val="20"/>
                <w:szCs w:val="20"/>
                <w:color w:val="auto"/>
              </w:rPr>
            </w:pPr>
            <w:r>
              <w:rPr>
                <w:rFonts w:ascii="Arial" w:cs="Arial" w:eastAsia="Arial" w:hAnsi="Arial"/>
                <w:sz w:val="18"/>
                <w:szCs w:val="18"/>
                <w:color w:val="auto"/>
              </w:rPr>
              <w:t>Net other comprehensive income</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tcPr>
          <w:p>
            <w:pPr>
              <w:spacing w:after="0"/>
              <w:rPr>
                <w:sz w:val="19"/>
                <w:szCs w:val="19"/>
                <w:color w:val="auto"/>
              </w:rPr>
            </w:pPr>
          </w:p>
        </w:tc>
        <w:tc>
          <w:tcPr>
            <w:tcW w:w="472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(2,065)</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Pension 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Borders>
              <w:bottom w:val="single" w:sz="8" w:color="CFF0FC"/>
            </w:tcBorders>
          </w:tcPr>
          <w:p>
            <w:pPr>
              <w:spacing w:after="0"/>
              <w:rPr>
                <w:sz w:val="18"/>
                <w:szCs w:val="18"/>
                <w:color w:val="auto"/>
              </w:rPr>
            </w:pPr>
          </w:p>
        </w:tc>
        <w:tc>
          <w:tcPr>
            <w:tcW w:w="47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8"/>
              </w:rPr>
              <w:t>Adjustments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2"/>
              </w:rPr>
              <w:t>Hedges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Benefit Plans</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spacing w:after="0"/>
              <w:rPr>
                <w:sz w:val="20"/>
                <w:szCs w:val="20"/>
                <w:color w:val="auto"/>
              </w:rPr>
            </w:pPr>
            <w:r>
              <w:rPr>
                <w:rFonts w:ascii="Arial" w:cs="Arial" w:eastAsia="Arial" w:hAnsi="Arial"/>
                <w:sz w:val="18"/>
                <w:szCs w:val="18"/>
                <w:color w:val="auto"/>
              </w:rPr>
              <w:t>Net other comprehensive income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(2,392)</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FF0FC"/>
            </w:tcBorders>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6"/>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7" w:name="page18"/>
    <w:bookmarkEnd w:id="17"/>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2018 Compared to Second Quarter 2017</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Second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color w:val="auto"/>
              </w:rPr>
              <w:t>Second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2" w:lineRule="exact"/>
        <w:rPr>
          <w:sz w:val="20"/>
          <w:szCs w:val="20"/>
          <w:color w:val="auto"/>
        </w:rPr>
      </w:pPr>
    </w:p>
    <w:p>
      <w:pPr>
        <w:ind w:left="300" w:hanging="286"/>
        <w:spacing w:after="0" w:line="286"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20"/>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 million in 2018; $6 million in 2017).</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0"/>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($9 million in 2018; $14 million in 2017).</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1"/>
          <w:numId w:val="20"/>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Second-quarter 2018 revenue of $8.3 billion increased 11% year-on-year. Production revenue increased 30% due to the accelerated land activity growth in North America, while Drilling revenue was higher by 6% due to higher demand for directional drilling technologies on land in North America and the start-up of multiple new projects internationally. Cameron revenue increased by 2% while Reservoir Characterization revenue declined 7%.</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Second-quarter 2018 pretax operating margin was essentially flat year-on-year at 13% as margin expansion in Production and Reservoir Characterization was offset by margin declines in Drilling and Cameron. As a result of accelerated land activity in North America, Production pretax operating margin expanded 84 basis points (“bps”) to 10%. Reservoir Characterization pretax operating margin increased 439 bps to 21% as a result of reduced depreciation and amortization following the WesternGeco impairment charges recorded during the fourth quarter of 2017. Drilling pretax operating margin declined 139 bps year-on-year to 13%, driven by additional costs associated with the start-up of multiple new integrated drilling projects. Cameron pretax operating margin declined also by 94 bps to 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Second-quarter 2018 revenue of $1.6 billion decreased 7% year-on-year primarily due to reduced WesternGeco multiclient seismic license sales, the continued wind down of WesternGeco marine seismic acquisition contracts and lower OneSurface revenue on long-term projects in the Middle East.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439 bps to 21% primarily as a result of reduced depreciation and amortization following the WesternGeco impairment charges recorded during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Second-quarter 2018 revenue of $2.2 billion increased 6% year-on-year primarily due to higher demand for directional drilling technologies on land in North America and the start-up of new integrated drilling projects internationally.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declined by 139 bps to 13% primarily due to additional mobilization and start-up costs associated with the new integrated drilling projects.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Second-quarter 2018 revenue of $3.3 billion increased 30% year-on-year driven by the accelerated land activity growth in North America due to the deployment of additional capacity, market share gains and improved pricing that benefited the pressure pumping business.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84 bps to 10% as a result of improved profitability in North America due to accelerated land activity and improved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Second-quarter 2018 revenue of $1.3 billion increased 2% year-on-year due to higher activity on land in North America benefiting the short-cycle businesses of Surface Systems and Valves &amp; Measurement. This was largely offset by a declining project backlog for the long-cycle businesses of OneSubsea and Drilling Systems.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94 bps to 13%.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2018 Compared to Six Months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8"/>
                <w:szCs w:val="18"/>
                <w:b w:val="1"/>
                <w:bCs w:val="1"/>
                <w:color w:val="auto"/>
              </w:rPr>
              <w:t>Six Months 2018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Before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9"/>
        </w:trPr>
        <w:tc>
          <w:tcPr>
            <w:tcW w:w="39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9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shd w:val="clear" w:color="auto" w:fill="CFF0FC"/>
          </w:tcPr>
          <w:p>
            <w:pPr>
              <w:spacing w:after="0"/>
              <w:rPr>
                <w:sz w:val="19"/>
                <w:szCs w:val="19"/>
                <w:color w:val="auto"/>
              </w:rPr>
            </w:pPr>
          </w:p>
        </w:tc>
        <w:tc>
          <w:tcPr>
            <w:tcW w:w="19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16,131</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300" w:hanging="286"/>
        <w:spacing w:after="0" w:line="286" w:lineRule="auto"/>
        <w:tabs>
          <w:tab w:leader="none" w:pos="237" w:val="left"/>
        </w:tabs>
        <w:numPr>
          <w:ilvl w:val="0"/>
          <w:numId w:val="21"/>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21"/>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($4 million in 2018; $11 million in 2017).</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1"/>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($21 million in 2018; $27 million in 2017).</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1"/>
          <w:numId w:val="21"/>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Six-month 2018 revenue of $16.1 billion increased 12% year-on-year. International revenue was essentially flat in line with the flat rig count versus the same period last year. Production revenue increased 33% due to the accelerated land activity growth in North America, while Drilling revenue increased 7% due to higher demand for directional drilling technologies on land in North America and the start-up of multiple new projects internationally. Cameron revenue increased by 4% while Reservoir Characterization revenue declined 5%.</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Six-month 2018 pretax operating margin increased 93 bps year-on-year to 13%, due to improved profitability in North America from the growth in land activity that benefited Production. As a result, the Production pretax operating margin expanded 149 bps to 9%. Drilling pretax operating margin was essentially flat at 13%, as the additional costs associated with the mobilization and start-up of the new projects restricted margin expansion. Reservoir Characterization pretax operating margin increased 342 bps to 21% primarily as a result of reduced depreciation and amortization following the WesternGeco impairments charges recorded during the fourth quarter of 2017. Cameron pretax operating margin was essentially flat at 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Six-month 2018 revenue of $3.2 billion decreased 5% year-on-year primarily due to lower OneSurface revenue on long-term projects in the Middle East and reduced WesternGeco multiclient seismic license sales.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342 bps to 21% primarily as a result of reduced depreciation and amortization following the WesternGeco impairment charges recorded during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Six-month 2018 revenue of $4.4 billion increased 7% year-on-year primarily due to higher demand for directional drilling technologies on land in North America and the start-up of new projects internationally.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was essentially flat at 13% due to the additional costs associated with the mobilization and start-up of the new integrated drilling projects.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Six-month 2018 revenue of $6.2 billion increased 33% year-on-year with most of the revenue increase attributable to the accelerated land activity growth in North America due to the deployment of additional capacity, market share gains and improved pricing that benefited the pressure pumping business.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149 bps to 9% as a result of improved profitability in North America due to accelerated land activity and improved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Six-month 2018 revenue of $2.6 billion increased 4% year-on-year due primarily to higher activity on land in North America that benefited the short-cycle businesses of Surface Systems and Valves &amp;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of 13% was essentially flat.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4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56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60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6"/>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r>
      <w:tr>
        <w:trPr>
          <w:trHeight w:val="219"/>
        </w:trPr>
        <w:tc>
          <w:tcPr>
            <w:tcW w:w="4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1"/>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60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2018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2017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3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3"/>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0"/>
        </w:trPr>
        <w:tc>
          <w:tcPr>
            <w:tcW w:w="56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2017</w:t>
            </w:r>
          </w:p>
        </w:tc>
        <w:tc>
          <w:tcPr>
            <w:tcW w:w="180" w:type="dxa"/>
            <w:vAlign w:val="bottom"/>
            <w:tcBorders>
              <w:bottom w:val="single" w:sz="8" w:color="CFF0FC"/>
            </w:tcBorders>
          </w:tcPr>
          <w:p>
            <w:pPr>
              <w:spacing w:after="0"/>
              <w:rPr>
                <w:sz w:val="19"/>
                <w:szCs w:val="19"/>
                <w:color w:val="auto"/>
              </w:rPr>
            </w:pPr>
          </w:p>
        </w:tc>
      </w:tr>
      <w:tr>
        <w:trPr>
          <w:trHeight w:val="21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8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costs for the second quarter of 2018 and the first six months of 2018 have decreased as compared to the same periods in 2017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cost control measures.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effective tax rate for the second quarter of 2018 was 19% and 590% for the same period of 2017. The charges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increased the effective tax rate for the second quarter of 2018 by two percentage points and 571 percentage points for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the majority of these charges were not tax-effective.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0" w:name="page21"/>
    <w:bookmarkEnd w:id="20"/>
    <w:p>
      <w:pPr>
        <w:jc w:val="both"/>
        <w:ind w:right="20"/>
        <w:spacing w:after="0" w:line="256" w:lineRule="auto"/>
        <w:rPr>
          <w:sz w:val="20"/>
          <w:szCs w:val="20"/>
          <w:color w:val="auto"/>
        </w:rPr>
      </w:pPr>
      <w:r>
        <w:rPr>
          <w:rFonts w:ascii="Arial" w:cs="Arial" w:eastAsia="Arial" w:hAnsi="Arial"/>
          <w:sz w:val="18"/>
          <w:szCs w:val="18"/>
          <w:color w:val="auto"/>
        </w:rPr>
        <w:t xml:space="preserve">The effective tax rate for the first six months of 2018 was 18% and 42% for the same period in 2017. The charges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increased the effective tax rate for the first six months of 2018 by one percentage point and 25 percentage points for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the majority of these charges were not tax-effective.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18"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Schlumberger recorded charges during the first and second quarters of 2017, which are are fully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following is a summary of the charges recorded during the first six months of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Noncontrolling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36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Interests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FF0FC"/>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1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510</w:t>
            </w:r>
          </w:p>
        </w:tc>
        <w:tc>
          <w:tcPr>
            <w:tcW w:w="1040" w:type="dxa"/>
            <w:vAlign w:val="bottom"/>
            <w:gridSpan w:val="2"/>
            <w:shd w:val="clear" w:color="auto" w:fill="CFF0FC"/>
          </w:tcPr>
          <w:p>
            <w:pPr>
              <w:jc w:val="right"/>
              <w:ind w:right="6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Merger &amp; integration</w:t>
            </w: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164</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674</w:t>
            </w:r>
          </w:p>
        </w:tc>
        <w:tc>
          <w:tcPr>
            <w:tcW w:w="1040" w:type="dxa"/>
            <w:vAlign w:val="bottom"/>
            <w:gridSpan w:val="2"/>
            <w:shd w:val="clear" w:color="auto" w:fill="CFF0FC"/>
          </w:tcPr>
          <w:p>
            <w:pPr>
              <w:jc w:val="right"/>
              <w:ind w:right="6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22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w w:val="85"/>
              </w:rPr>
              <w:t>Liquidity and Capital Resources</w:t>
            </w:r>
          </w:p>
        </w:tc>
        <w:tc>
          <w:tcPr>
            <w:tcW w:w="3160" w:type="dxa"/>
            <w:vAlign w:val="bottom"/>
            <w:tcBorders>
              <w:top w:val="single" w:sz="8" w:color="CFF0FC"/>
              <w:bottom w:val="single" w:sz="8" w:color="CFF0FC"/>
            </w:tcBorders>
            <w:vMerge w:val="restart"/>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360" w:type="dxa"/>
            <w:vAlign w:val="bottom"/>
            <w:tcBorders>
              <w:bottom w:val="single" w:sz="8" w:color="auto"/>
            </w:tcBorders>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Details of the components of liquidity as well as changes in liquidity follow:</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2"/>
              </w:rPr>
              <w:t>Jun.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w w:val="87"/>
              </w:rPr>
              <w:t>Jun.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Components of Liquidity</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1,461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(3,736)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8"/>
                <w:szCs w:val="18"/>
                <w:color w:val="auto"/>
              </w:rPr>
              <w:t>(2,224)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(13,865)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(16,600)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(14,552)</w:t>
            </w:r>
          </w:p>
        </w:tc>
        <w:tc>
          <w:tcPr>
            <w:tcW w:w="120" w:type="dxa"/>
            <w:vAlign w:val="bottom"/>
            <w:vMerge w:val="continue"/>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120"/>
              <w:spacing w:after="0"/>
              <w:rPr>
                <w:sz w:val="20"/>
                <w:szCs w:val="20"/>
                <w:color w:val="auto"/>
              </w:rPr>
            </w:pPr>
            <w:r>
              <w:rPr>
                <w:rFonts w:ascii="Arial" w:cs="Arial" w:eastAsia="Arial" w:hAnsi="Arial"/>
                <w:sz w:val="18"/>
                <w:szCs w:val="18"/>
                <w:color w:val="auto"/>
              </w:rPr>
              <w:t>(12,593)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360" w:type="dxa"/>
            <w:vAlign w:val="bottom"/>
          </w:tcPr>
          <w:p>
            <w:pPr>
              <w:spacing w:after="0"/>
              <w:rPr>
                <w:sz w:val="20"/>
                <w:szCs w:val="20"/>
                <w:color w:val="auto"/>
              </w:rPr>
            </w:pPr>
          </w:p>
        </w:tc>
        <w:tc>
          <w:tcPr>
            <w:tcW w:w="32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 30,</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Pension and other postretirement benefits funding</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(1,338)</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SPM investments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(434)</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Multiclient seismic data costs capitalized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(1,352)</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Increase in net debt</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(13,110)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Net debt, end of period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(14,552)</w:t>
            </w:r>
          </w:p>
        </w:tc>
        <w:tc>
          <w:tcPr>
            <w:tcW w:w="280" w:type="dxa"/>
            <w:vAlign w:val="bottom"/>
            <w:vMerge w:val="continue"/>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520" w:hanging="514"/>
        <w:spacing w:after="0" w:line="214" w:lineRule="auto"/>
        <w:tabs>
          <w:tab w:leader="none" w:pos="520" w:val="left"/>
        </w:tabs>
        <w:numPr>
          <w:ilvl w:val="0"/>
          <w:numId w:val="22"/>
        </w:numPr>
        <w:rPr>
          <w:rFonts w:ascii="Arial" w:cs="Arial" w:eastAsia="Arial" w:hAnsi="Arial"/>
          <w:sz w:val="27"/>
          <w:szCs w:val="27"/>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520" w:hanging="514"/>
        <w:spacing w:after="0" w:line="192" w:lineRule="auto"/>
        <w:tabs>
          <w:tab w:leader="none" w:pos="5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2"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22"/>
        </w:numPr>
        <w:rPr>
          <w:rFonts w:ascii="Arial" w:cs="Arial" w:eastAsia="Arial" w:hAnsi="Arial"/>
          <w:sz w:val="22"/>
          <w:szCs w:val="22"/>
          <w:color w:val="auto"/>
          <w:vertAlign w:val="superscript"/>
        </w:rPr>
      </w:pPr>
      <w:r>
        <w:rPr>
          <w:rFonts w:ascii="Arial" w:cs="Arial" w:eastAsia="Arial" w:hAnsi="Arial"/>
          <w:sz w:val="13"/>
          <w:szCs w:val="13"/>
          <w:color w:val="auto"/>
        </w:rPr>
        <w:t>Includes severance payments of approximately $160 million and $230 million during the six months ended June 30, 2018 and 2017, respectively.</w:t>
      </w:r>
    </w:p>
    <w:p>
      <w:pPr>
        <w:spacing w:after="0" w:line="49" w:lineRule="exact"/>
        <w:rPr>
          <w:rFonts w:ascii="Arial" w:cs="Arial" w:eastAsia="Arial" w:hAnsi="Arial"/>
          <w:sz w:val="22"/>
          <w:szCs w:val="22"/>
          <w:color w:val="auto"/>
          <w:vertAlign w:val="superscript"/>
        </w:rPr>
      </w:pPr>
    </w:p>
    <w:p>
      <w:pPr>
        <w:jc w:val="both"/>
        <w:ind w:left="520" w:hanging="514"/>
        <w:spacing w:after="0" w:line="239" w:lineRule="auto"/>
        <w:tabs>
          <w:tab w:leader="none" w:pos="520" w:val="left"/>
        </w:tabs>
        <w:numPr>
          <w:ilvl w:val="0"/>
          <w:numId w:val="22"/>
        </w:numPr>
        <w:rPr>
          <w:rFonts w:ascii="Arial" w:cs="Arial" w:eastAsia="Arial" w:hAnsi="Arial"/>
          <w:sz w:val="26"/>
          <w:szCs w:val="26"/>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Key liquidity events during the six months of 2018 and 2017 included:</w:t>
      </w:r>
    </w:p>
    <w:p>
      <w:pPr>
        <w:spacing w:after="0" w:line="218" w:lineRule="exact"/>
        <w:rPr>
          <w:sz w:val="20"/>
          <w:szCs w:val="20"/>
          <w:color w:val="auto"/>
        </w:rPr>
      </w:pPr>
    </w:p>
    <w:p>
      <w:pPr>
        <w:jc w:val="both"/>
        <w:ind w:left="760" w:hanging="382"/>
        <w:spacing w:after="0" w:line="30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18, 2013, the Schlumberger Board of Directors (the “Board”) approved a $10 billion share repurchase program for Schlumberger common stock to be completed at the latest by June 30, 2018. This program was completed during May 2017. On January 21, 2016, the Board approved a new $10 billion share repurchase program. Schlumberger had repurchased $524 million under the new program as of June 30, 2018.</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activity under these share repurchase programs: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7"/>
          </w:tcPr>
          <w:p>
            <w:pPr>
              <w:jc w:val="right"/>
              <w:ind w:right="8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18"/>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Total cost</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Total number</w:t>
            </w:r>
          </w:p>
        </w:tc>
        <w:tc>
          <w:tcPr>
            <w:tcW w:w="1100" w:type="dxa"/>
            <w:vAlign w:val="bottom"/>
            <w:gridSpan w:val="3"/>
          </w:tcPr>
          <w:p>
            <w:pPr>
              <w:jc w:val="center"/>
              <w:ind w:right="80"/>
              <w:spacing w:after="0"/>
              <w:rPr>
                <w:sz w:val="20"/>
                <w:szCs w:val="20"/>
                <w:color w:val="auto"/>
              </w:rPr>
            </w:pPr>
            <w:r>
              <w:rPr>
                <w:rFonts w:ascii="Arial" w:cs="Arial" w:eastAsia="Arial" w:hAnsi="Arial"/>
                <w:sz w:val="16"/>
                <w:szCs w:val="16"/>
                <w:color w:val="auto"/>
                <w:w w:val="91"/>
              </w:rPr>
              <w:t>Average price</w:t>
            </w:r>
          </w:p>
        </w:tc>
      </w:tr>
      <w:tr>
        <w:trPr>
          <w:trHeight w:val="213"/>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of shares</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85"/>
              </w:rPr>
              <w:t>of shares</w:t>
            </w:r>
          </w:p>
        </w:tc>
        <w:tc>
          <w:tcPr>
            <w:tcW w:w="18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paid per</w:t>
            </w:r>
          </w:p>
        </w:tc>
      </w:tr>
      <w:tr>
        <w:trPr>
          <w:trHeight w:val="215"/>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85"/>
              </w:rPr>
              <w:t>purchased</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85"/>
              </w:rPr>
              <w:t>purchased</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22"/>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940" w:type="dxa"/>
            <w:vAlign w:val="bottom"/>
          </w:tcPr>
          <w:p>
            <w:pPr>
              <w:spacing w:after="0"/>
              <w:rPr>
                <w:sz w:val="20"/>
                <w:szCs w:val="20"/>
                <w:color w:val="auto"/>
              </w:rPr>
            </w:pPr>
            <w:r>
              <w:rPr>
                <w:rFonts w:ascii="Arial" w:cs="Arial" w:eastAsia="Arial" w:hAnsi="Arial"/>
                <w:sz w:val="18"/>
                <w:szCs w:val="18"/>
                <w:color w:val="auto"/>
              </w:rPr>
              <w:t>Six months ended June 30, 2017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75.40</w:t>
            </w:r>
          </w:p>
        </w:tc>
        <w:tc>
          <w:tcPr>
            <w:tcW w:w="80" w:type="dxa"/>
            <w:vAlign w:val="bottom"/>
          </w:tcPr>
          <w:p>
            <w:pPr>
              <w:spacing w:after="0"/>
              <w:rPr>
                <w:sz w:val="19"/>
                <w:szCs w:val="19"/>
                <w:color w:val="auto"/>
              </w:rPr>
            </w:pPr>
          </w:p>
        </w:tc>
      </w:tr>
    </w:tbl>
    <w:p>
      <w:pPr>
        <w:spacing w:after="0" w:line="228" w:lineRule="exact"/>
        <w:rPr>
          <w:sz w:val="20"/>
          <w:szCs w:val="20"/>
          <w:color w:val="auto"/>
        </w:rPr>
      </w:pPr>
    </w:p>
    <w:p>
      <w:pPr>
        <w:ind w:left="1020" w:hanging="363"/>
        <w:spacing w:after="0" w:line="26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$1.0 billion during the first six months of 2018 compared to $0.9 billion during the first six months of 2017. Capital expenditures for full-year 2018 are expected to be approximately $2.0 billion as compared to $2.1 billion in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22" w:name="page23"/>
    <w:bookmarkEnd w:id="22"/>
    <w:p>
      <w:pPr>
        <w:jc w:val="both"/>
        <w:spacing w:after="0" w:line="295" w:lineRule="auto"/>
        <w:rPr>
          <w:sz w:val="20"/>
          <w:szCs w:val="20"/>
          <w:color w:val="auto"/>
        </w:rPr>
      </w:pPr>
      <w:r>
        <w:rPr>
          <w:rFonts w:ascii="Arial" w:cs="Arial" w:eastAsia="Arial" w:hAnsi="Arial"/>
          <w:sz w:val="17"/>
          <w:szCs w:val="17"/>
          <w:color w:val="auto"/>
        </w:rPr>
        <w:t>Schlumberger operates in more than 85 countries. As of June 30, 2018, only four of those countries individually accounted for greater than 5% of Schlumberger’s net receivables balance, of which only two (the United States and Saudi Arabia) accounted for greater than 10% of such receivables.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2018, Schlumberger had $3.0 billion of cash and short-term investments on hand. Schlumberger had separate committed debt facility agreements aggregating $6.5 billion that support commercial paper programs, of which $3.6 billion was available and unused. Schlumberger believes these amounts are sufficient to meet future business requirements for at least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2018 were $2.9 billion.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second-quarter 2018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technologies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and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2018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2017. Schlumberger’s exposure to market risk has not changed materially since December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10—</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2018, Schlumberger had repurchased $524 million of Schlumberger common stock under its $10 billion share repurchase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June 30, 2018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w w:val="86"/>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7"/>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under the</w:t>
            </w:r>
          </w:p>
        </w:tc>
      </w:tr>
      <w:tr>
        <w:trPr>
          <w:trHeight w:val="207"/>
        </w:trPr>
        <w:tc>
          <w:tcPr>
            <w:tcW w:w="58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programs</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color w:val="auto"/>
                <w:w w:val="88"/>
              </w:rPr>
              <w:t>programs</w:t>
            </w:r>
          </w:p>
        </w:tc>
        <w:tc>
          <w:tcPr>
            <w:tcW w:w="100" w:type="dxa"/>
            <w:vAlign w:val="bottom"/>
            <w:tcBorders>
              <w:bottom w:val="single" w:sz="8" w:color="CFF0FC"/>
            </w:tcBorders>
          </w:tcPr>
          <w:p>
            <w:pPr>
              <w:spacing w:after="0"/>
              <w:rPr>
                <w:sz w:val="17"/>
                <w:szCs w:val="17"/>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April 2018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9,545,236</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May 2018</w:t>
            </w:r>
          </w:p>
        </w:tc>
        <w:tc>
          <w:tcPr>
            <w:tcW w:w="1160" w:type="dxa"/>
            <w:vAlign w:val="bottom"/>
          </w:tcPr>
          <w:p>
            <w:pPr>
              <w:jc w:val="right"/>
              <w:spacing w:after="0"/>
              <w:rPr>
                <w:sz w:val="20"/>
                <w:szCs w:val="20"/>
                <w:color w:val="auto"/>
              </w:rPr>
            </w:pPr>
            <w:r>
              <w:rPr>
                <w:rFonts w:ascii="Arial" w:cs="Arial" w:eastAsia="Arial" w:hAnsi="Arial"/>
                <w:sz w:val="18"/>
                <w:szCs w:val="18"/>
                <w:color w:val="auto"/>
              </w:rPr>
              <w:t>497.4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497.4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9,510,050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June 2018</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9,476,468</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1,496.0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2013, Schlumberger completed the wind-down of its service operations in Iran. Prior to this, certain non-US subsidiaries provided oilfield services to the National Iranian Oil Company and certain of its affiliates (“NIOC”).</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Schlumberger’s residual transactions or dealings with the government of Iran during the second quarter of 2018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37" w:lineRule="exact"/>
        <w:rPr>
          <w:sz w:val="20"/>
          <w:szCs w:val="20"/>
          <w:color w:val="auto"/>
        </w:rPr>
      </w:pPr>
    </w:p>
    <w:p>
      <w:pPr>
        <w:ind w:left="440" w:right="20"/>
        <w:spacing w:after="0" w:line="266" w:lineRule="auto"/>
        <w:rPr>
          <w:rFonts w:ascii="Arial" w:cs="Arial" w:eastAsia="Arial" w:hAnsi="Arial"/>
          <w:sz w:val="18"/>
          <w:szCs w:val="18"/>
          <w:u w:val="single" w:color="auto"/>
          <w:color w:val="0000EE"/>
        </w:rPr>
      </w:pPr>
      <w:hyperlink r:id="rId48">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 Current</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Report on Form 8-K filed on April 6, 2016)</w:t>
        </w:r>
      </w:hyperlink>
    </w:p>
    <w:p>
      <w:pPr>
        <w:spacing w:after="0" w:line="86" w:lineRule="exact"/>
        <w:rPr>
          <w:sz w:val="20"/>
          <w:szCs w:val="20"/>
          <w:color w:val="auto"/>
        </w:rPr>
      </w:pPr>
    </w:p>
    <w:p>
      <w:pPr>
        <w:ind w:left="440" w:right="100"/>
        <w:spacing w:after="0" w:line="266" w:lineRule="auto"/>
        <w:rPr>
          <w:rFonts w:ascii="Arial" w:cs="Arial" w:eastAsia="Arial" w:hAnsi="Arial"/>
          <w:sz w:val="18"/>
          <w:szCs w:val="18"/>
          <w:u w:val="single" w:color="auto"/>
          <w:color w:val="0000EE"/>
        </w:rPr>
      </w:pPr>
      <w:hyperlink r:id="rId49">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3.1 to Schlumberger’s</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Current Report on Form 8-K filed on January 19, 2017)</w:t>
        </w:r>
      </w:hyperlink>
    </w:p>
    <w:p>
      <w:pPr>
        <w:spacing w:after="0" w:line="86" w:lineRule="exact"/>
        <w:rPr>
          <w:sz w:val="20"/>
          <w:szCs w:val="20"/>
          <w:color w:val="auto"/>
        </w:rPr>
      </w:pPr>
    </w:p>
    <w:p>
      <w:pPr>
        <w:ind w:left="440" w:right="340"/>
        <w:spacing w:after="0" w:line="266" w:lineRule="auto"/>
        <w:tabs>
          <w:tab w:leader="none" w:pos="584" w:val="left"/>
        </w:tabs>
        <w:numPr>
          <w:ilvl w:val="0"/>
          <w:numId w:val="25"/>
        </w:numPr>
        <w:rPr>
          <w:rFonts w:ascii="Arial" w:cs="Arial" w:eastAsia="Arial" w:hAnsi="Arial"/>
          <w:sz w:val="18"/>
          <w:szCs w:val="18"/>
          <w:u w:val="single" w:color="auto"/>
          <w:color w:val="0000EE"/>
        </w:rPr>
      </w:pPr>
      <w:hyperlink r:id="rId50">
        <w:r>
          <w:rPr>
            <w:rFonts w:ascii="Arial" w:cs="Arial" w:eastAsia="Arial" w:hAnsi="Arial"/>
            <w:sz w:val="18"/>
            <w:szCs w:val="18"/>
            <w:color w:val="auto"/>
          </w:rPr>
          <w:t>Exhibit 10.1—</w:t>
        </w:r>
        <w:r>
          <w:rPr>
            <w:rFonts w:ascii="Arial" w:cs="Arial" w:eastAsia="Arial" w:hAnsi="Arial"/>
            <w:sz w:val="18"/>
            <w:szCs w:val="18"/>
            <w:u w:val="single" w:color="auto"/>
            <w:color w:val="0000EE"/>
          </w:rPr>
          <w:t>Amended and Restated French Sub Plan for Restricted Units (incorporated by reference to Appendix B of Schlumberger’s Definitive</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Proxy Statement filed with the SEC on March 2, 2018)</w:t>
        </w:r>
      </w:hyperlink>
    </w:p>
    <w:p>
      <w:pPr>
        <w:spacing w:after="0" w:line="86" w:lineRule="exact"/>
        <w:rPr>
          <w:rFonts w:ascii="Arial" w:cs="Arial" w:eastAsia="Arial" w:hAnsi="Arial"/>
          <w:sz w:val="18"/>
          <w:szCs w:val="18"/>
          <w:color w:val="auto"/>
        </w:rPr>
      </w:pPr>
    </w:p>
    <w:p>
      <w:pPr>
        <w:ind w:left="440" w:right="400"/>
        <w:spacing w:after="0" w:line="266" w:lineRule="auto"/>
        <w:tabs>
          <w:tab w:leader="none" w:pos="573" w:val="left"/>
        </w:tabs>
        <w:numPr>
          <w:ilvl w:val="0"/>
          <w:numId w:val="26"/>
        </w:numPr>
        <w:rPr>
          <w:rFonts w:ascii="Arial" w:cs="Arial" w:eastAsia="Arial" w:hAnsi="Arial"/>
          <w:sz w:val="18"/>
          <w:szCs w:val="18"/>
          <w:u w:val="single" w:color="auto"/>
          <w:color w:val="0000EE"/>
        </w:rPr>
      </w:pPr>
      <w:hyperlink w:anchor="page27">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u w:val="single" w:color="auto"/>
          <w:color w:val="0000EE"/>
        </w:rPr>
      </w:pPr>
    </w:p>
    <w:p>
      <w:pPr>
        <w:ind w:left="440" w:right="460"/>
        <w:spacing w:after="0" w:line="266" w:lineRule="auto"/>
        <w:tabs>
          <w:tab w:leader="none" w:pos="573" w:val="left"/>
        </w:tabs>
        <w:numPr>
          <w:ilvl w:val="0"/>
          <w:numId w:val="26"/>
        </w:numPr>
        <w:rPr>
          <w:rFonts w:ascii="Arial" w:cs="Arial" w:eastAsia="Arial" w:hAnsi="Arial"/>
          <w:sz w:val="18"/>
          <w:szCs w:val="18"/>
          <w:u w:val="single" w:color="auto"/>
          <w:color w:val="0000EE"/>
        </w:rPr>
      </w:pPr>
      <w:hyperlink w:anchor="page28">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color w:val="auto"/>
        </w:rPr>
      </w:pPr>
    </w:p>
    <w:p>
      <w:pPr>
        <w:ind w:left="440" w:right="120"/>
        <w:spacing w:after="0" w:line="266" w:lineRule="auto"/>
        <w:tabs>
          <w:tab w:leader="none" w:pos="661" w:val="left"/>
        </w:tabs>
        <w:numPr>
          <w:ilvl w:val="0"/>
          <w:numId w:val="27"/>
        </w:numPr>
        <w:rPr>
          <w:rFonts w:ascii="Arial" w:cs="Arial" w:eastAsia="Arial" w:hAnsi="Arial"/>
          <w:sz w:val="18"/>
          <w:szCs w:val="18"/>
          <w:u w:val="single" w:color="auto"/>
          <w:color w:val="0000EE"/>
        </w:rPr>
      </w:pPr>
      <w:hyperlink w:anchor="page29">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Sarbanes-Oxley</w:t>
        </w:r>
      </w:hyperlink>
      <w:r>
        <w:rPr>
          <w:rFonts w:ascii="Arial" w:cs="Arial" w:eastAsia="Arial" w:hAnsi="Arial"/>
          <w:sz w:val="18"/>
          <w:szCs w:val="18"/>
          <w:color w:val="auto"/>
        </w:rPr>
        <w:t xml:space="preserve"> </w:t>
      </w:r>
      <w:hyperlink w:anchor="page29">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u w:val="single" w:color="auto"/>
          <w:color w:val="0000EE"/>
        </w:rPr>
      </w:pPr>
    </w:p>
    <w:p>
      <w:pPr>
        <w:ind w:left="440" w:right="160"/>
        <w:spacing w:after="0" w:line="266" w:lineRule="auto"/>
        <w:tabs>
          <w:tab w:leader="none" w:pos="661" w:val="left"/>
        </w:tabs>
        <w:numPr>
          <w:ilvl w:val="0"/>
          <w:numId w:val="27"/>
        </w:numPr>
        <w:rPr>
          <w:rFonts w:ascii="Arial" w:cs="Arial" w:eastAsia="Arial" w:hAnsi="Arial"/>
          <w:sz w:val="18"/>
          <w:szCs w:val="18"/>
          <w:u w:val="single" w:color="auto"/>
          <w:color w:val="0000EE"/>
        </w:rPr>
      </w:pPr>
      <w:hyperlink w:anchor="page30">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color w:val="auto"/>
        </w:rPr>
        <w:t xml:space="preserve"> </w:t>
      </w:r>
      <w:hyperlink w:anchor="page30">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color w:val="auto"/>
        </w:rPr>
      </w:pPr>
    </w:p>
    <w:p>
      <w:pPr>
        <w:ind w:left="580" w:hanging="14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95—</w:t>
      </w:r>
      <w:hyperlink w:anchor="page31">
        <w:r>
          <w:rPr>
            <w:rFonts w:ascii="Arial" w:cs="Arial" w:eastAsia="Arial" w:hAnsi="Arial"/>
            <w:sz w:val="18"/>
            <w:szCs w:val="18"/>
            <w:u w:val="single" w:color="auto"/>
            <w:color w:val="0000EE"/>
          </w:rPr>
          <w:t>Mine Safety Disclosures</w:t>
        </w:r>
      </w:hyperlink>
    </w:p>
    <w:p>
      <w:pPr>
        <w:spacing w:after="0" w:line="125" w:lineRule="exact"/>
        <w:rPr>
          <w:rFonts w:ascii="Arial" w:cs="Arial" w:eastAsia="Arial" w:hAnsi="Arial"/>
          <w:sz w:val="18"/>
          <w:szCs w:val="18"/>
          <w:color w:val="auto"/>
        </w:rPr>
      </w:pPr>
    </w:p>
    <w:p>
      <w:pPr>
        <w:jc w:val="both"/>
        <w:ind w:left="440"/>
        <w:spacing w:after="0" w:line="253" w:lineRule="auto"/>
        <w:tabs>
          <w:tab w:leader="none" w:pos="5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June 30, 2018,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97" w:lineRule="exact"/>
        <w:rPr>
          <w:rFonts w:ascii="Arial" w:cs="Arial" w:eastAsia="Arial" w:hAnsi="Arial"/>
          <w:sz w:val="18"/>
          <w:szCs w:val="18"/>
          <w:color w:val="auto"/>
        </w:rPr>
      </w:pPr>
    </w:p>
    <w:p>
      <w:pPr>
        <w:ind w:left="580" w:hanging="14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7"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6"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911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127" w:right="6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Date: July 25, 2018</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/s/ Paal Kibsgaard</w:t>
            </w:r>
          </w:p>
        </w:tc>
      </w:tr>
      <w:tr>
        <w:trPr>
          <w:trHeight w:val="194"/>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July 25, 2018</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2018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Date: July 25, 2018</w:t>
            </w:r>
          </w:p>
        </w:tc>
        <w:tc>
          <w:tcPr>
            <w:tcW w:w="5000" w:type="dxa"/>
            <w:vAlign w:val="bottom"/>
            <w:gridSpan w:val="2"/>
          </w:tcPr>
          <w:p>
            <w:pPr>
              <w:ind w:left="1980"/>
              <w:spacing w:after="0"/>
              <w:rPr>
                <w:sz w:val="20"/>
                <w:szCs w:val="20"/>
                <w:color w:val="auto"/>
              </w:rPr>
            </w:pPr>
            <w:r>
              <w:rPr>
                <w:rFonts w:ascii="Arial" w:cs="Arial" w:eastAsia="Arial" w:hAnsi="Arial"/>
                <w:sz w:val="18"/>
                <w:szCs w:val="18"/>
                <w:color w:val="auto"/>
              </w:rPr>
              <w:t>/s/ Paal Kibsgaard</w:t>
            </w:r>
          </w:p>
        </w:tc>
      </w:tr>
      <w:tr>
        <w:trPr>
          <w:trHeight w:val="194"/>
        </w:trPr>
        <w:tc>
          <w:tcPr>
            <w:tcW w:w="3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5" w:lineRule="exact"/>
        <w:rPr>
          <w:sz w:val="20"/>
          <w:szCs w:val="20"/>
          <w:color w:val="auto"/>
        </w:rPr>
      </w:pPr>
    </w:p>
    <w:p>
      <w:pPr>
        <w:ind w:left="1020" w:hanging="509"/>
        <w:spacing w:after="0" w:line="26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July 25, 2018</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June 30, 2018. Due to timing and other factors, the data may not agree with the mine data retrieval system maintained by the MSHA at www.MSHA.gov.</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00" w:lineRule="exact"/>
        <w:rPr>
          <w:sz w:val="20"/>
          <w:szCs w:val="20"/>
          <w:color w:val="auto"/>
        </w:rPr>
      </w:pPr>
    </w:p>
    <w:p>
      <w:pPr>
        <w:spacing w:after="0" w:line="279"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6"/>
              </w:rPr>
              <w:t>Violations</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color w:val="auto"/>
                <w:w w:val="94"/>
              </w:rPr>
              <w:t>Have Pattern Legal Actions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38"/>
              <w:spacing w:after="0" w:line="133" w:lineRule="exact"/>
              <w:rPr>
                <w:sz w:val="20"/>
                <w:szCs w:val="20"/>
                <w:color w:val="auto"/>
              </w:rPr>
            </w:pPr>
            <w:r>
              <w:rPr>
                <w:rFonts w:ascii="Arial" w:cs="Arial" w:eastAsia="Arial" w:hAnsi="Arial"/>
                <w:sz w:val="12"/>
                <w:szCs w:val="12"/>
                <w:color w:val="auto"/>
                <w:w w:val="92"/>
              </w:rPr>
              <w:t>Section 104(d)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2180" w:type="dxa"/>
            <w:vAlign w:val="bottom"/>
            <w:gridSpan w:val="3"/>
          </w:tcPr>
          <w:p>
            <w:pPr>
              <w:jc w:val="center"/>
              <w:spacing w:after="0" w:line="133" w:lineRule="exact"/>
              <w:rPr>
                <w:sz w:val="20"/>
                <w:szCs w:val="20"/>
                <w:color w:val="auto"/>
              </w:rPr>
            </w:pPr>
            <w:r>
              <w:rPr>
                <w:rFonts w:ascii="Arial" w:cs="Arial" w:eastAsia="Arial" w:hAnsi="Arial"/>
                <w:sz w:val="12"/>
                <w:szCs w:val="12"/>
                <w:color w:val="auto"/>
                <w:w w:val="92"/>
              </w:rPr>
              <w:t>Under SectionUnder Section Pending as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7"/>
              </w:rPr>
              <w:t>Section 104(b) Citations and</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4"/>
              </w:rPr>
              <w:t>Section 110(b) Section 107(a)</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Proposed MSHA</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8"/>
              </w:rPr>
              <w:t>Last Day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 During</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S&amp;S Citations</w:t>
            </w:r>
          </w:p>
        </w:tc>
        <w:tc>
          <w:tcPr>
            <w:tcW w:w="66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w w:val="87"/>
              </w:rPr>
              <w:t>Orders</w:t>
            </w: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color w:val="auto"/>
                <w:w w:val="97"/>
              </w:rPr>
              <w:t>(2) Violations</w:t>
            </w: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color w:val="auto"/>
                <w:w w:val="92"/>
              </w:rPr>
              <w:t>Orders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 xml:space="preserve">Assessments </w:t>
            </w:r>
            <w:r>
              <w:rPr>
                <w:rFonts w:ascii="Arial" w:cs="Arial" w:eastAsia="Arial" w:hAnsi="Arial"/>
                <w:sz w:val="10"/>
                <w:szCs w:val="10"/>
                <w:color w:val="auto"/>
                <w:w w:val="89"/>
              </w:rPr>
              <w:t>(1)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Fatalities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5"/>
              </w:rPr>
              <w:t>*$354</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0"/>
                <w:szCs w:val="20"/>
                <w:color w:val="auto"/>
              </w:rPr>
            </w:pPr>
            <w:r>
              <w:rPr>
                <w:rFonts w:ascii="Arial" w:cs="Arial" w:eastAsia="Arial" w:hAnsi="Arial"/>
                <w:sz w:val="12"/>
                <w:szCs w:val="12"/>
                <w:color w:val="auto"/>
                <w:w w:val="99"/>
              </w:rPr>
              <w:t>Greybull Milling Operation/4800602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$472</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0"/>
                <w:szCs w:val="20"/>
                <w:color w:val="auto"/>
              </w:rPr>
            </w:pPr>
            <w:r>
              <w:rPr>
                <w:rFonts w:ascii="Arial" w:cs="Arial" w:eastAsia="Arial" w:hAnsi="Arial"/>
                <w:sz w:val="12"/>
                <w:szCs w:val="12"/>
                <w:color w:val="auto"/>
                <w:w w:val="99"/>
              </w:rPr>
              <w:t>Greybull Mining Operation/4800603</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72"/>
        </w:trPr>
        <w:tc>
          <w:tcPr>
            <w:tcW w:w="1900" w:type="dxa"/>
            <w:vAlign w:val="bottom"/>
          </w:tcPr>
          <w:p>
            <w:pPr>
              <w:spacing w:after="0"/>
              <w:rPr>
                <w:sz w:val="20"/>
                <w:szCs w:val="20"/>
                <w:color w:val="auto"/>
              </w:rPr>
            </w:pPr>
            <w:r>
              <w:rPr>
                <w:rFonts w:ascii="Arial" w:cs="Arial" w:eastAsia="Arial" w:hAnsi="Arial"/>
                <w:sz w:val="12"/>
                <w:szCs w:val="12"/>
                <w:color w:val="auto"/>
              </w:rPr>
              <w:t>Greystone Mine/2600411</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1900" w:type="dxa"/>
            <w:vAlign w:val="bottom"/>
          </w:tcPr>
          <w:p>
            <w:pPr>
              <w:spacing w:after="0"/>
              <w:rPr>
                <w:sz w:val="20"/>
                <w:szCs w:val="20"/>
                <w:color w:val="auto"/>
              </w:rPr>
            </w:pPr>
            <w:r>
              <w:rPr>
                <w:rFonts w:ascii="Arial" w:cs="Arial" w:eastAsia="Arial" w:hAnsi="Arial"/>
                <w:sz w:val="12"/>
                <w:szCs w:val="12"/>
                <w:color w:val="auto"/>
              </w:rPr>
              <w:t>Wisconsin Proppants/4703742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right="20" w:hanging="568"/>
        <w:spacing w:after="0" w:line="329"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2018,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June 19, 2018, MSHA had not yet proposed an assessment for one non-S&amp;S citation at Galveston GBT Barite Grinding Plant/4104675.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6">
    <w:nsid w:val="79838CB2"/>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0">
    <w:nsid w:val="54E49EB4"/>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8" Type="http://schemas.openxmlformats.org/officeDocument/2006/relationships/hyperlink" Target="http://www.sec.gov/Archives/edgar/data/87347/000119312516532046/d176097dex31.htm" TargetMode="External"/><Relationship Id="rId49" Type="http://schemas.openxmlformats.org/officeDocument/2006/relationships/hyperlink" Target="http://www.sec.gov/Archives/edgar/data/87347/000119312517013293/d333168dex31.htm" TargetMode="External"/><Relationship Id="rId50" Type="http://schemas.openxmlformats.org/officeDocument/2006/relationships/hyperlink" Target="http://www.sec.gov/Archives/edgar/data/87347/000130817918000016/lslb2018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2019-12-28T21:01:24Z</dcterms:created>
  <dcterms:modified xsi:type="dcterms:W3CDTF">2019-12-28T21:01:24Z</dcterms:modified>
</cp:coreProperties>
</file>