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4"/>
          <w:szCs w:val="24"/>
          <w:color w:val="auto"/>
        </w:rPr>
      </w:pPr>
    </w:p>
    <w:p>
      <w:pPr>
        <w:jc w:val="center"/>
        <w:ind w:right="-27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4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6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740" w:hanging="381"/>
        <w:spacing w:after="0" w:line="275" w:lineRule="auto"/>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540" w:hanging="352"/>
        <w:spacing w:after="0" w:line="275" w:lineRule="auto"/>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6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6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-3011805</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-2711450</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-2273935</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-1974215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-1656715</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-739140</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-438785</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-139065</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160655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160"/>
          </w:cols>
          <w:pgMar w:left="240" w:top="226" w:right="4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499745</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75007 Paris, France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Parkstraat 83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STOCKHOLDERS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April 10, 2013</w:t>
      </w:r>
    </w:p>
    <w:p>
      <w:pPr>
        <w:spacing w:after="0" w:line="5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color w:val="auto"/>
        </w:rPr>
        <w:t>March 1, 2013</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2013 Annual General Meeting of Stockholders of Schlumberger Limited (Schlumberger N.V.) will be held at the Avila Beach Hotel, Penstraat 130,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Willemstad, Curaçao, on Wednesday, April 10, 2013 at 10:30 a.m., Curaçao time, for the following purposes:</w:t>
      </w:r>
    </w:p>
    <w:p>
      <w:pPr>
        <w:spacing w:after="0" w:line="64" w:lineRule="exact"/>
        <w:rPr>
          <w:sz w:val="20"/>
          <w:szCs w:val="20"/>
          <w:color w:val="auto"/>
        </w:rPr>
      </w:pPr>
    </w:p>
    <w:p>
      <w:pPr>
        <w:ind w:left="560" w:hanging="444"/>
        <w:spacing w:after="0"/>
        <w:tabs>
          <w:tab w:leader="none" w:pos="56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11 directors named in this proxy statement.</w:t>
      </w:r>
    </w:p>
    <w:p>
      <w:pPr>
        <w:spacing w:after="0" w:line="76" w:lineRule="exact"/>
        <w:rPr>
          <w:rFonts w:ascii="Times New Roman" w:cs="Times New Roman" w:eastAsia="Times New Roman" w:hAnsi="Times New Roman"/>
          <w:sz w:val="18"/>
          <w:szCs w:val="18"/>
          <w:color w:val="auto"/>
        </w:rPr>
      </w:pPr>
    </w:p>
    <w:p>
      <w:pPr>
        <w:ind w:left="540" w:hanging="451"/>
        <w:spacing w:after="0"/>
        <w:tabs>
          <w:tab w:leader="none" w:pos="5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w:t>
      </w:r>
    </w:p>
    <w:p>
      <w:pPr>
        <w:spacing w:after="0" w:line="76" w:lineRule="exact"/>
        <w:rPr>
          <w:rFonts w:ascii="Times New Roman" w:cs="Times New Roman" w:eastAsia="Times New Roman" w:hAnsi="Times New Roman"/>
          <w:sz w:val="18"/>
          <w:szCs w:val="18"/>
          <w:color w:val="auto"/>
        </w:rPr>
      </w:pPr>
    </w:p>
    <w:p>
      <w:pPr>
        <w:ind w:left="500" w:right="520" w:hanging="451"/>
        <w:spacing w:after="0" w:line="26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on the course of business during the year ended December 31, 2012, and to approve the Company’s Consolidated Balance Sheet as at December 31, 2012, its Consolidated Statement of Income for the year ended December 31, 2012, and the declarations of dividends by the Board of Directors in 2012 as reflected in the Company’s 2012 Annual Report to Stockholders.</w:t>
      </w:r>
    </w:p>
    <w:p>
      <w:pPr>
        <w:spacing w:after="0" w:line="37" w:lineRule="exact"/>
        <w:rPr>
          <w:rFonts w:ascii="Times New Roman" w:cs="Times New Roman" w:eastAsia="Times New Roman" w:hAnsi="Times New Roman"/>
          <w:sz w:val="18"/>
          <w:szCs w:val="18"/>
          <w:color w:val="auto"/>
        </w:rPr>
      </w:pPr>
    </w:p>
    <w:p>
      <w:pPr>
        <w:ind w:left="500" w:right="220" w:hanging="451"/>
        <w:spacing w:after="0" w:line="275"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appointment of PricewaterhouseCoopers LLP as the independent registered public accounting firm to audit the accounts of the Company for 2013.</w:t>
      </w:r>
    </w:p>
    <w:p>
      <w:pPr>
        <w:spacing w:after="0" w:line="25" w:lineRule="exact"/>
        <w:rPr>
          <w:rFonts w:ascii="Times New Roman" w:cs="Times New Roman" w:eastAsia="Times New Roman" w:hAnsi="Times New Roman"/>
          <w:sz w:val="18"/>
          <w:szCs w:val="18"/>
          <w:color w:val="auto"/>
        </w:rPr>
      </w:pPr>
    </w:p>
    <w:p>
      <w:pPr>
        <w:ind w:left="540" w:hanging="451"/>
        <w:spacing w:after="0"/>
        <w:tabs>
          <w:tab w:leader="none" w:pos="5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the 2013 Schlumberger Omnibus Incentive Plan.</w:t>
      </w:r>
    </w:p>
    <w:p>
      <w:pPr>
        <w:spacing w:after="0" w:line="76" w:lineRule="exact"/>
        <w:rPr>
          <w:rFonts w:ascii="Times New Roman" w:cs="Times New Roman" w:eastAsia="Times New Roman" w:hAnsi="Times New Roman"/>
          <w:sz w:val="18"/>
          <w:szCs w:val="18"/>
          <w:color w:val="auto"/>
        </w:rPr>
      </w:pPr>
    </w:p>
    <w:p>
      <w:pPr>
        <w:ind w:left="500" w:hanging="438"/>
        <w:spacing w:after="0"/>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and restatement of the Schlumberger Discounted Stock Purchase Plan.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 will also be taken on such other matters as may properly be brought before the meeting.</w:t>
      </w:r>
    </w:p>
    <w:p>
      <w:pPr>
        <w:spacing w:after="0" w:line="9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close of business on February 20, 2013 has been fixed as the record date for the meeting. All holders of common stock of record at the close of business on that date are entitled to vote at the meeting.</w:t>
      </w:r>
    </w:p>
    <w:p>
      <w:pPr>
        <w:spacing w:after="0" w:line="1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14605</wp:posOffset>
            </wp:positionV>
            <wp:extent cx="11061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LEXANDER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4"/>
          <w:szCs w:val="14"/>
          <w:color w:val="auto"/>
        </w:rPr>
        <w:t>UDEN</w:t>
      </w:r>
    </w:p>
    <w:p>
      <w:pPr>
        <w:spacing w:after="0" w:line="2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Secretary</w:t>
      </w:r>
    </w:p>
    <w:p>
      <w:pPr>
        <w:spacing w:after="0" w:line="4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5 or 6 without your instructions.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Stockholders to Be Held on April 10, 2013:</w:t>
      </w:r>
    </w:p>
    <w:p>
      <w:pPr>
        <w:spacing w:after="0" w:line="9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b w:val="1"/>
          <w:bCs w:val="1"/>
          <w:color w:val="auto"/>
        </w:rPr>
        <w:t>This proxy statement, along with the Company’s Annual Report on Form 10-K for the fiscal year ended December 31, 2012 and the Company’s 2012 Annual Report to Stockholders, are available free of charge on the Company’s website at http://investorcenter.slb.com.</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660" w:type="dxa"/>
            <w:vAlign w:val="bottom"/>
            <w:gridSpan w:val="8"/>
            <w:vMerge w:val="restart"/>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PROXY STATEMENT</w:t>
              </w:r>
            </w:hyperlink>
          </w:p>
        </w:tc>
        <w:tc>
          <w:tcPr>
            <w:tcW w:w="9380" w:type="dxa"/>
            <w:vAlign w:val="bottom"/>
            <w:gridSpan w:val="37"/>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gridSpan w:val="8"/>
            <w:vMerge w:val="continue"/>
          </w:tcPr>
          <w:p>
            <w:pPr>
              <w:spacing w:after="0"/>
              <w:rPr>
                <w:sz w:val="13"/>
                <w:szCs w:val="13"/>
                <w:color w:val="auto"/>
              </w:rPr>
            </w:pPr>
          </w:p>
        </w:tc>
        <w:tc>
          <w:tcPr>
            <w:tcW w:w="9380" w:type="dxa"/>
            <w:vAlign w:val="bottom"/>
            <w:gridSpan w:val="3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General</w:t>
              </w:r>
            </w:hyperlink>
          </w:p>
        </w:tc>
        <w:tc>
          <w:tcPr>
            <w:tcW w:w="10260" w:type="dxa"/>
            <w:vAlign w:val="bottom"/>
            <w:gridSpan w:val="43"/>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Items to be Voted on at the Annual Meeting</w:t>
              </w:r>
            </w:hyperlink>
          </w:p>
        </w:tc>
        <w:tc>
          <w:tcPr>
            <w:tcW w:w="77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Record Date; Proxies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32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Quorum</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Votes Required to Adopt Proposals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Effect of Abstentions and Broker Non-Votes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Voting Procedures</w:t>
              </w:r>
            </w:hyperlink>
          </w:p>
        </w:tc>
        <w:tc>
          <w:tcPr>
            <w:tcW w:w="1820" w:type="dxa"/>
            <w:vAlign w:val="bottom"/>
            <w:tcBorders>
              <w:top w:val="single" w:sz="8" w:color="0000EE"/>
            </w:tcBorders>
            <w:gridSpan w:val="22"/>
          </w:tcPr>
          <w:p>
            <w:pPr>
              <w:spacing w:after="0"/>
              <w:rPr>
                <w:sz w:val="17"/>
                <w:szCs w:val="17"/>
                <w:color w:val="auto"/>
              </w:rPr>
            </w:pPr>
          </w:p>
        </w:tc>
        <w:tc>
          <w:tcPr>
            <w:tcW w:w="7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Changing Your Vote or Revoking Your Proxy</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1. ELECTION OF DIRECTORS</w:t>
              </w:r>
            </w:hyperlink>
          </w:p>
        </w:tc>
        <w:tc>
          <w:tcPr>
            <w:tcW w:w="82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Director Nominees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Governance Framework — Highlights</w:t>
              </w:r>
            </w:hyperlink>
          </w:p>
        </w:tc>
        <w:tc>
          <w:tcPr>
            <w:tcW w:w="81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12">
              <w:r>
                <w:rPr>
                  <w:rFonts w:ascii="Times New Roman" w:cs="Times New Roman" w:eastAsia="Times New Roman" w:hAnsi="Times New Roman"/>
                  <w:sz w:val="18"/>
                  <w:szCs w:val="18"/>
                  <w:color w:val="0000EE"/>
                  <w:w w:val="96"/>
                </w:rPr>
                <w:t>Board Independence</w:t>
              </w:r>
            </w:hyperlink>
          </w:p>
        </w:tc>
        <w:tc>
          <w:tcPr>
            <w:tcW w:w="936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Director Nominations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Board Leadership Structure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The Board’s Role in Risk Oversight</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8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Meetings of the Board of Directors and its Committees</w:t>
              </w:r>
            </w:hyperlink>
          </w:p>
        </w:tc>
        <w:tc>
          <w:tcPr>
            <w:tcW w:w="69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Committees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Communication with the Board</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Director Attendance at Annual General Meeting</w:t>
              </w:r>
            </w:hyperlink>
          </w:p>
        </w:tc>
        <w:tc>
          <w:tcPr>
            <w:tcW w:w="74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Policies and Procedures for Approval of Related Person Transactions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6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Corporate Governance Guidelines and Code of Ethics</w:t>
              </w:r>
            </w:hyperlink>
          </w:p>
        </w:tc>
        <w:tc>
          <w:tcPr>
            <w:tcW w:w="5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ADVISORY RESOLUTION TO APPROVE EXECUTIVE COMPENSATION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bottom w:val="single" w:sz="8" w:color="0000EE"/>
            </w:tcBorders>
            <w:gridSpan w:val="31"/>
          </w:tcPr>
          <w:p>
            <w:pPr>
              <w:spacing w:after="0" w:line="196" w:lineRule="exact"/>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COMPENSATION DISCUSSION AND ANALYSIS</w:t>
              </w:r>
            </w:hyperlink>
          </w:p>
        </w:tc>
        <w:tc>
          <w:tcPr>
            <w:tcW w:w="2460" w:type="dxa"/>
            <w:vAlign w:val="bottom"/>
            <w:tcBorders>
              <w:top w:val="single" w:sz="8" w:color="0000EE"/>
            </w:tcBorders>
            <w:gridSpan w:val="10"/>
          </w:tcPr>
          <w:p>
            <w:pPr>
              <w:spacing w:after="0"/>
              <w:rPr>
                <w:sz w:val="17"/>
                <w:szCs w:val="17"/>
                <w:color w:val="auto"/>
              </w:rPr>
            </w:pPr>
          </w:p>
        </w:tc>
        <w:tc>
          <w:tcPr>
            <w:tcW w:w="48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COMPENSATION COMMITTEE REPORT</w:t>
              </w:r>
            </w:hyperlink>
          </w:p>
        </w:tc>
        <w:tc>
          <w:tcPr>
            <w:tcW w:w="78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EXECUTIVE COMPENSATION TABLES AND ACCOMPANYING NARRATIVE</w:t>
              </w:r>
            </w:hyperlink>
          </w:p>
        </w:tc>
        <w:tc>
          <w:tcPr>
            <w:tcW w:w="5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DIRECTOR COMPENSATION IN FISCAL YEAR 2012</w:t>
              </w:r>
            </w:hyperlink>
          </w:p>
        </w:tc>
        <w:tc>
          <w:tcPr>
            <w:tcW w:w="6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Director Stock Ownership Guidelines</w:t>
              </w:r>
            </w:hyperlink>
          </w:p>
        </w:tc>
        <w:tc>
          <w:tcPr>
            <w:tcW w:w="81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ITEM 3. FINANCIAL STATEMENTS</w:t>
              </w:r>
            </w:hyperlink>
          </w:p>
        </w:tc>
        <w:tc>
          <w:tcPr>
            <w:tcW w:w="82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4. APPOINTMENT OF INDEPENDENT REGISTERED PUBLIC ACCOUNTING FIRM</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Fees Paid to PricewaterhouseCoopers LLP</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96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Audit Committee’s Pre-Approval Policy and Procedures</w:t>
              </w:r>
            </w:hyperlink>
          </w:p>
        </w:tc>
        <w:tc>
          <w:tcPr>
            <w:tcW w:w="68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5. APPROVAL OF THE ADOPTION OF THE 2013 SCHLUMBERGER OMNIBUS INCENTIVE PLAN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bottom w:val="single" w:sz="8" w:color="0000EE"/>
            </w:tcBorders>
            <w:gridSpan w:val="32"/>
          </w:tcPr>
          <w:p>
            <w:pPr>
              <w:spacing w:after="0" w:line="19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EQUITY COMPENSATION PLAN INFORMATION</w:t>
              </w:r>
            </w:hyperlink>
          </w:p>
        </w:tc>
        <w:tc>
          <w:tcPr>
            <w:tcW w:w="4180" w:type="dxa"/>
            <w:vAlign w:val="bottom"/>
            <w:tcBorders>
              <w:top w:val="single" w:sz="8" w:color="0000EE"/>
            </w:tcBorders>
            <w:gridSpan w:val="11"/>
          </w:tcPr>
          <w:p>
            <w:pPr>
              <w:spacing w:after="0"/>
              <w:rPr>
                <w:sz w:val="17"/>
                <w:szCs w:val="17"/>
                <w:color w:val="auto"/>
              </w:rPr>
            </w:pPr>
          </w:p>
        </w:tc>
        <w:tc>
          <w:tcPr>
            <w:tcW w:w="30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6. APPROVAL OF THE AMENDMENT AND RESTATEMENT OF THE SCHLUMBERGER DISCOUNTED STOCK PURCHASE PLAN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0460" w:type="dxa"/>
            <w:vAlign w:val="bottom"/>
            <w:tcBorders>
              <w:top w:val="single" w:sz="8" w:color="0000EE"/>
            </w:tcBorders>
            <w:gridSpan w:val="4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STOCK OWNERSHIP INFORMATION</w:t>
              </w:r>
            </w:hyperlink>
          </w:p>
        </w:tc>
        <w:tc>
          <w:tcPr>
            <w:tcW w:w="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Security Ownership by Certain Beneficial Owners</w:t>
              </w:r>
            </w:hyperlink>
          </w:p>
        </w:tc>
        <w:tc>
          <w:tcPr>
            <w:tcW w:w="7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Security Ownership by Management</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Section 16(a) Beneficial Ownership Reporting Compliance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Stockholder Proposals for 2014 Annual General Meeting</w:t>
              </w:r>
            </w:hyperlink>
          </w:p>
        </w:tc>
        <w:tc>
          <w:tcPr>
            <w:tcW w:w="68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7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March 1, 2013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Schlumberger Limited (Schlumberger N.V.) (“Schlumberger” or the “Company”) of proxies to be voted at its 2013 annual general meeting of stockholders, which will be held at the Avila Beach Hotel, Penstraat 130, Willemstad, Curaçao, on Wednesday, April 10, 2013 beginning at 10:30 a.m., Curaçao time. To gain admittance to the meeting, stockholders of record and beneficial owners as of February 20, 2013 must present a passport or other government-issued identification bearing a photograph and, for beneficial owners, proof of ownership, such as the top half of the proxy card or voting instruction card that was sent to you with this proxy statement.</w:t>
      </w:r>
    </w:p>
    <w:p>
      <w:pPr>
        <w:spacing w:after="0" w:line="58"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approximate mailing date of this proxy statement is March 1, 2013.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 The Schlumberger 2012 Annual Report to Stockholders is provided concurrently with this proxy statement, and stockholders should refer to its contents in considering agenda Item 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to be Voted on at the Annual Meeting</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agenda for the 2013 annual general meeting includes the following items: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Agenda Item</w:t>
            </w:r>
          </w:p>
        </w:tc>
        <w:tc>
          <w:tcPr>
            <w:tcW w:w="4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0" w:type="dxa"/>
            <w:vAlign w:val="bottom"/>
          </w:tcPr>
          <w:p>
            <w:pPr>
              <w:spacing w:after="0"/>
              <w:rPr>
                <w:sz w:val="1"/>
                <w:szCs w:val="1"/>
                <w:color w:val="auto"/>
              </w:rPr>
            </w:pPr>
          </w:p>
        </w:tc>
      </w:tr>
      <w:tr>
        <w:trPr>
          <w:trHeight w:val="172"/>
        </w:trPr>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Election of 11 directors</w:t>
            </w:r>
          </w:p>
        </w:tc>
        <w:tc>
          <w:tcPr>
            <w:tcW w:w="1420" w:type="dxa"/>
            <w:vAlign w:val="bottom"/>
            <w:gridSpan w:val="2"/>
          </w:tcPr>
          <w:p>
            <w:pPr>
              <w:jc w:val="center"/>
              <w:ind w:left="332"/>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Recommendation</w:t>
            </w:r>
          </w:p>
        </w:tc>
        <w:tc>
          <w:tcPr>
            <w:tcW w:w="0" w:type="dxa"/>
            <w:vAlign w:val="bottom"/>
          </w:tcPr>
          <w:p>
            <w:pPr>
              <w:spacing w:after="0"/>
              <w:rPr>
                <w:sz w:val="1"/>
                <w:szCs w:val="1"/>
                <w:color w:val="auto"/>
              </w:rPr>
            </w:pPr>
          </w:p>
        </w:tc>
      </w:tr>
      <w:tr>
        <w:trPr>
          <w:trHeight w:val="187"/>
        </w:trPr>
        <w:tc>
          <w:tcPr>
            <w:tcW w:w="7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8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Item 2</w:t>
            </w:r>
            <w:r>
              <w:rPr>
                <w:rFonts w:ascii="Times New Roman" w:cs="Times New Roman" w:eastAsia="Times New Roman" w:hAnsi="Times New Roman"/>
                <w:sz w:val="18"/>
                <w:szCs w:val="18"/>
                <w:color w:val="auto"/>
              </w:rPr>
              <w:t>: Advisory resolution to approve executive compensation</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Approval of the Company’s Consolidated Balance Sheet as at December 31, 2012, its Consolidated</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of Income for the year ended December 31, 2012, and the declarations of dividends by the Board of</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in 2012</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Item 4</w:t>
            </w:r>
            <w:r>
              <w:rPr>
                <w:rFonts w:ascii="Times New Roman" w:cs="Times New Roman" w:eastAsia="Times New Roman" w:hAnsi="Times New Roman"/>
                <w:sz w:val="18"/>
                <w:szCs w:val="18"/>
                <w:color w:val="auto"/>
              </w:rPr>
              <w:t>: Appointment of PricewaterhouseCoopers LLP as the Company’s independent auditor</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Approval of adoption of the 2013 Schlumberger Omnibus Incentive Plan</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Item 6</w:t>
            </w:r>
            <w:r>
              <w:rPr>
                <w:rFonts w:ascii="Times New Roman" w:cs="Times New Roman" w:eastAsia="Times New Roman" w:hAnsi="Times New Roman"/>
                <w:sz w:val="18"/>
                <w:szCs w:val="18"/>
                <w:color w:val="auto"/>
              </w:rPr>
              <w:t>: Approval of adoption of an amendment and restatement of the Schlumberger Discounted Stock Purchase</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Proxies</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Each stockholder of record at the close of business on the record date, February 20, 2013, is entitled to one vote for each director nominee and one vote for each of the other proposals to be voted on with respect to each share registered in the stockholder’s name. A stockholder of record is a person or entity who held shares on that date </w:t>
      </w:r>
      <w:r>
        <w:rPr>
          <w:rFonts w:ascii="Times New Roman" w:cs="Times New Roman" w:eastAsia="Times New Roman" w:hAnsi="Times New Roman"/>
          <w:sz w:val="18"/>
          <w:szCs w:val="18"/>
          <w:i w:val="1"/>
          <w:iCs w:val="1"/>
          <w:color w:val="auto"/>
        </w:rPr>
        <w:t>registered</w:t>
      </w:r>
      <w:r>
        <w:rPr>
          <w:rFonts w:ascii="Times New Roman" w:cs="Times New Roman" w:eastAsia="Times New Roman" w:hAnsi="Times New Roman"/>
          <w:sz w:val="18"/>
          <w:szCs w:val="18"/>
          <w:color w:val="auto"/>
        </w:rPr>
        <w:t xml:space="preserve"> in its name on the records of Computershare Trust Company, N.A. (“Computershare”), Schlumberger’s stock transfer agent. Persons who held shares on the record date through a broker, bank or other nominee are considered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w:t>
      </w:r>
    </w:p>
    <w:p>
      <w:pPr>
        <w:spacing w:after="0" w:line="5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20, 2013, there were 1,331,014,733 shares of common stock of Schlumberger outstanding and entitled to vote.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to Adopt Proposals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be elected, director nominees must receive a majority of votes cast (the number of shares voted “for” a director nominee must exceed the number of votes cast “against” that nominee). Approval of each of the other matters on the agenda also requires the affirmative vote of the majority of votes cast. In addition, with respect to Items 5 and 6, the New York Stock Exchange (the “NYSE”) stockholder approval rules require that the total votes cast as to each such item also represent over 50% of all shares entitled to vote on the proposal.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Abstentions and Broker Non-Votes</w:t>
      </w:r>
    </w:p>
    <w:p>
      <w:pPr>
        <w:spacing w:after="0" w:line="173"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Abstentions and proxies submitted by brokers that do not indicate a vote because they do not have discretionary voting authority and have not received instructions from the </w:t>
      </w:r>
      <w:r>
        <w:rPr>
          <w:rFonts w:ascii="Times New Roman" w:cs="Times New Roman" w:eastAsia="Times New Roman" w:hAnsi="Times New Roman"/>
          <w:sz w:val="16"/>
          <w:szCs w:val="16"/>
          <w:i w:val="1"/>
          <w:iCs w:val="1"/>
          <w:color w:val="auto"/>
        </w:rPr>
        <w:t>beneficial</w:t>
      </w:r>
      <w:r>
        <w:rPr>
          <w:rFonts w:ascii="Times New Roman" w:cs="Times New Roman" w:eastAsia="Times New Roman" w:hAnsi="Times New Roman"/>
          <w:sz w:val="16"/>
          <w:szCs w:val="16"/>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4"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color w:val="auto"/>
        </w:rPr>
        <w:t xml:space="preserve">Brokers holding shares must vote according to specific instructions they receive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 of those shares. If brokers do not receive specific instructions, brokers may in some cases vote the shares in their discretion. However, the NYSE precludes brokers from exercising voting discretion on certain proposals without specific instructions from the beneficial owner, as follows:</w:t>
      </w:r>
    </w:p>
    <w:p>
      <w:pPr>
        <w:spacing w:after="0" w:line="46"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Discretionary Items</w:t>
      </w:r>
      <w:r>
        <w:rPr>
          <w:rFonts w:ascii="Times New Roman" w:cs="Times New Roman" w:eastAsia="Times New Roman" w:hAnsi="Times New Roman"/>
          <w:sz w:val="18"/>
          <w:szCs w:val="18"/>
          <w:color w:val="auto"/>
        </w:rPr>
        <w:t>. Under NYSE rules, brokers will have discretion to vote on Items 3 (financial statements) and 4 (appointment of auditors)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w:t>
      </w:r>
    </w:p>
    <w:p>
      <w:pPr>
        <w:spacing w:after="0" w:line="35"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Nondiscretionary Items</w:t>
      </w:r>
      <w:r>
        <w:rPr>
          <w:rFonts w:ascii="Times New Roman" w:cs="Times New Roman" w:eastAsia="Times New Roman" w:hAnsi="Times New Roman"/>
          <w:sz w:val="18"/>
          <w:szCs w:val="18"/>
          <w:color w:val="auto"/>
        </w:rPr>
        <w:t>. Brokers cannot vote on Items 1 (election of directors), 2 (advisory vote to approve executive compensation), 5 (adoption of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Schlumberger Omnibus Incentive Plan) or 6 (amendment and restatement of the Company’s Discounted Stock Purchase Plan) without instructions from the </w:t>
      </w:r>
      <w:r>
        <w:rPr>
          <w:rFonts w:ascii="Times New Roman" w:cs="Times New Roman" w:eastAsia="Times New Roman" w:hAnsi="Times New Roman"/>
          <w:sz w:val="18"/>
          <w:szCs w:val="18"/>
          <w:i w:val="1"/>
          <w:iCs w:val="1"/>
          <w:color w:val="auto"/>
        </w:rPr>
        <w:t xml:space="preserve">beneficial </w:t>
      </w:r>
      <w:r>
        <w:rPr>
          <w:rFonts w:ascii="Times New Roman" w:cs="Times New Roman" w:eastAsia="Times New Roman" w:hAnsi="Times New Roman"/>
          <w:sz w:val="18"/>
          <w:szCs w:val="18"/>
          <w:color w:val="auto"/>
        </w:rPr>
        <w:t>owners. Therefore, if your shares are held in “street name” by a broker and you do not instruct your broker how to vote on the election of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advisory vote to approve executive compensation, the adoption of the 2013 Schlumberger Omnibus Incentive Plan or the approval of an amendment and restatement of the Company’s Discounted Stock Purchase Plan,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able to vote for you on those matters.</w:t>
      </w:r>
    </w:p>
    <w:p>
      <w:pPr>
        <w:spacing w:after="0" w:line="5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Abstentions and broker non-votes will not be tabulated in determining the outcome of the vote on the election of directors or on any of the other proposals and do not count in determining the total votes cast on Items 5 and 6 for purposes of NYSE stockholder approval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7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Stockholders with shares registered in their names with Computershare and participants who hold shares in the Schlumberger Discounted Stock Purchase Plan may authorize a proxy:</w:t>
      </w:r>
    </w:p>
    <w:p>
      <w:pPr>
        <w:spacing w:after="0" w:line="39"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internet at the following internet address: http://www.proxyvote.com;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telephonically by calling 1-800-690-6903;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their proxy card.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internet and telephone voting facilities for stockholders of record will close at 11:59 p.m. Eastern time on April 9, 2013. The internet and telephone voting procedures have been designed to authenticate stockholders and to allow you to vote your shares and to confirm that your instructions have been properly recorded.</w:t>
      </w:r>
    </w:p>
    <w:p>
      <w:pPr>
        <w:spacing w:after="0" w:line="5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providing your voting instructions promptly, you may save the Company the expense of a second mailing.</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or Revoking Your Proxy</w:t>
      </w:r>
    </w:p>
    <w:p>
      <w:pPr>
        <w:spacing w:after="0" w:line="173"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ELECTION OF DIRECTORS</w:t>
      </w:r>
    </w:p>
    <w:p>
      <w:pPr>
        <w:spacing w:after="0" w:line="173"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All of our directors are elected annually at our annual general meeting of stockholders. Our stockholders are requested to elect a Board of Directors of 11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2012 annual general meeting.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3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Shares represented by executed proxies will be voted, if authority to do so is not withheld, for the election of each of the 11 nominees named below. If you hold your shares in “street name,” you should know that your broker will not vote your shares for the 11 nominees listed below without your specific voting instructions.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1" w:lineRule="exact"/>
        <w:rPr>
          <w:sz w:val="20"/>
          <w:szCs w:val="20"/>
          <w:color w:val="auto"/>
        </w:rPr>
      </w:pPr>
    </w:p>
    <w:p>
      <w:pPr>
        <w:ind w:right="6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Each director nominee must receive a majority of the votes cast to be elected. </w:t>
      </w:r>
      <w:r>
        <w:rPr>
          <w:rFonts w:ascii="Times New Roman" w:cs="Times New Roman" w:eastAsia="Times New Roman" w:hAnsi="Times New Roman"/>
          <w:sz w:val="18"/>
          <w:szCs w:val="18"/>
          <w:i w:val="1"/>
          <w:iCs w:val="1"/>
          <w:color w:val="auto"/>
        </w:rPr>
        <w:t>Brokers do not have discretion to vote on this proposal without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instruction. If you do not instruct your broker how to vote on this proposal, your broker will deliver a non-vote on this proposal.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Nominees.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5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PETER L.S. CURRIE, 56, has been a director of the Company since 2010. He has been President of Currie Capital LLC, a private investment firm, since April 2004. Mr. Currie served as a director of Clearwire Corporation, a wireless internet service provider, from 2005 to June 2011 and was a member of both its compensation committee and its audit committee, which he chaired. From 2006 to 2010, he was a director of Sun Microsystems,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Mr. Currie also is a director at several private companies including Twitter, Inc., where he chairs both the audit committee and the nominating and governance committee. Mr. Currie brings to the Board strong financial and operational expertise as a result of his extensive board and committee experience at both public and private companies; experience serving as Chief Financial Officer of two public companies (McCaw Cellular Communications Inc. and Netscape Communications Corp.); and experience serving in senior positions in investment banking, venture capital and private equity.</w:t>
      </w:r>
    </w:p>
    <w:p>
      <w:pPr>
        <w:spacing w:after="0" w:line="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TONY ISAAC, 71, retired, has been a director of the Company since 2003, and is the non-executive Chairman of the Board. He was the former Chief Executive of The BOC Group plc, an international group with three business segments consisting of Gases and Related Products, Vacuum Technology and Supply Chain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Solutions, from September 1999 to October 2006, when he retired. Since October 2000, Mr. Isaac has served on the board of GDF SUEZ Energy International (formerly known as International Power plc), an independent power producer, and served as chairman of its audit committee from February 2011 to August 2012. He is also the senior non-executive director of the Hogg Robinson Group, a corporate travel services company, where he serves on its remuneration and nomination committees, and is chairman of its audit committee. Mr. Isaac brings to the Board extensive experience serving on boards of large, multinational companies. As a former chief executive, Mr. Isaac also has valuable experience in the operation of a worldwide business faced with a myriad of international business and political issues. Mr. Isaac’s experience as senior non-executive director of all boards on which he has served makes him an effective non-executive Chairman of the Board.</w:t>
      </w:r>
    </w:p>
    <w:p>
      <w:pPr>
        <w:spacing w:after="0" w:line="60" w:lineRule="exact"/>
        <w:rPr>
          <w:sz w:val="20"/>
          <w:szCs w:val="20"/>
          <w:color w:val="auto"/>
        </w:rPr>
      </w:pPr>
    </w:p>
    <w:p>
      <w:pPr>
        <w:ind w:right="20" w:firstLine="456"/>
        <w:spacing w:after="0" w:line="284" w:lineRule="auto"/>
        <w:rPr>
          <w:sz w:val="20"/>
          <w:szCs w:val="20"/>
          <w:color w:val="auto"/>
        </w:rPr>
      </w:pPr>
      <w:r>
        <w:rPr>
          <w:rFonts w:ascii="Times New Roman" w:cs="Times New Roman" w:eastAsia="Times New Roman" w:hAnsi="Times New Roman"/>
          <w:sz w:val="16"/>
          <w:szCs w:val="16"/>
          <w:color w:val="auto"/>
        </w:rPr>
        <w:t>K. VAMAN KAMATH, 65, has been a director of the Company since 2010. He has been the non-executive Chairman of the Board of ICICI Bank Limited, a banking institution, since May 2009, and was Managing Director and Chief Executive Officer of ICICI Bank Limited from 2002 to May 2009. He chairs its Credit, Risk and Customer Service Committees, and is a member of its Fraud Monitoring, Information Technology Strategy and its Board Governance, Remuneration and Nomination committees. Mr. Kamath has been the non-executive Chairman of the Board of Infosys Limited, an information technology services company, since August 2011, and has served on its board of directors since May 2009. Mr. Kamath also served on Infosys’ audit and nomination committees, and was chairman of its compensation committee, in each case until October 2011. He was also a director of Lupin Limited, a pharmaceutical company, from January 2010 to November 2011 and of Great Eastern Shipping Co. Limited, a shipping company, from May 2010 to November 2011.</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Kamath brings to the Board a deep understanding of India (a large and critical market for Schlumberger) and of Asia generally, both of which are of immense value to the Board. As a banker with more than 40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57"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PAAL KIBSGAARD, 45,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brings to the Board a thorough knowledge of the Company’s operational activities worldwide as a result of his service in various global leadership positions in the Company. Mr. Kibsgaard has been with the Company since 1997, and began his career as a reservoir engineer. He has held numerous operational and administrative management positions within the Company in the Middle East, Europe and the U.S., and brings a valuable operational perspective to the Board. The Board believes that Mr. Kibsgaard’s service as Chief Executive Officer offers an important link between management and the Board, enabling the Board to perform its oversight function with the benefit of his perspectives on the Company’s business.</w:t>
      </w:r>
    </w:p>
    <w:p>
      <w:pPr>
        <w:spacing w:after="0" w:line="6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NIKOLAY KUDRYAVTSEV, 62, has been a director of the Company since 2007. Since June 1997, he has been the Rector of the Moscow Institute of Physics and Technology, the most prestigious institute of theoretical and applied physics in Russia. In 2012, Mr. Kudryavtsev was elected chairman of the Board of Rectors of the city of Moscow and Moscow region.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ADRIAN LAJOUS, 69, has been a director of the Company since 2002. Since January 2011, he has served as President of Petrométrica, an energy consulting company. From 2001 to September 2012, he was an outside consultant serving as Senior Energy Advisor to McKinsey &amp; Company, a consulting firm. Mr. Lajous is a director of Ternium, S.A. (since 2006), a flat and long steel producer, and serves on its audit committee. He is also a director of Trinity Industries, Inc. (since 2006), a volume producer of freight and tank railcars, and serves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Mr. Lajous brings to the Board his extensive knowledge of and experience in the energy industry and its participants, as well as a deep understanding of operations in difficult political and regulatory environments. He also has significant knowledge of the issues affecting the international oil and gas industry, particularly in Mexico and Latin America. Through his service on the boards of Pemex and Ternium S.A., he has valuable experience in governance, compensation and audit issues.</w:t>
      </w:r>
    </w:p>
    <w:p>
      <w:pPr>
        <w:spacing w:after="0" w:line="58"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MICHAEL E. MARKS, 62,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and served in that role until his retirement from the board of Flextronics in 2008, and he previously served as Chairman of the Board of Flextronics from 1993 to 2003. Mr. Marks has been a director of SanDisk, a memory products company, since 2003 and became chairman of its board in January 2011. He is also a member of its compensation committee and is chairman of its nominating and governance committee. From 2007 to 2010, he was a director at Sun Microsystems, a network computing infrastructure product and service company, and was a member of its audit committee. Until December 2010, Mr. Marks was a director of Calix (since 2009), a provider of broadband communications access systems and software. Mr. Marks brings to the Board his familiarity with world-class manufacturing from the field level to the boardroom based on his experience at Flextronics, and because he has run a large, diversified global corporation with many of the same issues that Schlumberger faces. As a former chief executive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to Schlumberger’s technology-oriented business and the fact that many of its acquisition targets are technology companies.</w:t>
      </w:r>
    </w:p>
    <w:p>
      <w:pPr>
        <w:spacing w:after="0" w:line="62"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LUBNA S. OLAYAN, 57, has been a director of the Company since 2011. She has been the deputy chairperson and Chief Executive Officer of Riyadh-based Olayan Financing Company, the holding entity for The Olayan Group’s operations in the Kingdom of Saudi Arabia and the Middle East, since 1986. Since 2001, 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served as a non-executive director of WPP plc, a public company and one of the largest communication services businesses in the world, from March 2005 to June 2012, and was a member of its nomination committee. Ms. Olayan is also a member of the International Advisory Boards of Rolls Royce Group plc (since 2006), Akbank (since 2008) and the National Bank of Kuwait (since 2010). Ms. Olayan also serves on the boards of various non-governmental organizations, including the Asia Business Council, Al Fanar (venture philanthropy) and the Down’s Syndrome Charitable Association in Saudi Arabia, and on the boards of various educational institutions, including Cornell University and King Abdullah University of Science and Technology. Ms. Olayan brings to the Board proven leadership abilities and experience in Saudi Arabia and the Middle East, which enable her to make valuable contributions to the Board. Ms. Olayan has extensive business experience in Saudi Arabia and the Middle East and a deep understanding of those areas, which are critical to the Company.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benefits from her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also are of great value to Schlumberger and its efforts in technology leadership and employee recruiting and retention.</w:t>
      </w:r>
    </w:p>
    <w:p>
      <w:pPr>
        <w:spacing w:after="0" w:line="55"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LEO RAFAEL REIF, 62, has been a director of the Company since 2007. Mr. Reif has served as President of the Massachusetts Institute of Technology (“MIT”) since July 2012. He previously served as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6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TORE I. SANDVOLD, 65, has been a director of the Company since 2004. He has been executive Chairman of Sandvold Energy AS, an advisory company in the energy industry,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Mr. Sandvold brings to the Board experience working in the area of energy policy for more than 35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5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HENRI SEYDOUX, 52, has been a director of the Company since 2009. Since 1994, he has been Chairman and Chief Executive Officer of Parrot S.A., a global wireless products manufacturer. Mr. Seydoux is an entrepreneur 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Schlumberger is committed to adhering to sound principles of corporate governance and has adopted corporate governance guidelines that the Board believes are consistent with Schlumberger’s values, promote the effective functioning of the Board, its committees and the Company. These guidelines are on our website at http://www.slb.com/about/guiding_principles/corpgovernance/corpgov_guidelines.aspx.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Framework—Highlights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highlights of our corporate governance practices and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Independence; Committees Structure</w:t>
      </w:r>
    </w:p>
    <w:p>
      <w:pPr>
        <w:spacing w:after="0" w:line="92" w:lineRule="exact"/>
        <w:rPr>
          <w:sz w:val="20"/>
          <w:szCs w:val="20"/>
          <w:color w:val="auto"/>
        </w:rPr>
      </w:pPr>
    </w:p>
    <w:p>
      <w:pPr>
        <w:ind w:left="780" w:right="82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 nominees are independent of the Company and management, except for our CEO. This is substantially above the NYSE requirement that a majority of directors be independent.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Isaac, an independent member of the Board, serves as Chairman of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meet regularly in executive session.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serve on our Audit, Compensation, Finance, Nominating and Governance and Science and Technology Committees.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Majority Voting; Stockholder Authority</w:t>
      </w:r>
    </w:p>
    <w:p>
      <w:pPr>
        <w:spacing w:after="0" w:line="92"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majority vote standard for uncontested director elections.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are elected annually. We do not have a classified board.</w:t>
      </w:r>
    </w:p>
    <w:p>
      <w:pPr>
        <w:spacing w:after="0" w:line="90" w:lineRule="exact"/>
        <w:rPr>
          <w:rFonts w:ascii="Times New Roman" w:cs="Times New Roman" w:eastAsia="Times New Roman" w:hAnsi="Times New Roman"/>
          <w:sz w:val="18"/>
          <w:szCs w:val="18"/>
          <w:color w:val="auto"/>
        </w:rPr>
      </w:pPr>
    </w:p>
    <w:p>
      <w:pPr>
        <w:ind w:left="780" w:right="5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stockholders representing 10% or more of outstanding shares can call a special stockholders meeting by following the procedural requirements set forth in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Stock Ownership Guidelines</w:t>
      </w:r>
    </w:p>
    <w:p>
      <w:pPr>
        <w:spacing w:after="0" w:line="92" w:lineRule="exact"/>
        <w:rPr>
          <w:sz w:val="20"/>
          <w:szCs w:val="20"/>
          <w:color w:val="auto"/>
        </w:rPr>
      </w:pPr>
    </w:p>
    <w:p>
      <w:pPr>
        <w:ind w:left="780" w:right="80" w:hanging="326"/>
        <w:spacing w:after="0" w:line="26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92"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Board of Directors directly oversees risk management for the Company.</w:t>
      </w:r>
    </w:p>
    <w:p>
      <w:pPr>
        <w:spacing w:after="0" w:line="90"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and assesses financial reporting risk. It also reviews all significant finance-related violations of Company policies brought to its attention, and once per year reviews and assesses summaries of all finance-related violations.</w:t>
      </w:r>
    </w:p>
    <w:p>
      <w:pPr>
        <w:spacing w:after="0" w:line="38"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Committee oversees finance-related risks on a quarterly basis and recommends guidelines to control cash, pension investments, banking relationships and currency exposures.</w:t>
      </w:r>
    </w:p>
    <w:p>
      <w:pPr>
        <w:spacing w:after="0" w:line="38"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oversees compliance-related risk and the Company’s Ethics and Compliance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92" w:lineRule="exact"/>
        <w:rPr>
          <w:sz w:val="20"/>
          <w:szCs w:val="20"/>
          <w:color w:val="auto"/>
        </w:rPr>
      </w:pPr>
    </w:p>
    <w:p>
      <w:pPr>
        <w:ind w:left="780" w:right="32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are prohibited from hedging their ownership of Schlumberger stock. Furthermore, our directors and executive officers are prohibited from pledging their Schlumberger stock.</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Political Contributions</w:t>
      </w:r>
    </w:p>
    <w:p>
      <w:pPr>
        <w:spacing w:after="0" w:line="92" w:lineRule="exact"/>
        <w:rPr>
          <w:sz w:val="20"/>
          <w:szCs w:val="20"/>
          <w:color w:val="auto"/>
        </w:rPr>
      </w:pPr>
    </w:p>
    <w:p>
      <w:pPr>
        <w:ind w:left="780" w:right="40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7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w:t>
      </w:r>
    </w:p>
    <w:p>
      <w:pPr>
        <w:spacing w:after="0" w:line="51"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The Board of Directors has determined that each director nominee listed above under “Election of Directors” is “independent” under the published listing standards of the NYSE, except Mr. Kibsgaard, who is our CEO and therefore does not qualify as independent. The Board previously determined that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Andrew Gould, our former CEO who served as Chairman of the Board until the 2012 annual general meeting and did not stand for re-election, was not considered to be independent. In addition, the Board of Directors determined that Philippe Camus, who also served as director until the 2012 annual general meeting and did not stand for re-election, was independent.</w:t>
      </w:r>
    </w:p>
    <w:p>
      <w:pPr>
        <w:spacing w:after="0" w:line="5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2010 between Schlumberger and each current director and director nominee and members of their immediate families or entities associated with them.</w:t>
      </w:r>
    </w:p>
    <w:p>
      <w:pPr>
        <w:spacing w:after="0" w:line="5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51" w:lineRule="exact"/>
        <w:rPr>
          <w:sz w:val="20"/>
          <w:szCs w:val="20"/>
          <w:color w:val="auto"/>
        </w:rPr>
      </w:pPr>
    </w:p>
    <w:p>
      <w:pPr>
        <w:ind w:left="780" w:right="94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type of relationship addressed in Section 303A.02(b) of the NYSE Listed Company Manual, but under those rules does not preclude a determination of independence;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type of relationship addressed in Item 404 of SEC Regulation S-K, but under that item does not require disclosure; or</w:t>
      </w:r>
    </w:p>
    <w:p>
      <w:pPr>
        <w:spacing w:after="0" w:line="90"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39"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None of the non-employee directors was disqualified from “independent” status under the objective NYSE listing standards. In making its subjective determination that each non-employee director is independent, the Board reviewed additional information provided by the directors and the Company with regard to any business or personal activities or associations as they may relate to Schlumberger and Schlumberger’s management. The Board considered the transactions in the context of the NYSE’s objective listing standards, the categorical standards noted above and, for directors serving on committees,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3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Board’s independence determinations included a review of transactions with entities associated with the independent directors or members of their immediate family. In making its independence determinations, the Board considered that Mr. Isaac, Mr. Kamath, Mr. Kudryavtsev, Mr. Lajous, Ms. Olayan and Mr. Camus (who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served on the Board until April 2012) each have served as directors, trustees, outside consultants or advisory board members at companies and universities that have had business dealings with the Company, all of which were ordinary course business transactions involving significantly less than 1% of either company’s annual revenues. The Board also considered that the Company has made charitable contributions to The Massachusetts Institute of Technology, of which Mr. Reif is the President, and to The Moscow Institute of Physics and Technology, of which Mr. Kudryavtsev is the Rector, which likewise were significantly less than the greater of $1 million or 2% of that organization’s consolidated gross revenues for any of the past three years, and from which the directors received no personal benefit.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7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Chair, Nominating and Governance Committee</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 Secretary, Schlumberger Limited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8"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also believes that the Board should include appropriate expertise and reflect gender, cultural and geographical diversity, in light of the entire Board’s current composition and range of diversity. Schlumberger has more than 118,000 employees worldwide, representing more than 140 nationalities, and values gender, cultural and geographical diversity in its directors as well. Two of the Company’s current directors are women. Of the 11 director nominees, three are citizens of the United States of America; two are citizens of Norway; and one director nominee is a citizen of each of France, Great Britain, Russia, Mexico, India and Saudi Arabia. The Company’s very diverse Board also evidences the Board’s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w:t>
      </w:r>
    </w:p>
    <w:p>
      <w:pPr>
        <w:spacing w:after="0" w:line="55"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The independent members of the Board have determined that the appointment of an independent, non-executive Chairman of the Board is an appropriate board leadership structure at this time because it allows our CEO to focus on leading the Company’s complex international business operations while providing the Board experienced and independent leadership. The independent members of the Board appointed Tony Isaac as the independent, non-executive Chairman of the Board in April 2012. Mr. Isaac, who previously served as the Board’s lead independent director, continues to fulfill the responsibilities he performed as lead independent director, including setting the agendas for, and presiding over executive sessions of non-management directors, as well as serving as Chairman. In light of Mr. Isaac’s appointment as the independent, non-executive Chairman of the Board, the Board no longer has a designated lead independent director. The Board may modify this structure from time to time to best address the Company’s unique circumstances, to advance the best interests of all stockholders, as and when appropriate. In the event that the Company modifies this leadership structure in the future and appoints a lead independent director, that director’s responsibilities would, as previously, be expected to include setting the agenda for all Board meetings (together with the Chairman), setting the agenda for and leading all executive meetings of the independent directors, and providing consolidated feedback, as appropriate, from those meetings to the Chairman and CEO. The lead independent director would also have authority to call meetings of the Board of Directors in executive session; facilitate discussions, outside of scheduled Board meetings, among the independent directors on key issues as appropriate; and serve as a non-exclusive liaison with the Chairman and CEO, in consultation with the other independent directors.</w:t>
      </w:r>
    </w:p>
    <w:p>
      <w:pPr>
        <w:spacing w:after="0" w:line="65"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Schlumberger’s current governance practices provide for strong independent leadership, active participation by independent directors and 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51" w:lineRule="exact"/>
        <w:rPr>
          <w:sz w:val="20"/>
          <w:szCs w:val="20"/>
          <w:color w:val="auto"/>
        </w:rPr>
      </w:pPr>
    </w:p>
    <w:p>
      <w:pPr>
        <w:jc w:val="both"/>
        <w:ind w:right="180" w:firstLine="456"/>
        <w:spacing w:after="0" w:line="301" w:lineRule="auto"/>
        <w:rPr>
          <w:sz w:val="20"/>
          <w:szCs w:val="20"/>
          <w:color w:val="auto"/>
        </w:rPr>
      </w:pPr>
      <w:r>
        <w:rPr>
          <w:rFonts w:ascii="Times New Roman" w:cs="Times New Roman" w:eastAsia="Times New Roman" w:hAnsi="Times New Roman"/>
          <w:sz w:val="16"/>
          <w:szCs w:val="16"/>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58"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18"/>
          <w:szCs w:val="18"/>
          <w:color w:val="auto"/>
        </w:rPr>
        <w:t>In addition, each of our Board committees considers the risks within its areas of responsibilities. For example, the Finance Committee considers finance-related risks on a quarterly basis and recommends guidelines to control 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Ethics and related corporate policies are reported to the Nominating and Governance Committee and, as appropriate, are reported to the full Board. Once a year, the Deputy General Counsel, Compliance delivers to the full Board a comprehensive Annual Compliance Report. The risks identified within the Compliance and Ethics program are incorporated into the ERC’s enterprise risk management program described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its Committees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During 2012, the Board of Directors held six meetings. Schlumberger has an Audit, a Compensation, a Nominating and Governance, a Finance, and a Science and Technology Committee. During 2012, the Audit Committee met five times; the Compensation Committee met five times; the Finance Committee met three times; the Nominating and Governance Committee met four times; and the Science and Technology Committee met one time.</w:t>
      </w:r>
    </w:p>
    <w:p>
      <w:pPr>
        <w:spacing w:after="0" w:line="51"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Each of our directors attended at least 75% of the meetings of the Board and the committees on which they served in 2012.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of the Committees of the Board of Directors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88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620" w:type="dxa"/>
            <w:vAlign w:val="bottom"/>
            <w:tcBorders>
              <w:top w:val="single" w:sz="8" w:color="auto"/>
              <w:right w:val="single" w:sz="8" w:color="auto"/>
            </w:tcBorders>
            <w:shd w:val="clear" w:color="auto" w:fill="D8D8D8"/>
          </w:tcPr>
          <w:p>
            <w:pPr>
              <w:spacing w:after="0"/>
              <w:rPr>
                <w:sz w:val="12"/>
                <w:szCs w:val="12"/>
                <w:color w:val="auto"/>
              </w:rPr>
            </w:pPr>
          </w:p>
        </w:tc>
        <w:tc>
          <w:tcPr>
            <w:tcW w:w="1820" w:type="dxa"/>
            <w:vAlign w:val="bottom"/>
            <w:tcBorders>
              <w:top w:val="single" w:sz="8" w:color="auto"/>
              <w:right w:val="single" w:sz="8" w:color="auto"/>
            </w:tcBorders>
            <w:shd w:val="clear" w:color="auto" w:fill="D8D8D8"/>
          </w:tcPr>
          <w:p>
            <w:pPr>
              <w:spacing w:after="0"/>
              <w:rPr>
                <w:sz w:val="12"/>
                <w:szCs w:val="12"/>
                <w:color w:val="auto"/>
              </w:rPr>
            </w:pPr>
          </w:p>
        </w:tc>
        <w:tc>
          <w:tcPr>
            <w:tcW w:w="1680" w:type="dxa"/>
            <w:vAlign w:val="bottom"/>
            <w:tcBorders>
              <w:top w:val="single" w:sz="8" w:color="auto"/>
              <w:right w:val="single" w:sz="8" w:color="auto"/>
            </w:tcBorders>
            <w:shd w:val="clear" w:color="auto" w:fill="D8D8D8"/>
          </w:tcPr>
          <w:p>
            <w:pPr>
              <w:jc w:val="center"/>
              <w:ind w:left="281"/>
              <w:spacing w:after="0" w:line="145" w:lineRule="exact"/>
              <w:rPr>
                <w:sz w:val="20"/>
                <w:szCs w:val="20"/>
                <w:color w:val="auto"/>
              </w:rPr>
            </w:pPr>
            <w:r>
              <w:rPr>
                <w:rFonts w:ascii="Times New Roman" w:cs="Times New Roman" w:eastAsia="Times New Roman" w:hAnsi="Times New Roman"/>
                <w:sz w:val="14"/>
                <w:szCs w:val="14"/>
                <w:b w:val="1"/>
                <w:bCs w:val="1"/>
                <w:color w:val="auto"/>
                <w:w w:val="95"/>
              </w:rPr>
              <w:t>Nominating</w:t>
            </w:r>
          </w:p>
        </w:tc>
        <w:tc>
          <w:tcPr>
            <w:tcW w:w="1640" w:type="dxa"/>
            <w:vAlign w:val="bottom"/>
            <w:tcBorders>
              <w:top w:val="single" w:sz="8" w:color="auto"/>
              <w:right w:val="single" w:sz="8" w:color="auto"/>
            </w:tcBorders>
            <w:shd w:val="clear" w:color="auto" w:fill="D8D8D8"/>
          </w:tcPr>
          <w:p>
            <w:pPr>
              <w:spacing w:after="0"/>
              <w:rPr>
                <w:sz w:val="12"/>
                <w:szCs w:val="12"/>
                <w:color w:val="auto"/>
              </w:rPr>
            </w:pPr>
          </w:p>
        </w:tc>
        <w:tc>
          <w:tcPr>
            <w:tcW w:w="180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spacing w:after="0"/>
              <w:rPr>
                <w:sz w:val="12"/>
                <w:szCs w:val="12"/>
                <w:color w:val="auto"/>
              </w:rPr>
            </w:pPr>
          </w:p>
        </w:tc>
        <w:tc>
          <w:tcPr>
            <w:tcW w:w="1820" w:type="dxa"/>
            <w:vAlign w:val="bottom"/>
            <w:tcBorders>
              <w:right w:val="single" w:sz="8" w:color="auto"/>
            </w:tcBorders>
            <w:shd w:val="clear" w:color="auto" w:fill="D8D8D8"/>
          </w:tcPr>
          <w:p>
            <w:pPr>
              <w:spacing w:after="0"/>
              <w:rPr>
                <w:sz w:val="12"/>
                <w:szCs w:val="12"/>
                <w:color w:val="auto"/>
              </w:rPr>
            </w:pPr>
          </w:p>
        </w:tc>
        <w:tc>
          <w:tcPr>
            <w:tcW w:w="1680" w:type="dxa"/>
            <w:vAlign w:val="bottom"/>
            <w:tcBorders>
              <w:right w:val="single" w:sz="8" w:color="auto"/>
            </w:tcBorders>
            <w:shd w:val="clear" w:color="auto" w:fill="D8D8D8"/>
          </w:tcPr>
          <w:p>
            <w:pPr>
              <w:ind w:left="9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40" w:type="dxa"/>
            <w:vAlign w:val="bottom"/>
            <w:tcBorders>
              <w:right w:val="single" w:sz="8" w:color="auto"/>
            </w:tcBorders>
            <w:shd w:val="clear" w:color="auto" w:fill="D8D8D8"/>
          </w:tcPr>
          <w:p>
            <w:pPr>
              <w:spacing w:after="0"/>
              <w:rPr>
                <w:sz w:val="12"/>
                <w:szCs w:val="12"/>
                <w:color w:val="auto"/>
              </w:rPr>
            </w:pPr>
          </w:p>
        </w:tc>
        <w:tc>
          <w:tcPr>
            <w:tcW w:w="1800" w:type="dxa"/>
            <w:vAlign w:val="bottom"/>
            <w:tcBorders>
              <w:right w:val="single" w:sz="8" w:color="auto"/>
            </w:tcBorders>
            <w:shd w:val="clear" w:color="auto" w:fill="D8D8D8"/>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Science and</w:t>
            </w: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Audit</w:t>
            </w:r>
          </w:p>
        </w:tc>
        <w:tc>
          <w:tcPr>
            <w:tcW w:w="1820" w:type="dxa"/>
            <w:vAlign w:val="bottom"/>
            <w:tcBorders>
              <w:right w:val="single" w:sz="8" w:color="auto"/>
            </w:tcBorders>
            <w:shd w:val="clear" w:color="auto" w:fill="D8D8D8"/>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680" w:type="dxa"/>
            <w:vAlign w:val="bottom"/>
            <w:tcBorders>
              <w:right w:val="single" w:sz="8" w:color="auto"/>
            </w:tcBorders>
            <w:shd w:val="clear" w:color="auto" w:fill="D8D8D8"/>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w w:val="96"/>
              </w:rPr>
              <w:t>Governance</w:t>
            </w:r>
          </w:p>
        </w:tc>
        <w:tc>
          <w:tcPr>
            <w:tcW w:w="1640" w:type="dxa"/>
            <w:vAlign w:val="bottom"/>
            <w:tcBorders>
              <w:right w:val="single" w:sz="8" w:color="auto"/>
            </w:tcBorders>
            <w:shd w:val="clear" w:color="auto" w:fill="D8D8D8"/>
          </w:tcPr>
          <w:p>
            <w:pPr>
              <w:jc w:val="center"/>
              <w:ind w:left="2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800" w:type="dxa"/>
            <w:vAlign w:val="bottom"/>
            <w:tcBorders>
              <w:right w:val="single" w:sz="8" w:color="auto"/>
            </w:tcBorders>
            <w:shd w:val="clear" w:color="auto" w:fill="D8D8D8"/>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Technology</w:t>
            </w:r>
          </w:p>
        </w:tc>
      </w:tr>
      <w:tr>
        <w:trPr>
          <w:trHeight w:val="179"/>
        </w:trPr>
        <w:tc>
          <w:tcPr>
            <w:tcW w:w="28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620" w:type="dxa"/>
            <w:vAlign w:val="bottom"/>
            <w:tcBorders>
              <w:bottom w:val="single" w:sz="8" w:color="auto"/>
              <w:right w:val="single" w:sz="8" w:color="auto"/>
            </w:tcBorders>
            <w:shd w:val="clear" w:color="auto" w:fill="D8D8D8"/>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3"/>
              </w:rPr>
              <w:t>Committee</w:t>
            </w:r>
          </w:p>
        </w:tc>
        <w:tc>
          <w:tcPr>
            <w:tcW w:w="1820" w:type="dxa"/>
            <w:vAlign w:val="bottom"/>
            <w:tcBorders>
              <w:bottom w:val="single" w:sz="8" w:color="auto"/>
              <w:right w:val="single" w:sz="8" w:color="auto"/>
            </w:tcBorders>
            <w:shd w:val="clear" w:color="auto" w:fill="D8D8D8"/>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1680" w:type="dxa"/>
            <w:vAlign w:val="bottom"/>
            <w:tcBorders>
              <w:bottom w:val="single" w:sz="8" w:color="auto"/>
              <w:right w:val="single" w:sz="8" w:color="auto"/>
            </w:tcBorders>
            <w:shd w:val="clear" w:color="auto" w:fill="D8D8D8"/>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1640" w:type="dxa"/>
            <w:vAlign w:val="bottom"/>
            <w:tcBorders>
              <w:bottom w:val="single" w:sz="8" w:color="auto"/>
              <w:right w:val="single" w:sz="8" w:color="auto"/>
            </w:tcBorders>
            <w:shd w:val="clear" w:color="auto" w:fill="D8D8D8"/>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3"/>
              </w:rPr>
              <w:t>Committee</w:t>
            </w:r>
          </w:p>
        </w:tc>
        <w:tc>
          <w:tcPr>
            <w:tcW w:w="1800" w:type="dxa"/>
            <w:vAlign w:val="bottom"/>
            <w:tcBorders>
              <w:bottom w:val="single" w:sz="8" w:color="auto"/>
              <w:right w:val="single" w:sz="8" w:color="auto"/>
            </w:tcBorders>
            <w:shd w:val="clear" w:color="auto" w:fill="D8D8D8"/>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3"/>
              </w:rPr>
              <w:t>Committee</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L.S. Currie</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w w:val="94"/>
              </w:rPr>
              <w:t>Chair</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Tony Isaac</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Chair</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 Vaman Kamath</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color w:val="auto"/>
                <w:w w:val="94"/>
              </w:rPr>
              <w:t>Chair</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Paal Kibsgaard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Nikolay Kudryavtsev</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Times New Roman" w:cs="Times New Roman" w:eastAsia="Times New Roman" w:hAnsi="Times New Roman"/>
                <w:sz w:val="18"/>
                <w:szCs w:val="18"/>
                <w:color w:val="auto"/>
                <w:w w:val="91"/>
              </w:rPr>
              <w:t>X</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Adrian Lajous</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E. Marks</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w w:val="94"/>
              </w:rPr>
              <w:t>Chair</w:t>
            </w:r>
          </w:p>
        </w:tc>
        <w:tc>
          <w:tcPr>
            <w:tcW w:w="168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Elizabeth A. Moler</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Lubna S. Olayan</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 Rafael Reif</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Tore I. Sandvold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Henri Seydoux</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consists of four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55"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and qualification of the Company’s independent registered public accounting firm;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stockholder approval the independent registered public accounting firm to audit the accounts of the Company for the year;</w:t>
      </w:r>
    </w:p>
    <w:p>
      <w:pPr>
        <w:spacing w:after="0" w:line="90"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independent registered public accounting firm the scope and results of its audit, and any audit issues or difficulties and management’s response;</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Schlumberger’s risk assessment and risk management policies;</w:t>
      </w:r>
    </w:p>
    <w:p>
      <w:pPr>
        <w:spacing w:after="0" w:line="90" w:lineRule="exact"/>
        <w:rPr>
          <w:rFonts w:ascii="Times New Roman" w:cs="Times New Roman" w:eastAsia="Times New Roman" w:hAnsi="Times New Roman"/>
          <w:sz w:val="18"/>
          <w:szCs w:val="18"/>
          <w:color w:val="auto"/>
        </w:rPr>
      </w:pPr>
    </w:p>
    <w:p>
      <w:pPr>
        <w:ind w:left="780" w:right="64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Schlumberger’s annual audited financial statements and quarterly unaudited financial statements with management and the Company’s independent registered public accounting firm;</w:t>
      </w:r>
    </w:p>
    <w:p>
      <w:pPr>
        <w:spacing w:after="0" w:line="38"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registered public accounting firm Schlumberger’s earnings press releases;</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40"/>
          </w:cols>
          <w:pgMar w:left="240" w:top="455" w:right="2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72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38" w:lineRule="exact"/>
        <w:rPr>
          <w:rFonts w:ascii="Times New Roman" w:cs="Times New Roman" w:eastAsia="Times New Roman" w:hAnsi="Times New Roman"/>
          <w:sz w:val="18"/>
          <w:szCs w:val="18"/>
          <w:color w:val="auto"/>
        </w:rPr>
      </w:pPr>
    </w:p>
    <w:p>
      <w:pPr>
        <w:ind w:left="780" w:right="240" w:hanging="326"/>
        <w:spacing w:after="0" w:line="334" w:lineRule="auto"/>
        <w:tabs>
          <w:tab w:leader="none" w:pos="7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annual audit committee report for Schlumberger’s annual proxy statement.</w:t>
      </w:r>
    </w:p>
    <w:p>
      <w:pPr>
        <w:spacing w:after="0" w:line="90" w:lineRule="exact"/>
        <w:rPr>
          <w:sz w:val="20"/>
          <w:szCs w:val="20"/>
          <w:color w:val="auto"/>
        </w:rPr>
      </w:pPr>
    </w:p>
    <w:p>
      <w:pPr>
        <w:ind w:right="1000" w:firstLine="456"/>
        <w:spacing w:after="0" w:line="27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each Committee member has sufficient knowledge in financial and auditing matters to serve on the Committee. In addition, the Board of Directors has determined that Messrs. Currie, Kamath and Lajous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58" w:lineRule="exact"/>
        <w:rPr>
          <w:sz w:val="20"/>
          <w:szCs w:val="20"/>
          <w:color w:val="auto"/>
        </w:rPr>
      </w:pPr>
    </w:p>
    <w:p>
      <w:pPr>
        <w:ind w:left="780" w:right="6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38"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appropriate peer companies against which the Company’s executive compensation is compared;</w:t>
      </w:r>
    </w:p>
    <w:p>
      <w:pPr>
        <w:spacing w:after="0" w:line="90" w:lineRule="exact"/>
        <w:rPr>
          <w:rFonts w:ascii="Times New Roman" w:cs="Times New Roman" w:eastAsia="Times New Roman" w:hAnsi="Times New Roman"/>
          <w:sz w:val="18"/>
          <w:szCs w:val="18"/>
          <w:color w:val="auto"/>
        </w:rPr>
      </w:pPr>
    </w:p>
    <w:p>
      <w:pPr>
        <w:ind w:left="780" w:right="72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incentive compensation and equity-based plans, and advise management and the Board of Directors on the design and structure of the Company’s compensation and benefits programs and policies, and recommend changes to the Board;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make awards under the Company’s stock option plans and review and approve annual stock allocation under those plans;</w:t>
      </w:r>
    </w:p>
    <w:p>
      <w:pPr>
        <w:spacing w:after="0" w:line="90" w:lineRule="exact"/>
        <w:rPr>
          <w:rFonts w:ascii="Times New Roman" w:cs="Times New Roman" w:eastAsia="Times New Roman" w:hAnsi="Times New Roman"/>
          <w:sz w:val="18"/>
          <w:szCs w:val="18"/>
          <w:color w:val="auto"/>
        </w:rPr>
      </w:pPr>
    </w:p>
    <w:p>
      <w:pPr>
        <w:ind w:left="780" w:right="76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38"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38"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people-related strategies and initiatives, such as recruitment, retention and diversity management;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stock ownership guidelines for executive officers and other key position holders;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180" w:hanging="326"/>
        <w:spacing w:after="0" w:line="275"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management the Compensation Discussion and Analysis (“CD&amp;A”) to be included in the Company’s annual proxy statement;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Compensation Committee Report recommending to the Board that the CD&amp;A be included in the Company’s annual proxy statement.</w:t>
      </w:r>
    </w:p>
    <w:p>
      <w:pPr>
        <w:spacing w:after="0" w:line="9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5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Role of the Independent Consultant. </w:t>
      </w:r>
      <w:r>
        <w:rPr>
          <w:rFonts w:ascii="Times New Roman" w:cs="Times New Roman" w:eastAsia="Times New Roman" w:hAnsi="Times New Roman"/>
          <w:sz w:val="18"/>
          <w:szCs w:val="18"/>
          <w:color w:val="auto"/>
        </w:rPr>
        <w:t>The Compensation Committee has retained Pay Governance LLC (“Pay Governance”) as its independent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July and October meetings. One of the purposes of the July meeting is to assess compensation decisions made in January of that year in light of comparative data to date; one of the purposes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director compensation matters. Pay Governance prepares an analysis of competitive non-employee director compensation levels and market trends using the same peer groups as those used in the executive compensation review.</w:t>
      </w:r>
    </w:p>
    <w:p>
      <w:pPr>
        <w:spacing w:after="0" w:line="58"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Pay Governance pursuant to SEC rules and concluded that its work did not raise any conflict of interest that would prevent Pay Governance from independently representing the Compensation Committee.</w:t>
      </w:r>
    </w:p>
    <w:p>
      <w:pPr>
        <w:spacing w:after="0" w:line="3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Procedure for Determining Executive Compensation; Role of Management. </w:t>
      </w:r>
      <w:r>
        <w:rPr>
          <w:rFonts w:ascii="Times New Roman" w:cs="Times New Roman" w:eastAsia="Times New Roman" w:hAnsi="Times New Roman"/>
          <w:sz w:val="18"/>
          <w:szCs w:val="18"/>
          <w:color w:val="auto"/>
        </w:rPr>
        <w:t>The Compensation Committee evaluates all elements of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2012—Relative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approximate timing of significant compensation events: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Event</w:t>
            </w:r>
          </w:p>
        </w:tc>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Timing</w:t>
            </w:r>
          </w:p>
        </w:tc>
      </w:tr>
      <w:tr>
        <w:trPr>
          <w:trHeight w:val="222"/>
        </w:trPr>
        <w:tc>
          <w:tcPr>
            <w:tcW w:w="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Establish Company financial objective(s)</w:t>
            </w:r>
          </w:p>
        </w:tc>
        <w:tc>
          <w:tcPr>
            <w:tcW w:w="2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of each fiscal year for current year</w:t>
            </w:r>
          </w:p>
        </w:tc>
      </w:tr>
      <w:tr>
        <w:trPr>
          <w:trHeight w:val="3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Establish executive officer personal objectives</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Early in the first quarter of the fiscal year for current year</w:t>
            </w:r>
          </w:p>
        </w:tc>
      </w:tr>
      <w:tr>
        <w:trPr>
          <w:trHeight w:val="312"/>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 competitive assessment to determine how Schlumberger’s compensation</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July of each fiscal year for current year</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decisions compared to decisions made by companies included in the</w:t>
            </w:r>
          </w:p>
        </w:tc>
        <w:tc>
          <w:tcPr>
            <w:tcW w:w="5480" w:type="dxa"/>
            <w:vAlign w:val="bottom"/>
          </w:tcPr>
          <w:p>
            <w:pPr>
              <w:spacing w:after="0"/>
              <w:rPr>
                <w:sz w:val="18"/>
                <w:szCs w:val="18"/>
                <w:color w:val="auto"/>
              </w:rPr>
            </w:pPr>
          </w:p>
        </w:tc>
      </w:tr>
      <w:tr>
        <w:trPr>
          <w:trHeight w:val="22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surveys</w:t>
            </w:r>
          </w:p>
        </w:tc>
        <w:tc>
          <w:tcPr>
            <w:tcW w:w="5480" w:type="dxa"/>
            <w:vAlign w:val="bottom"/>
          </w:tcPr>
          <w:p>
            <w:pPr>
              <w:spacing w:after="0"/>
              <w:rPr>
                <w:sz w:val="19"/>
                <w:szCs w:val="19"/>
                <w:color w:val="auto"/>
              </w:rPr>
            </w:pPr>
          </w:p>
        </w:tc>
      </w:tr>
      <w:tr>
        <w:trPr>
          <w:trHeight w:val="312"/>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compensation consultant provides analysis for the Compensation</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October of each year for compensation in the following fiscal year</w:t>
            </w:r>
          </w:p>
        </w:tc>
      </w:tr>
      <w:tr>
        <w:trPr>
          <w:trHeight w:val="22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 to evaluate executive compensation</w:t>
            </w:r>
          </w:p>
        </w:tc>
        <w:tc>
          <w:tcPr>
            <w:tcW w:w="5480" w:type="dxa"/>
            <w:vAlign w:val="bottom"/>
          </w:tcPr>
          <w:p>
            <w:pPr>
              <w:spacing w:after="0"/>
              <w:rPr>
                <w:sz w:val="19"/>
                <w:szCs w:val="19"/>
                <w:color w:val="auto"/>
              </w:rPr>
            </w:pPr>
          </w:p>
        </w:tc>
      </w:tr>
    </w:tbl>
    <w:p>
      <w:pPr>
        <w:spacing w:after="0" w:line="96"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line="339" w:lineRule="auto"/>
        <w:rPr>
          <w:sz w:val="20"/>
          <w:szCs w:val="20"/>
          <w:color w:val="auto"/>
        </w:rPr>
      </w:pPr>
      <w:r>
        <w:rPr>
          <w:rFonts w:ascii="Times New Roman" w:cs="Times New Roman" w:eastAsia="Times New Roman" w:hAnsi="Times New Roman"/>
          <w:sz w:val="16"/>
          <w:szCs w:val="16"/>
          <w:color w:val="auto"/>
        </w:rPr>
        <w:t>Evaluate executive performance (achievement of objectives established in previous fiscal year) and recommend compensation based on those results</w:t>
      </w:r>
    </w:p>
    <w:p>
      <w:pPr>
        <w:spacing w:after="0" w:line="20" w:lineRule="exact"/>
        <w:rPr>
          <w:sz w:val="20"/>
          <w:szCs w:val="20"/>
          <w:color w:val="auto"/>
        </w:rPr>
      </w:pPr>
      <w:r>
        <w:rPr>
          <w:sz w:val="20"/>
          <w:szCs w:val="20"/>
          <w:color w:val="auto"/>
        </w:rPr>
        <w:br w:type="column"/>
      </w:r>
    </w:p>
    <w:p>
      <w:pPr>
        <w:ind w:right="160"/>
        <w:spacing w:after="0" w:line="262" w:lineRule="auto"/>
        <w:rPr>
          <w:sz w:val="20"/>
          <w:szCs w:val="20"/>
          <w:color w:val="auto"/>
        </w:rPr>
      </w:pPr>
      <w:r>
        <w:rPr>
          <w:rFonts w:ascii="Times New Roman" w:cs="Times New Roman" w:eastAsia="Times New Roman" w:hAnsi="Times New Roman"/>
          <w:sz w:val="18"/>
          <w:szCs w:val="18"/>
          <w:color w:val="auto"/>
        </w:rPr>
        <w:t>Results approved in January of each fiscal year for annual cash incentive compensation with respect to prior year. The incentive earned in prior fiscal year is paid in February of the current fiscal year.</w:t>
      </w:r>
    </w:p>
    <w:p>
      <w:pPr>
        <w:spacing w:after="0" w:line="78" w:lineRule="exact"/>
        <w:rPr>
          <w:sz w:val="20"/>
          <w:szCs w:val="20"/>
          <w:color w:val="auto"/>
        </w:rPr>
      </w:pPr>
    </w:p>
    <w:p>
      <w:pPr>
        <w:sectPr>
          <w:pgSz w:w="11900" w:h="16838" w:orient="portrait"/>
          <w:cols w:equalWidth="0" w:num="2">
            <w:col w:w="5220" w:space="720"/>
            <w:col w:w="5480"/>
          </w:cols>
          <w:pgMar w:left="240" w:top="455" w:right="239" w:bottom="1440" w:gutter="0" w:footer="0" w:header="0"/>
          <w:type w:val="continuous"/>
        </w:sectPr>
      </w:pPr>
    </w:p>
    <w:p>
      <w:pPr>
        <w:ind w:left="5940" w:right="160" w:hanging="5928"/>
        <w:spacing w:after="0" w:line="275" w:lineRule="auto"/>
        <w:tabs>
          <w:tab w:leader="none" w:pos="5920" w:val="left"/>
        </w:tabs>
        <w:rPr>
          <w:sz w:val="20"/>
          <w:szCs w:val="20"/>
          <w:color w:val="auto"/>
        </w:rPr>
      </w:pPr>
      <w:r>
        <w:rPr>
          <w:rFonts w:ascii="Times New Roman" w:cs="Times New Roman" w:eastAsia="Times New Roman" w:hAnsi="Times New Roman"/>
          <w:sz w:val="18"/>
          <w:szCs w:val="18"/>
          <w:color w:val="auto"/>
        </w:rPr>
        <w:t>Review and recommend executive base salary and determine equity-based grants</w:t>
        <w:tab/>
        <w:t>January of each fiscal year for base salary for that year and for equity-based grants</w:t>
      </w:r>
    </w:p>
    <w:p>
      <w:pPr>
        <w:spacing w:after="0" w:line="39" w:lineRule="exact"/>
        <w:rPr>
          <w:sz w:val="20"/>
          <w:szCs w:val="20"/>
          <w:color w:val="auto"/>
        </w:rPr>
      </w:pPr>
    </w:p>
    <w:p>
      <w:pPr>
        <w:ind w:right="272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operates pursuant to a written charter, which is available on the Company’s website at http://www.slb.com/about/guiding_principles/corpgovernance/compensation_committee.aspx.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consists of five directors, each of whom meets the independence requirements of the NYSE’s listing standards. The authority and responsibilities of the Nominating and Governance Committee include the following:</w:t>
      </w:r>
    </w:p>
    <w:p>
      <w:pPr>
        <w:spacing w:after="0" w:line="39"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search for individuals qualified to become members of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suitability of potential nominees for membership on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qualifications and criteria taken into consideration in the evaluation of potential nominees for membership on the Board;</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38"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38"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direct and indirect relationships of members of the Board with the Company or its management and assist the Board with its determination of the independence of its members;</w:t>
      </w:r>
    </w:p>
    <w:p>
      <w:pPr>
        <w:spacing w:after="0" w:line="38" w:lineRule="exact"/>
        <w:rPr>
          <w:rFonts w:ascii="Times New Roman" w:cs="Times New Roman" w:eastAsia="Times New Roman" w:hAnsi="Times New Roman"/>
          <w:sz w:val="18"/>
          <w:szCs w:val="18"/>
          <w:color w:val="auto"/>
        </w:rPr>
      </w:pPr>
    </w:p>
    <w:p>
      <w:pPr>
        <w:ind w:left="780" w:right="420" w:hanging="326"/>
        <w:spacing w:after="0" w:line="26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functions of the Committee under the Company’s Policy with respect to Related Person Transactions;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review the Company’s Ethics and Compliance Program;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regarding its process for evaluating the effectiveness of the Board and its committees;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assessment of Board effectiveness and report to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make recommendations to the Board regarding new director orientation and director continuing education;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recommend to the Board committee membership and chairs, and review periodically with the Board committee rotation practices;</w:t>
      </w:r>
    </w:p>
    <w:p>
      <w:pPr>
        <w:spacing w:after="0" w:line="90" w:lineRule="exact"/>
        <w:rPr>
          <w:rFonts w:ascii="Times New Roman" w:cs="Times New Roman" w:eastAsia="Times New Roman" w:hAnsi="Times New Roman"/>
          <w:sz w:val="18"/>
          <w:szCs w:val="18"/>
          <w:color w:val="auto"/>
        </w:rPr>
      </w:pPr>
    </w:p>
    <w:p>
      <w:pPr>
        <w:ind w:left="780" w:right="100" w:hanging="326"/>
        <w:spacing w:after="0" w:line="26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on succession planning.</w:t>
      </w:r>
    </w:p>
    <w:p>
      <w:pPr>
        <w:spacing w:after="0" w:line="90" w:lineRule="exact"/>
        <w:rPr>
          <w:sz w:val="20"/>
          <w:szCs w:val="20"/>
          <w:color w:val="auto"/>
        </w:rPr>
      </w:pPr>
    </w:p>
    <w:p>
      <w:pPr>
        <w:ind w:right="1700" w:firstLine="456"/>
        <w:spacing w:after="0" w:line="275" w:lineRule="auto"/>
        <w:rPr>
          <w:sz w:val="20"/>
          <w:szCs w:val="20"/>
          <w:color w:val="auto"/>
        </w:rPr>
      </w:pPr>
      <w:r>
        <w:rPr>
          <w:rFonts w:ascii="Times New Roman" w:cs="Times New Roman" w:eastAsia="Times New Roman" w:hAnsi="Times New Roman"/>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17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39" w:lineRule="exact"/>
        <w:rPr>
          <w:sz w:val="20"/>
          <w:szCs w:val="20"/>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investment and derivative guidelines for the cash and currency exposures of the Company and its subsidiaries;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actual and projected financial situation and capital needs of the Company as needed, regarding:</w:t>
      </w:r>
    </w:p>
    <w:p>
      <w:pPr>
        <w:spacing w:after="0" w:line="90" w:lineRule="exact"/>
        <w:rPr>
          <w:rFonts w:ascii="Times New Roman" w:cs="Times New Roman" w:eastAsia="Times New Roman" w:hAnsi="Times New Roman"/>
          <w:sz w:val="18"/>
          <w:szCs w:val="18"/>
          <w:color w:val="auto"/>
        </w:rPr>
      </w:pPr>
    </w:p>
    <w:p>
      <w:pPr>
        <w:ind w:left="1480" w:right="820" w:hanging="446"/>
        <w:spacing w:after="0" w:line="275"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 including the respective level of debt and equity, the sources of financing and equity and the Company’s financial ratios and credit rating policy;</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dividend policy; and</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repurchase of Company stock;</w:t>
      </w:r>
    </w:p>
    <w:p>
      <w:pPr>
        <w:spacing w:after="0" w:line="9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insurance principles and coverage of the Company and its subsidiaries, as well as financing risks, including those associated with currency and interest rates;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investor relations and stockholder services of the Company;</w:t>
      </w:r>
    </w:p>
    <w:p>
      <w:pPr>
        <w:spacing w:after="0" w:line="90"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financial aspects of any acquisitions submitted to the Board and, as delegated to the Finance Committee by the Board, review and approve any acquisitions covered by such delegation;</w:t>
      </w:r>
    </w:p>
    <w:p>
      <w:pPr>
        <w:spacing w:after="0" w:line="38"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administration of the employee benefit plans of the Company and the performance of fiduciary responsibilities of the administrators of the plans;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 as the Finance Committee for pension and profit-sharing trusts as required by U.S. law.</w:t>
      </w:r>
    </w:p>
    <w:p>
      <w:pPr>
        <w:spacing w:after="0" w:line="90" w:lineRule="exact"/>
        <w:rPr>
          <w:sz w:val="20"/>
          <w:szCs w:val="20"/>
          <w:color w:val="auto"/>
        </w:rPr>
      </w:pPr>
    </w:p>
    <w:p>
      <w:pPr>
        <w:ind w:right="3160" w:firstLine="456"/>
        <w:spacing w:after="0" w:line="275" w:lineRule="auto"/>
        <w:rPr>
          <w:sz w:val="20"/>
          <w:szCs w:val="20"/>
          <w:color w:val="auto"/>
        </w:rPr>
      </w:pPr>
      <w:r>
        <w:rPr>
          <w:rFonts w:ascii="Times New Roman" w:cs="Times New Roman" w:eastAsia="Times New Roman" w:hAnsi="Times New Roman"/>
          <w:sz w:val="18"/>
          <w:szCs w:val="18"/>
          <w:color w:val="auto"/>
        </w:rPr>
        <w:t>The Finance Committee operates pursuant to a written charter, which is available on the Company’s website at http://www.slb.com/about/guiding_principles/corpgovernance/finance_committee.aspx.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7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39" w:lineRule="exact"/>
        <w:rPr>
          <w:sz w:val="20"/>
          <w:szCs w:val="20"/>
          <w:color w:val="auto"/>
        </w:rPr>
      </w:pPr>
    </w:p>
    <w:p>
      <w:pPr>
        <w:ind w:left="780" w:right="40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advise the Board and management regarding the long-term strategic goals and objectives and the quality and direction of the Company’s research and development programs;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420" w:hanging="326"/>
        <w:spacing w:after="0" w:line="275"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advise the Board and management on the Company’s major technology positions and strategies relative to emerging technologies and changing market requirements;</w:t>
      </w:r>
    </w:p>
    <w:p>
      <w:pPr>
        <w:spacing w:after="0" w:line="38"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evaluate trends in research and development, and recommend to the Board and management emerging technologies for building the Company’s technological strength;</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approaches to acquiring and maintaining technology positions;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and management on the scientific aspects of major acquisitions and business development transactions;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with its oversight responsibility for enterprise risk management in areas affecting the Company’s research and development.</w:t>
      </w:r>
    </w:p>
    <w:p>
      <w:pPr>
        <w:spacing w:after="0" w:line="90" w:lineRule="exact"/>
        <w:rPr>
          <w:sz w:val="20"/>
          <w:szCs w:val="20"/>
          <w:color w:val="auto"/>
        </w:rPr>
      </w:pPr>
    </w:p>
    <w:p>
      <w:pPr>
        <w:ind w:right="2000" w:firstLine="456"/>
        <w:spacing w:after="0" w:line="275" w:lineRule="auto"/>
        <w:rPr>
          <w:sz w:val="20"/>
          <w:szCs w:val="20"/>
          <w:color w:val="auto"/>
        </w:rPr>
      </w:pPr>
      <w:r>
        <w:rPr>
          <w:rFonts w:ascii="Times New Roman" w:cs="Times New Roman" w:eastAsia="Times New Roman" w:hAnsi="Times New Roman"/>
          <w:sz w:val="18"/>
          <w:szCs w:val="18"/>
          <w:color w:val="auto"/>
        </w:rPr>
        <w:t>The Science and Technology Committee operates pursuant to a written charter, which is available on the Company’s website at http://www.slb.com/about/guiding_principles/corpgovernance/tech_committee.aspx.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73"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the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such communications will be forwarded to the Board member or members specified.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General Meeting</w:t>
      </w:r>
    </w:p>
    <w:p>
      <w:pPr>
        <w:spacing w:after="0" w:line="173"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None of the directors attended the annual general meeting of stockholders in 2012, which was held in Curaçao as required by Curaçao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Approval of Related Person Transactions</w:t>
      </w:r>
    </w:p>
    <w:p>
      <w:pPr>
        <w:spacing w:after="0" w:line="173"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16"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participant;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has a direct or indirect material interest;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$120,000, but excludes any transaction that does not require disclosure under Item 404(a) of SEC Regulation S-K.</w:t>
      </w:r>
    </w:p>
    <w:p>
      <w:pPr>
        <w:spacing w:after="0" w:line="9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2012, there were no related person transactions under the relevant standards.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Ethics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240" w:top="455" w:right="6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ITEM 2. ADVISORY RESOLUTION TO APPROVE EXECUTIVE COMPENSATION</w:t>
      </w:r>
    </w:p>
    <w:p>
      <w:pPr>
        <w:spacing w:after="0" w:line="17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51"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motivate and retain talented executive officers;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motivate progress toward Company-wide financial and personal objectives while balancing rewards for short-term and long-term performance; and</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executive officers with those of stockholders.</w:t>
      </w:r>
    </w:p>
    <w:p>
      <w:pPr>
        <w:spacing w:after="0" w:line="9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urge stockholders to read the “Compensation Discussion and Analysis” beginning on page 21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39 through 53,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5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stockholders to approve the following advisory resolution at the 2013 annual general meeting of stockholders:</w:t>
      </w:r>
    </w:p>
    <w:p>
      <w:pPr>
        <w:spacing w:after="0" w:line="39"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2013 annual general meeting of stockholders.</w:t>
      </w:r>
    </w:p>
    <w:p>
      <w:pPr>
        <w:spacing w:after="0" w:line="51" w:lineRule="exact"/>
        <w:rPr>
          <w:sz w:val="20"/>
          <w:szCs w:val="20"/>
          <w:color w:val="auto"/>
        </w:rPr>
      </w:pPr>
    </w:p>
    <w:p>
      <w:pPr>
        <w:ind w:right="140" w:firstLine="456"/>
        <w:spacing w:after="0" w:line="334" w:lineRule="auto"/>
        <w:rPr>
          <w:sz w:val="20"/>
          <w:szCs w:val="20"/>
          <w:color w:val="auto"/>
        </w:rPr>
      </w:pPr>
      <w:r>
        <w:rPr>
          <w:rFonts w:ascii="Times New Roman" w:cs="Times New Roman" w:eastAsia="Times New Roman" w:hAnsi="Times New Roman"/>
          <w:sz w:val="16"/>
          <w:szCs w:val="16"/>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has adopted a policy providing for an annual “say-on-pay” advisory votes. Unless the Board of Directors modifies its policy on the frequency of holding “say-on-pay” advisory votes, the next “say-on-pay” advisory vote will occur in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1"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A majority of the votes cast is required to approve this Item 2. </w:t>
      </w:r>
      <w:r>
        <w:rPr>
          <w:rFonts w:ascii="Times New Roman" w:cs="Times New Roman" w:eastAsia="Times New Roman" w:hAnsi="Times New Roman"/>
          <w:sz w:val="18"/>
          <w:szCs w:val="18"/>
          <w:i w:val="1"/>
          <w:iCs w:val="1"/>
          <w:color w:val="auto"/>
        </w:rPr>
        <w:t>Brokers do not have discretion to vote on this proposal without your instruction. If you 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instruct your broker how to vote on this proposal, your broker will deliver a non-vote on this proposal.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2.</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2012 affecting 2012 base salaries and long-term equity incentives (“LTIs”), as well as annual cash incentive awards earned in 2012 but paid in February 2013.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Executive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Overview</w:t>
      </w:r>
    </w:p>
    <w:p>
      <w:pPr>
        <w:spacing w:after="0" w:line="175"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Schlumberger delivered strong results in 2012, with all three of our Product Groups recording double-digit revenue growth amid an uncertain and challenging world macroeconomic environment. Highlights of our performance include:</w:t>
      </w:r>
    </w:p>
    <w:p>
      <w:pPr>
        <w:spacing w:after="0" w:line="39" w:lineRule="exact"/>
        <w:rPr>
          <w:sz w:val="20"/>
          <w:szCs w:val="20"/>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record full-year revenue of $42.15 billion in 2012, an increase of 14% over full-year 2011;</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 grew by $4 billion, or 16%;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revenue grew by 9% over 2011, a result of strong offshore activity in the Gulf of Mexico amid a challenging land market; and</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annual dividend per share by 10% in 2012, from $1.00 per share to $1.10 per share, and returned approximately $2.4 billion to our stockholders in 2012 through dividends and stock repurchases.</w:t>
      </w:r>
    </w:p>
    <w:p>
      <w:pPr>
        <w:spacing w:after="0" w:line="39" w:lineRule="exact"/>
        <w:rPr>
          <w:sz w:val="20"/>
          <w:szCs w:val="20"/>
          <w:color w:val="auto"/>
        </w:rPr>
      </w:pPr>
    </w:p>
    <w:p>
      <w:pPr>
        <w:ind w:right="200" w:firstLine="456"/>
        <w:spacing w:after="0" w:line="334" w:lineRule="auto"/>
        <w:rPr>
          <w:sz w:val="20"/>
          <w:szCs w:val="20"/>
          <w:color w:val="auto"/>
        </w:rPr>
      </w:pPr>
      <w:r>
        <w:rPr>
          <w:rFonts w:ascii="Times New Roman" w:cs="Times New Roman" w:eastAsia="Times New Roman" w:hAnsi="Times New Roman"/>
          <w:sz w:val="16"/>
          <w:szCs w:val="16"/>
          <w:color w:val="auto"/>
        </w:rPr>
        <w:t>Schlumberger management also took several other key operational, strategic and economic measures in 2012 to continue to better position the Company for the long-term. Schlumberger’s executives achieved the following goals, among others, many of which were also aligned with their individual objectives:</w:t>
      </w:r>
    </w:p>
    <w:p>
      <w:pPr>
        <w:spacing w:after="0" w:line="1" w:lineRule="exact"/>
        <w:rPr>
          <w:sz w:val="20"/>
          <w:szCs w:val="20"/>
          <w:color w:val="auto"/>
        </w:rPr>
      </w:pPr>
    </w:p>
    <w:p>
      <w:pPr>
        <w:ind w:left="780" w:right="240" w:hanging="326"/>
        <w:spacing w:after="0" w:line="275"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2012, Schlumberger entered into a key strategic agreement with Cameron International Corporation with respect to the formation of a joint venture to manufacture and develop products, systems and services for the subsea oil and gas market;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Schlumberger’s technology leadership by investing approximately $1.2 billion in research and engineering;</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valuable technical employees;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mechanisms necessary to keep costs in line with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Overview</w:t>
      </w:r>
    </w:p>
    <w:p>
      <w:pPr>
        <w:spacing w:after="0" w:line="17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Schlumberger’s success in delivering strong stockholder returns is a result of attracting, developing and retaining the best talent globally. A competitive compensation package is critical to this objective and to this end, the Compensation Committee generally seeks to compensate our named executive officers between the 50th and 75th percentiles of the Company’s two executive compensation peer groups. This range is only a guide, and the Compensation Committee retains the flexibility to set elements of target compensation at higher percentiles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 Elements of our executives’ total direct compensation and actual payments may be below median as a result of our pay-for-performance philosophy, as discussed below with respect to the Company’s annual cash incentive.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executive compensation program is multi-faceted and is designed to achieve a number of goals, as detailed in this CD&amp;A. The following is a summary of some of our compensation practices and policies that demonstrate important aspects of Schlumberger’s culture and values.</w:t>
      </w:r>
    </w:p>
    <w:p>
      <w:pPr>
        <w:spacing w:after="0" w:line="39" w:lineRule="exact"/>
        <w:rPr>
          <w:sz w:val="20"/>
          <w:szCs w:val="20"/>
          <w:color w:val="auto"/>
        </w:rPr>
      </w:pPr>
    </w:p>
    <w:p>
      <w:pPr>
        <w:ind w:left="780" w:right="16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elements of our compensation program are base salary; annual cash incentive, which is based upon performance against pre-established financial and individual goals; and long-term equity incentives.</w:t>
      </w:r>
    </w:p>
    <w:p>
      <w:pPr>
        <w:spacing w:after="0" w:line="38"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executive pay is in the form of variable compensation that is at risk, in order to align executive compensation with the Company’s business strategy and create long-term stockholder value.</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no employment, severance or change-in-control agreements for our named executive officers.</w:t>
      </w:r>
    </w:p>
    <w:p>
      <w:pPr>
        <w:spacing w:after="0" w:line="90" w:lineRule="exact"/>
        <w:rPr>
          <w:rFonts w:ascii="Times New Roman" w:cs="Times New Roman" w:eastAsia="Times New Roman" w:hAnsi="Times New Roman"/>
          <w:sz w:val="18"/>
          <w:szCs w:val="18"/>
          <w:color w:val="auto"/>
        </w:rPr>
      </w:pPr>
    </w:p>
    <w:p>
      <w:pPr>
        <w:ind w:left="780" w:right="20" w:hanging="326"/>
        <w:spacing w:after="0" w:line="301" w:lineRule="auto"/>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executive stock ownership guidelines provide that our CEO must own shares of our common stock equal to at least 6 times his annual base salary; our executive vice presidents, including our CFO, must own at least 3 times their annual base salary; and all other executive officers (non-EVP) must own at least 2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22" w:lineRule="exact"/>
        <w:rPr>
          <w:rFonts w:ascii="Times New Roman" w:cs="Times New Roman" w:eastAsia="Times New Roman" w:hAnsi="Times New Roman"/>
          <w:sz w:val="16"/>
          <w:szCs w:val="16"/>
          <w:color w:val="auto"/>
        </w:rPr>
      </w:pPr>
    </w:p>
    <w:p>
      <w:pPr>
        <w:ind w:left="780" w:right="76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38" w:lineRule="exact"/>
        <w:rPr>
          <w:rFonts w:ascii="Times New Roman" w:cs="Times New Roman" w:eastAsia="Times New Roman" w:hAnsi="Times New Roman"/>
          <w:sz w:val="18"/>
          <w:szCs w:val="18"/>
          <w:color w:val="auto"/>
        </w:rPr>
      </w:pPr>
    </w:p>
    <w:p>
      <w:pPr>
        <w:ind w:left="780" w:right="30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recovery, or “clawback,” policy that allows our Board to recoup performance-based cash awards in the event of specified restatements of financial results.</w:t>
      </w:r>
    </w:p>
    <w:p>
      <w:pPr>
        <w:spacing w:after="0" w:line="38" w:lineRule="exact"/>
        <w:rPr>
          <w:rFonts w:ascii="Times New Roman" w:cs="Times New Roman" w:eastAsia="Times New Roman" w:hAnsi="Times New Roman"/>
          <w:sz w:val="18"/>
          <w:szCs w:val="18"/>
          <w:color w:val="auto"/>
        </w:rPr>
      </w:pPr>
    </w:p>
    <w:p>
      <w:pPr>
        <w:ind w:left="780" w:right="240" w:hanging="326"/>
        <w:spacing w:after="0" w:line="301" w:lineRule="auto"/>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directors and executive officers are prohibited from hedging their ownership of Schlumberger stock, including trading in options, puts, calls, or other derivative instruments related to our securities. Furthermore, our directors and executive officers are prohibited from pledging, or using as collateral, their Schlumberger stock in order to secure personal loans or other obligations, which includes holding shares of our common stock in a margin account. As of the date of this proxy statement, none of the shares owned by our directors or executive officers are subject to any pledge.</w:t>
      </w:r>
    </w:p>
    <w:p>
      <w:pPr>
        <w:spacing w:after="0" w:line="22"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2013, we will be granting performance stock units to certain of our executive officers, including our named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Decisions for 2012</w:t>
      </w:r>
    </w:p>
    <w:p>
      <w:pPr>
        <w:spacing w:after="0" w:line="175"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main elements and goals of Schlumberger’s executive compensation program did not change from fiscal year 2011. The Compensation Committee continued to focus on achieving the right mix and level of compensation to retain and motivate our top executives through a year that was marked by uncertain business conditions.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actions taken by the Compensation Committee in 2012:</w:t>
      </w:r>
    </w:p>
    <w:p>
      <w:pPr>
        <w:spacing w:after="0" w:line="90" w:lineRule="exact"/>
        <w:rPr>
          <w:sz w:val="20"/>
          <w:szCs w:val="20"/>
          <w:color w:val="auto"/>
        </w:rPr>
      </w:pPr>
    </w:p>
    <w:p>
      <w:pPr>
        <w:ind w:left="780" w:right="12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2012, the Compensation Committee, following a compensation review, determined not to increase the base salary of any named executive officer.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of the financial incentive in February 2013 for performance in 2012 was 85% of target, well below the maximum 300% potential payout.</w:t>
      </w:r>
    </w:p>
    <w:p>
      <w:pPr>
        <w:spacing w:after="0" w:line="90"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approved grants of stock options to the NEOs in January 2012 generally at levels between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percentiles of the Company’s two peer groups.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w:t>
      </w:r>
    </w:p>
    <w:p>
      <w:pPr>
        <w:spacing w:after="0" w:line="17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In keeping with the Company’s pay-for-performance culture, Schlumberger’s long-standing compensation philosophy is to pay senior executives and professional-level employees for performance that is evaluated against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personal and Company financial goals that are established at the beginning of the calendar year and reviewed at the end of the year against actual performance. Schlumberger’s compensation program is driven by the need to 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 force as both a very important part of its cultural philosophy and a business imperative, as it enables the Company to serve clients anywhere in the world. Schlumberger believes its use of a consistent approach to compensation at all levels is a strong factor in achieving a diverse workforce comprising top global talent. While the amount of compensation may be different, the components of a professional-level employee’s compensation package are the same and are applied using broadly the same methodology. Exceptions to this principle are generally due to local (i.e., country-specific) requirements.</w:t>
      </w:r>
    </w:p>
    <w:p>
      <w:pPr>
        <w:spacing w:after="0" w:line="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Schlumberger’s executive compensation program consists of three primary elements, comprising the executives’ total direct compensation:</w:t>
      </w:r>
    </w:p>
    <w:p>
      <w:pPr>
        <w:spacing w:after="0" w:line="90"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incentives based upon Company and individual performance;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9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These elements allow the Company to remain competitive and retain and motivate top executive talent with current and potential future financial rewards. At the same time, this relatively simple compensation program is applied and communicated consistently to our exempt employees of more than 140 nationalities working in approximately 80 countries globally.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Framework for Setting Executive Compensation in 2012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Goals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establishing executive compensation, Schlumberger believes that:</w:t>
      </w:r>
    </w:p>
    <w:p>
      <w:pPr>
        <w:spacing w:after="0" w:line="90" w:lineRule="exact"/>
        <w:rPr>
          <w:sz w:val="20"/>
          <w:szCs w:val="20"/>
          <w:color w:val="auto"/>
        </w:rPr>
      </w:pPr>
    </w:p>
    <w:p>
      <w:pPr>
        <w:ind w:left="780" w:right="280" w:hanging="326"/>
        <w:spacing w:after="0" w:line="275"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should be competitive with peer companies that compete with the Company for business opportunities and/or executive talent;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should reflect progress toward Company-wide financial and personal objectives;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 should encourage the creation of long-term stockholder value; and</w:t>
      </w:r>
    </w:p>
    <w:p>
      <w:pPr>
        <w:spacing w:after="0" w:line="90" w:lineRule="exact"/>
        <w:rPr>
          <w:rFonts w:ascii="Times New Roman" w:cs="Times New Roman" w:eastAsia="Times New Roman" w:hAnsi="Times New Roman"/>
          <w:sz w:val="18"/>
          <w:szCs w:val="18"/>
          <w:color w:val="auto"/>
        </w:rPr>
      </w:pPr>
    </w:p>
    <w:p>
      <w:pPr>
        <w:ind w:left="780" w:right="580" w:hanging="326"/>
        <w:spacing w:after="0" w:line="275"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policies should encourage executives to hold stock through stock option awards and stock ownership guidelines that align their interests with those of our other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Executive Compensation</w:t>
      </w:r>
    </w:p>
    <w:p>
      <w:pPr>
        <w:spacing w:after="0" w:line="175"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of Schlumberger’s Board of Directors reviews and recommends executive officer compensation. The specific duties and responsibilities of the Compensation Committee are described in the section of this proxy statement entitled “Corporate Governance—Board Committees— Compensation Committee” above.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jc w:val="both"/>
        <w:ind w:right="640" w:firstLine="456"/>
        <w:spacing w:after="0" w:line="339" w:lineRule="auto"/>
        <w:rPr>
          <w:sz w:val="20"/>
          <w:szCs w:val="20"/>
          <w:color w:val="auto"/>
        </w:rPr>
      </w:pPr>
      <w:r>
        <w:rPr>
          <w:rFonts w:ascii="Times New Roman" w:cs="Times New Roman" w:eastAsia="Times New Roman" w:hAnsi="Times New Roman"/>
          <w:sz w:val="16"/>
          <w:szCs w:val="16"/>
          <w:color w:val="auto"/>
        </w:rPr>
        <w:t>The Compensation Committee has engaged the independent executive compensation consulting firm of Pay Governance with respect to executive compensation matters. For more information on this engagement, see “Corporate Governance—Board Committees—Compensation Committee”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Relative Size of Direct Compensation Elements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the elements of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Committee seeks to achieve an appropriate balance between annual cash rewards that encourage achievement of annual financial and non-financial objectives, and long-term equity incentive awards that encourage positive long-term stock price performance, with a greater emphasis on long-term equity incentives for more senior executives. However, the Compensation Committee does not aim to achieve a specific target of cash versus equity-based compensation.</w:t>
      </w:r>
    </w:p>
    <w:p>
      <w:pPr>
        <w:spacing w:after="0" w:line="6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51" w:lineRule="exact"/>
        <w:rPr>
          <w:sz w:val="20"/>
          <w:szCs w:val="20"/>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complexity of the executive’s scope of responsibilities;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management and technical expertise; performance history; growth potential and position in reporting structure;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Company and individual performance;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needs;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the CEO (except for his own compensation);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w:t>
      </w:r>
    </w:p>
    <w:p>
      <w:pPr>
        <w:spacing w:after="0" w:line="90"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charts below show the average percentage of 2012 base salary, target cash incentive and 2012 LTI compensation established by the Compensation Committee in January 2012 for the NEOs, in comparison to the two external peer groups, based on findings from Pay Governance, and demonstrate that Schlumberger’s pay mix is close to that of both peer groups.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44450</wp:posOffset>
            </wp:positionV>
            <wp:extent cx="5068570" cy="995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85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 stock option grant to an executive officer who is approaching retirement. This provides more flexibility to the Committee to compensate executive officers appropriately as they near retirement, when they may only be able to partially fulfill the five-year vesting</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Pay-for-Performance Relative to Oil Industry Peer Group</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part of the Compensation Committee’s review of our executive compensation program, the Committee directed Pay Governance to prepare a comparative pay-for-performance assessment in July 2012 against companies in the oil industry peer group, on a year-over-year (2011) basis. The assessment compared the actual annual cash incentive paid for 2011 to named executive officers of these companies as a percentage of their target annual cash incentive, against the actual annual cash incentive paid for Schlumberger’s NEOs, as a percentage of their target. These results were then compared with net income growth, revenue growth, diluted earnings per share (EPS) growth and total shareholder return (TSR), for Schlumberger and such other companies, over full-year 2011. In its analysis, the Compensation Committee reviewed the 2011 actual cash incentive of Schlumberger’s CEO against other CEOs in the oil industry peer group. It then separately reviewed Schlumberger’s other executive officers against other executive officers in the oil industry peer group.</w:t>
      </w:r>
    </w:p>
    <w:p>
      <w:pPr>
        <w:spacing w:after="0" w:line="60"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Pay Governance’s analysis demonstrated that Schlumberger’s 2011 EPS growth and TSR both were at approximately the 25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and that its net income growth was slightly above the 40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Revenue growth year-over-year was at the 97</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largely due to acquisitions by the Company in 2010. The analysis also demonstrated that the actual cash incentive paid to our CEO for 2011 performance was at the 19</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The payout represented 109% of our CEO’s target cash bonus opportunity, which was at the 28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The actual cash incentive paid to our other NEOs for 2011 performance was slightly above the median of the oil industry peer group. However, these payouts, which were between 104% and 111% of our other NEOs’ target cash bonus opportunities, were generally in the lower one-third of the oil industry peer group. The average cash incentive payout for all NEOs as a group (including the CEO) was at the 28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which was very closely aligned with Schlumberger’s one-year TSR and EPS growth, being at approximately the 25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Over three years (annualized), Schlumberger’s relative performance was also generally consistent with its one-year results for net income and revenue growth, while relative EPS improved from the bottom quartile of the oil industry peer group during the one-year period to the third quartile of the oil industry peer group over the three-year (annualized) period, and TSR was dramatically higher over the three-year (annualized) period (75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than over the one-year period (25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the oil industry peer group). Based on all of the foregoing, the Compensation Committee concluded that Schlumberger’s cash incentive compensation practices were appropriately aligned with the Company’s performance, including its relative EPS growth and TSR performance.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Mix and Internal Pay Equity Review</w:t>
      </w:r>
    </w:p>
    <w:p>
      <w:pPr>
        <w:spacing w:after="0" w:line="17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January 2012, the Compensation Committee carried out an analysis of pay mix and internal pay equity. In carrying out its analysis, the Committee considered the relative size of direct compensation elements of companies in Schlumberger’s two peer groups, as well as internal factors. Regarding pay mix, the Committee 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5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also reviewed internal pay equity in October 2012.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the year prior to the CEO transition. The Committee also noted that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levels of total direct compensation for the second- to the fifth-highest paid officers were very closely clustered together. As a result of the foregoing, the Committee concluded that internal pay equity was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 Companies and Benchmarking</w:t>
      </w:r>
    </w:p>
    <w:p>
      <w:pPr>
        <w:spacing w:after="0" w:line="175"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Compensation Committee refers to formal executive compensation surveys prepared by Pay Governance when it reviews and determines executive compensation.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surveys indicate the compensation levels and practices of our two groups of peer companies:</w:t>
      </w:r>
    </w:p>
    <w:p>
      <w:pPr>
        <w:spacing w:after="0" w:line="90" w:lineRule="exact"/>
        <w:rPr>
          <w:sz w:val="20"/>
          <w:szCs w:val="20"/>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oil industry peer group, which includes companies in the oil services, exploration and production, refining and pipeline industries,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industry peer group, which includes large companies with significant international operations.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Committee’s selection criteria for companies comprising the two peer groups include:</w:t>
      </w:r>
    </w:p>
    <w:p>
      <w:pPr>
        <w:spacing w:after="0" w:line="90" w:lineRule="exact"/>
        <w:rPr>
          <w:sz w:val="20"/>
          <w:szCs w:val="20"/>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executive talent;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market capitalization;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presence and scope of international operations;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viewed as leaders in their industry.</w:t>
      </w:r>
    </w:p>
    <w:p>
      <w:pPr>
        <w:spacing w:after="0" w:line="9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Committee, with the assistance of Pay Governance, twice annually reviews specific criteria and recommendations regarding companies to add to or remove from the two comparator groups. The Compensation Committee modifies the peer group criteria as appropriate while seeking to ensure a satisfactory degree of stability, to provide a consistent basis for comparison. Challenges facing the Company in determining the companies appropriate for inclusion in each peer group included the Company’s acquisitions in 2010 of Smith International, Inc. and Geoservices and its significant growth over that period; the Company’s relatively high market capitalization and revenue (rendering it difficult to position the Company in the median of each peer group with respect to both attributes); and the difficulties of obtaining sufficient compensation data for all benchmarked positions.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Industry Peer Group</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oil industry peer group comprises companies in the oilfield services, exploration and production, refining and pipeline industries. Because of Schlumberger’s international operations, the Compensation Committee approved the inclusion of non-U.S. energy and energy-related companies that also met the criteria set forth above.</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included oil exploration and production (“E&amp;P”) companies in this peer group after consideration of a number of factors. First, because Schlumberger is significantly larger than all of its direct competitors in the oilfield services industry in terms of revenue and market capitalization, the Compensation Committee believed that the addition of E&amp;P companies provides a more appropriate and complete comparator group. In addition, the Committee believed that the inclusion of E&amp;P companies was appropriate because market consolidation had reduced the number of direct competitors in the oilfield services industry, increasing the prominence of E&amp;P companies as competitors for talent.</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April 2011, the Compensation Committee approved the following changes in the oil industry peer group, effective for 2012 compensation decisions:</w:t>
      </w:r>
    </w:p>
    <w:p>
      <w:pPr>
        <w:spacing w:after="0" w:line="90" w:lineRule="exact"/>
        <w:rPr>
          <w:sz w:val="20"/>
          <w:szCs w:val="20"/>
          <w:color w:val="auto"/>
        </w:rPr>
      </w:pPr>
    </w:p>
    <w:p>
      <w:pPr>
        <w:ind w:left="780" w:right="420" w:hanging="326"/>
        <w:spacing w:after="0" w:line="262"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that Schlumberger was in the 62</w:t>
      </w:r>
      <w:r>
        <w:rPr>
          <w:rFonts w:ascii="Times New Roman" w:cs="Times New Roman" w:eastAsia="Times New Roman" w:hAnsi="Times New Roman"/>
          <w:sz w:val="11"/>
          <w:szCs w:val="11"/>
          <w:color w:val="auto"/>
        </w:rPr>
        <w:t>nd</w:t>
      </w:r>
      <w:r>
        <w:rPr>
          <w:rFonts w:ascii="Times New Roman" w:cs="Times New Roman" w:eastAsia="Times New Roman" w:hAnsi="Times New Roman"/>
          <w:sz w:val="18"/>
          <w:szCs w:val="18"/>
          <w:color w:val="auto"/>
        </w:rPr>
        <w:t xml:space="preserve"> percentile in terms of revenue and in the 79</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in terms of market capitalization, the Compensation Committee attempted to position Schlumberger closer to the median in the oil industry peer group in terms of revenue and market capitalization. To that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420"/>
        <w:spacing w:after="0" w:line="275" w:lineRule="auto"/>
        <w:rPr>
          <w:sz w:val="20"/>
          <w:szCs w:val="20"/>
          <w:color w:val="auto"/>
        </w:rPr>
      </w:pPr>
      <w:r>
        <w:rPr>
          <w:rFonts w:ascii="Times New Roman" w:cs="Times New Roman" w:eastAsia="Times New Roman" w:hAnsi="Times New Roman"/>
          <w:sz w:val="18"/>
          <w:szCs w:val="18"/>
          <w:color w:val="auto"/>
        </w:rPr>
        <w:t>end, the Compensation Committee approved the elimination from the oil industry peer group of several smaller companies and companies whose primary or singular focus is contract drilling (Canadian Natural Resources, Nabors Industries, Noble and Parker Drilling).</w:t>
      </w:r>
    </w:p>
    <w:p>
      <w:pPr>
        <w:spacing w:after="0" w:line="39" w:lineRule="exact"/>
        <w:rPr>
          <w:sz w:val="20"/>
          <w:szCs w:val="20"/>
          <w:color w:val="auto"/>
        </w:rPr>
      </w:pPr>
    </w:p>
    <w:p>
      <w:pPr>
        <w:jc w:val="both"/>
        <w:ind w:left="780" w:right="200" w:hanging="326"/>
        <w:spacing w:after="0" w:line="26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2010, we acquired Smith and in April 2010 Baker Hughes Incorporated acquired BJ Services Company. Both Smith and BJ Services were part of our oil industry peer group and were removed as a result of the acquisitions. In balancing the attributes sought for the oil industry peer group, the Compensation Committee added National Oilwell Varco.</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foregoing:</w:t>
      </w:r>
    </w:p>
    <w:p>
      <w:pPr>
        <w:spacing w:after="0" w:line="90" w:lineRule="exact"/>
        <w:rPr>
          <w:rFonts w:ascii="Times New Roman" w:cs="Times New Roman" w:eastAsia="Times New Roman" w:hAnsi="Times New Roman"/>
          <w:sz w:val="18"/>
          <w:szCs w:val="18"/>
          <w:color w:val="auto"/>
        </w:rPr>
      </w:pPr>
    </w:p>
    <w:p>
      <w:pPr>
        <w:ind w:left="1480" w:right="820" w:hanging="446"/>
        <w:spacing w:after="0" w:line="275" w:lineRule="auto"/>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was closer to the median—in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percentile—in terms of revenue, and in the 74th percentile in terms of market capitalization, and</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in the oil industry peer group decreased from 27 to 23.</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companies comprised the oil industry peer group for 2012 compensation decisions: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 Industry Peer Group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Oil services, E&amp;P, refining and pipeline companies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Anadarko Petroleum</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Baker Hughes</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BG Group</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BHP Billiton</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BP plc</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Cameron International</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Chevron</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CITGO</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ConocoPhillips</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Eni SpA</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Exxon Mobil</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Halliburton</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Hess</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Marathon Oil</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Murphy Oil</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National Oilwell Varco</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Occidental Petroleum</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Royal Dutch Shell</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Sunoco</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Transocean</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Valero</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Weatherford</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Industry Peer Group</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 excludes companies that do not have a significant international scope, as well as those in industries that are least comparable to Schlumberger’s industry, such as the retail industry. Like the first comparator group, this second group also includes non-US companies. The Compensation Committee also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April 2011, the Compensation Committee approved the following changes in the general industry peer group, effective for 2012 compensation decisions:</w:t>
      </w:r>
    </w:p>
    <w:p>
      <w:pPr>
        <w:spacing w:after="0" w:line="113" w:lineRule="exact"/>
        <w:rPr>
          <w:sz w:val="20"/>
          <w:szCs w:val="20"/>
          <w:color w:val="auto"/>
        </w:rPr>
      </w:pPr>
    </w:p>
    <w:p>
      <w:pPr>
        <w:ind w:left="780" w:right="20" w:hanging="326"/>
        <w:spacing w:after="0" w:line="26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review of how Schlumberger compared to peers in terms of size as a result of acquisitions by the Company in 2010 and relative changes in market capitalization, the Compensation Committee approved an increase in the revenue range for the general industry peer group, from a range of $25 billion to $50 billion to a range of $25 billion to $80 billion; and</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foregoing change, the number of constituent companies increased to 44, with newly-added companies denoted in the table below.</w:t>
      </w:r>
    </w:p>
    <w:p>
      <w:pPr>
        <w:spacing w:after="0" w:line="9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When approving the April 2011 increase in the general industry revenue range, the Compensation Committee considered that, with the then-current revenue range of $25 billion to $50 billion approved in September 2010, the Company would have been in the 45th percentile based on projected 2011 full-year revenue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and above the 90th percentile based on projected 2011 market capitalization. In approving the increase in the general industry revenue range, the Committee also noted that keeping the bottom band of the revenue range at $25 billion, while increasing the top band of the revenue range to $80 billion, would place Schlumberger near the 40th percentile in terms of projected 2011 revenue, and at the 87th percentile in terms of projected 2011 market capitalization.</w:t>
      </w:r>
    </w:p>
    <w:p>
      <w:pPr>
        <w:spacing w:after="0" w:line="5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changes described above, the Compensation Committee selected the following companies for the general industry peer group, effective for 2012:</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Industry Peer Group</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Revenue of $25B to $80B with technical and global focus</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Abbott Laboratories</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AEGON N.V.*</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Allstate*</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Alstom SA*</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Amazon.com</w:t>
            </w:r>
          </w:p>
        </w:tc>
      </w:tr>
      <w:tr>
        <w:trPr>
          <w:trHeight w:val="36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American Express*</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Archer Daniels</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AstraZeneca PLC</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Bayer AG</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Best Buy</w:t>
            </w:r>
          </w:p>
        </w:tc>
      </w:tr>
      <w:tr>
        <w:trPr>
          <w:trHeight w:val="228"/>
        </w:trPr>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Midland*</w:t>
            </w: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Boeing*</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Bunge Limited</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Caterpillar Inc.</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Cisco Systems</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Coca Cola</w:t>
            </w:r>
          </w:p>
        </w:tc>
      </w:tr>
      <w:tr>
        <w:trPr>
          <w:trHeight w:val="36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Dell Inc.*</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Delta Air Lines</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Dow Chemical</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E.I. Dupont de</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Express Scripts</w:t>
            </w:r>
          </w:p>
        </w:tc>
      </w:tr>
      <w:tr>
        <w:trPr>
          <w:trHeight w:val="228"/>
        </w:trPr>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Nemours</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FedEx</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General Dynamics</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GlaxoSmithKline</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Honeywell</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Humana Inc.*</w:t>
            </w:r>
          </w:p>
        </w:tc>
      </w:tr>
      <w:tr>
        <w:trPr>
          <w:trHeight w:val="37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Intel</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Johnson Controls</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Johnson &amp; Johnson*</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Kraft Foods*</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Merck &amp; Co.</w:t>
            </w:r>
          </w:p>
        </w:tc>
      </w:tr>
      <w:tr>
        <w:trPr>
          <w:trHeight w:val="37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Microsoft*</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Munich Re*</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Nokia*</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Novartis AG</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PepsiCo, Inc.</w:t>
            </w:r>
          </w:p>
        </w:tc>
      </w:tr>
      <w:tr>
        <w:trPr>
          <w:trHeight w:val="37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Pfizer</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Procter &amp; Gamble*</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Raytheon</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Rio Tinto plc</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Sanofi</w:t>
            </w:r>
          </w:p>
        </w:tc>
      </w:tr>
      <w:tr>
        <w:trPr>
          <w:trHeight w:val="37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Sprint Nextel</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UPS</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Technologies*</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Walt Disney</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 company that was added to the group for 2012.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other factors described below. Generally, the Compensation Committee targets base salaries for executive officers to be between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and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both peer groups.</w:t>
      </w:r>
    </w:p>
    <w:p>
      <w:pPr>
        <w:spacing w:after="0" w:line="5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39" w:lineRule="exact"/>
        <w:rPr>
          <w:sz w:val="20"/>
          <w:szCs w:val="20"/>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salaries in the two peer groups;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to internal peer positions;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during the year relative to the previous year and to its market peers;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business experience and potential;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individual performance.</w:t>
      </w:r>
    </w:p>
    <w:p>
      <w:pPr>
        <w:spacing w:after="0" w:line="90"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w:t>
      </w:r>
    </w:p>
    <w:p>
      <w:pPr>
        <w:spacing w:after="0" w:line="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455" w:right="3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 Decisions in 2012</w:t>
      </w:r>
    </w:p>
    <w:p>
      <w:pPr>
        <w:spacing w:after="0" w:line="175"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carried out a review of the compensation of each of the executive officers in January 2012. Upon review of comparative market data for both peer groups, and taking into consideration that base salary decisions for 2011 generally positioned our NEOs at or slightly above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percentile of both peer groups, the Committee determined not to increase the base salary of any NEO for 2012.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w:t>
      </w:r>
    </w:p>
    <w:p>
      <w:pPr>
        <w:spacing w:after="0" w:line="175" w:lineRule="exact"/>
        <w:rPr>
          <w:sz w:val="20"/>
          <w:szCs w:val="20"/>
          <w:color w:val="auto"/>
        </w:rPr>
      </w:pPr>
    </w:p>
    <w:p>
      <w:pPr>
        <w:jc w:val="both"/>
        <w:ind w:right="220" w:firstLine="456"/>
        <w:spacing w:after="0" w:line="287" w:lineRule="auto"/>
        <w:rPr>
          <w:sz w:val="20"/>
          <w:szCs w:val="20"/>
          <w:color w:val="auto"/>
        </w:rPr>
      </w:pPr>
      <w:r>
        <w:rPr>
          <w:rFonts w:ascii="Times New Roman" w:cs="Times New Roman" w:eastAsia="Times New Roman" w:hAnsi="Times New Roman"/>
          <w:sz w:val="16"/>
          <w:szCs w:val="16"/>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w:t>
      </w:r>
    </w:p>
    <w:p>
      <w:pPr>
        <w:spacing w:after="0" w:line="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Incentive cash payments are made each February according to the achievement of both personal and financial (Company) objectives during the previous fiscal year.</w:t>
      </w:r>
    </w:p>
    <w:p>
      <w:pPr>
        <w:spacing w:after="0" w:line="5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target annual cash incentive ranges from 0% to 150% of base salary for the CEO and from 0% to 100% of base salary for the other NEOs, depending on the position. Half of Schlumberger’s potential cash incentive range is based on the satisfactory completion of personal objectives established at the beginning of the year, while the other half of the potential range is based on the achievement of a pre-established Company financial goal, which is described in the section below entitled “Annual Cash Incentive Decisions for 2012.” The financial half of the incentive cash payment for NEOs has an incremental financial element, which means that the maximum incentive opportunity can in some years be up to 300% of target with respect to the financial part based on achievement of superior financial results. This enhanced incentive applies to the CEO and our other executive officers. The personal half has no positive incremental element, meaning the maximum payout with respect to this half of the target annual cash incentive is 100% of target.</w:t>
      </w:r>
    </w:p>
    <w:p>
      <w:pPr>
        <w:spacing w:after="0" w:line="60"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 NEOs, and assesses each such officer’s performance against their pre-determined objectives.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Decisions for 2012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Cash Incentive Ranges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in the cash incentive ranges for any of the NEOs in 2012.</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Objective</w:t>
      </w:r>
    </w:p>
    <w:p>
      <w:pPr>
        <w:spacing w:after="0" w:line="173"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As in previous years, the financial half of the annual cash incentive for all executive officers in 2012 was based on diluted earnings per share from continuing operations (“EPS”).</w:t>
      </w:r>
    </w:p>
    <w:p>
      <w:pPr>
        <w:spacing w:after="0" w:line="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5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process used to set these annual EPS targets starts with a review of plans and projections following bottom-up planning from the field, which considers factors such as:</w:t>
      </w:r>
    </w:p>
    <w:p>
      <w:pPr>
        <w:spacing w:after="0" w:line="39" w:lineRule="exact"/>
        <w:rPr>
          <w:sz w:val="20"/>
          <w:szCs w:val="20"/>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growth potential;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exploration and production (E&amp;P) spending;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technology.</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January 2012, the Compensation Committee decided that the maximum incentive opportunity for the financial-based portion of the annual cash incentive would be 300% as in some previous years. The Committee also believed it was important to set EPS targets which, while very difficult to achieve in an uncertain global economy, were realistic.</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performance targets and corresponding payouts for the financial half of the 2012 annual cash incentive were as follows:</w:t>
      </w:r>
    </w:p>
    <w:p>
      <w:pPr>
        <w:spacing w:after="0" w:line="90" w:lineRule="exact"/>
        <w:rPr>
          <w:sz w:val="20"/>
          <w:szCs w:val="20"/>
          <w:color w:val="auto"/>
        </w:rPr>
      </w:pPr>
    </w:p>
    <w:p>
      <w:pPr>
        <w:ind w:left="780" w:right="58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EPS result of at least $4.00 was needed to trigger a payment of 50% of the financial half of the incentive payment, below which no financial incentive would be paid. The EPS threshold of $4.00 represented a 14% increase against EPS of $3.51 actually earned for 2011;</w:t>
      </w:r>
    </w:p>
    <w:p>
      <w:pPr>
        <w:spacing w:after="0" w:line="38" w:lineRule="exact"/>
        <w:rPr>
          <w:rFonts w:ascii="Times New Roman" w:cs="Times New Roman" w:eastAsia="Times New Roman" w:hAnsi="Times New Roman"/>
          <w:sz w:val="18"/>
          <w:szCs w:val="18"/>
          <w:color w:val="auto"/>
        </w:rPr>
      </w:pPr>
    </w:p>
    <w:p>
      <w:pPr>
        <w:ind w:left="780" w:right="50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EPS result of at least $4.60 was needed to trigger a payment of 100% of the financial half of the incentive payment, which represented a 31% increase against EPS actually earned in 2011;</w:t>
      </w:r>
    </w:p>
    <w:p>
      <w:pPr>
        <w:spacing w:after="0" w:line="38"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EPS result of at least $5.00 was needed to achieve 200% of the financial half of the incentive payment, which represented a 43% increase against EPS actually earned for 2011; and</w:t>
      </w:r>
    </w:p>
    <w:p>
      <w:pPr>
        <w:spacing w:after="0" w:line="38"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EPS result of at least $5.40 was needed to achieve 300% of the financial half of the incentive payment, which represented a 54% increase against EPS actually earned for 2011.</w:t>
      </w:r>
    </w:p>
    <w:p>
      <w:pPr>
        <w:spacing w:after="0" w:line="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the EPS result achieved was between two targets, then the financial incentive payment would be prorated. As in prior years, no cash incentive would be paid if the minimum 2012 EPS target was not met. The EPS targets above included the projected full-year results from Schlumberger’s Distribution businesses, which Schlumberger divested in the second and third quarters of 2012. As these divested businesses comprised Schlumberger’s entire previously-reported Distribution segment, the results of this segment were classified in 2012 as discontinued operations in Schlumberger’s consolidated statement of income. The EPS targets above contemplated an earnings per share contribution from these divested businesses of $0.06. Therefore, the Compensation Committee decided that for purposes of calculating the financial half of the cash incentive payment, it would reduce each of the EPS targets above by $0.06.</w:t>
      </w:r>
    </w:p>
    <w:p>
      <w:pPr>
        <w:spacing w:after="0" w:line="58"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Schlumberger’s 2012 EPS was $4.06, which included charges of $0.11 related to the continued integration of Smith and certain workforce reductions. The Compensation Committee decided that for purposes of calculating the financial half of the cash incentive payment, it would exclude these charges as they either resulted from actions that were in the Schlumberger’s best interest or did not relate to Schlumberger’s ongoing operations. Schlumberger’s 2012 EPS, excluding these charges, was $4.17, representing a preliminary payout of almost 70% of the financial half of the annual cash incentive. The Compensation Committee, however, further considered that Schlumberger’s 2012 EPS, excluding charges and credits, showed superior relative growth year-over-year as compared to the projected relative growth of 2012 earnings per share, excluding charges and credits, of both of the Company’s top two competitors, based on their actual results for the first nine months of 2012 and consensus estimates for their fourth quarter earnings. Additionally, consideration was given to the well-executed divestitures of the businesses comprising the Distribution segment, and the fact that senior management was able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to generate cash proceeds in excess of $1 billion from the sales of these businesses. As a result of the foregoing considerations, the Compensation Committee approved a payout of 85% of the financial half of the annual cash incentive.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Individual Objectives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second half of the annual cash incentive is related to personal objectives that are specific to each executive officer position and may relate to:</w:t>
      </w:r>
    </w:p>
    <w:p>
      <w:pPr>
        <w:spacing w:after="0" w:line="90" w:lineRule="exact"/>
        <w:rPr>
          <w:sz w:val="20"/>
          <w:szCs w:val="20"/>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geographical profitability or revenue growth;</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divestitures;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goals that are important to the Company’s success, including:</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people-related objectives such as retention and diversity;</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compliance;</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objectives;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introduction; and</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priority.</w:t>
      </w:r>
    </w:p>
    <w:p>
      <w:pPr>
        <w:spacing w:after="0" w:line="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award for the personal half of the cash incentive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Kibsgaard had objectives relating to customer engagement, which he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Kibsgaard and Belani had objectives relating to research and product development, which they each mainly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Pai and Belani had objectives relating to the improvement of the Company’s code of ethics, which they each mainly achieved.</w:t>
      </w:r>
    </w:p>
    <w:p>
      <w:pPr>
        <w:spacing w:after="0" w:line="9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Messrs. Kibsgaard, Pai, Oestdahl and Belani had objectives relating to health, safety and the environment (HSE) and Quality, which they each mainly achieved.</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Kibsgaard and Pai had objectives relating to people, including diversity and talent management, which they each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Pai, Oestdahl, Belani and Ayat had objectives relating to infrastructure and logistics, which they each mainly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Oestdahl, Belani and Ayat had objectives relating to information technology, which they each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Kibsgaard, Oestdahl, Belani and Ayat had objectives on the expansion of the subsea business, which they each achieved.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Ayat, Pai and Oestdahl had objectives on cost management and efficiency, which they each mainly achieved.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24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Annual Cash Incentive as a Percentage of Base Salary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Total 2012</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Personal</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6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Financial Half</w:t>
            </w:r>
          </w:p>
        </w:tc>
        <w:tc>
          <w:tcPr>
            <w:tcW w:w="13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Half</w:t>
            </w:r>
          </w:p>
        </w:tc>
        <w:tc>
          <w:tcPr>
            <w:tcW w:w="156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Personal Half</w:t>
            </w: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Half</w:t>
            </w: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Range</w:t>
            </w:r>
          </w:p>
        </w:tc>
        <w:tc>
          <w:tcPr>
            <w:tcW w:w="16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Range</w:t>
            </w:r>
          </w:p>
        </w:tc>
        <w:tc>
          <w:tcPr>
            <w:tcW w:w="13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5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Range</w:t>
            </w:r>
          </w:p>
        </w:tc>
        <w:tc>
          <w:tcPr>
            <w:tcW w:w="13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r>
      <w:tr>
        <w:trPr>
          <w:trHeight w:val="138"/>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Eligibility</w:t>
            </w:r>
          </w:p>
        </w:tc>
        <w:tc>
          <w:tcPr>
            <w:tcW w:w="1620" w:type="dxa"/>
            <w:vAlign w:val="bottom"/>
            <w:gridSpan w:val="2"/>
          </w:tcPr>
          <w:p>
            <w:pPr>
              <w:jc w:val="center"/>
              <w:ind w:right="7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Eligibility</w:t>
            </w:r>
          </w:p>
        </w:tc>
        <w:tc>
          <w:tcPr>
            <w:tcW w:w="1340" w:type="dxa"/>
            <w:vAlign w:val="bottom"/>
            <w:gridSpan w:val="2"/>
          </w:tcPr>
          <w:p>
            <w:pPr>
              <w:jc w:val="center"/>
              <w:ind w:right="7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Achieved</w:t>
            </w:r>
          </w:p>
        </w:tc>
        <w:tc>
          <w:tcPr>
            <w:tcW w:w="1560" w:type="dxa"/>
            <w:vAlign w:val="bottom"/>
            <w:gridSpan w:val="2"/>
          </w:tcPr>
          <w:p>
            <w:pPr>
              <w:jc w:val="center"/>
              <w:ind w:right="7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Eligibility</w:t>
            </w:r>
          </w:p>
        </w:tc>
        <w:tc>
          <w:tcPr>
            <w:tcW w:w="1320" w:type="dxa"/>
            <w:vAlign w:val="bottom"/>
            <w:gridSpan w:val="2"/>
          </w:tcPr>
          <w:p>
            <w:pPr>
              <w:jc w:val="right"/>
              <w:ind w:right="7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Achieved</w:t>
            </w:r>
          </w:p>
        </w:tc>
        <w:tc>
          <w:tcPr>
            <w:tcW w:w="70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Base</w:t>
            </w:r>
          </w:p>
        </w:tc>
      </w:tr>
      <w:tr>
        <w:trPr>
          <w:trHeight w:val="176"/>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3"/>
                <w:szCs w:val="13"/>
                <w:b w:val="1"/>
                <w:bCs w:val="1"/>
                <w:color w:val="auto"/>
              </w:rPr>
              <w:t>Salary</w:t>
            </w:r>
            <w:r>
              <w:rPr>
                <w:rFonts w:ascii="Times New Roman" w:cs="Times New Roman" w:eastAsia="Times New Roman" w:hAnsi="Times New Roman"/>
                <w:sz w:val="20"/>
                <w:szCs w:val="20"/>
                <w:b w:val="1"/>
                <w:bCs w:val="1"/>
                <w:color w:val="auto"/>
                <w:vertAlign w:val="superscript"/>
              </w:rPr>
              <w:t>(1)</w:t>
            </w:r>
          </w:p>
        </w:tc>
      </w:tr>
      <w:tr>
        <w:trPr>
          <w:trHeight w:val="210"/>
        </w:trPr>
        <w:tc>
          <w:tcPr>
            <w:tcW w:w="288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6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8"/>
                <w:szCs w:val="18"/>
                <w:color w:val="auto"/>
                <w:w w:val="95"/>
              </w:rPr>
              <w:t>0-150</w:t>
            </w:r>
          </w:p>
        </w:tc>
        <w:tc>
          <w:tcPr>
            <w:tcW w:w="76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8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ind w:left="180"/>
              <w:spacing w:after="0"/>
              <w:rPr>
                <w:sz w:val="20"/>
                <w:szCs w:val="20"/>
                <w:color w:val="auto"/>
              </w:rPr>
            </w:pPr>
            <w:r>
              <w:rPr>
                <w:rFonts w:ascii="Times New Roman" w:cs="Times New Roman" w:eastAsia="Times New Roman" w:hAnsi="Times New Roman"/>
                <w:sz w:val="18"/>
                <w:szCs w:val="18"/>
                <w:color w:val="auto"/>
                <w:w w:val="93"/>
              </w:rPr>
              <w:t>63.75</w:t>
            </w:r>
          </w:p>
        </w:tc>
        <w:tc>
          <w:tcPr>
            <w:tcW w:w="76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6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780" w:type="dxa"/>
            <w:vAlign w:val="bottom"/>
            <w:tcBorders>
              <w:top w:val="single" w:sz="8" w:color="D8D8D8"/>
            </w:tcBorders>
            <w:shd w:val="clear" w:color="auto" w:fill="D8D8D8"/>
          </w:tcPr>
          <w:p>
            <w:pPr>
              <w:spacing w:after="0"/>
              <w:rPr>
                <w:sz w:val="18"/>
                <w:szCs w:val="18"/>
                <w:color w:val="auto"/>
              </w:rPr>
            </w:pPr>
          </w:p>
        </w:tc>
        <w:tc>
          <w:tcPr>
            <w:tcW w:w="6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Borders>
              <w:top w:val="single" w:sz="8" w:color="D8D8D8"/>
            </w:tcBorders>
            <w:shd w:val="clear" w:color="auto" w:fill="D8D8D8"/>
          </w:tcPr>
          <w:p>
            <w:pPr>
              <w:spacing w:after="0"/>
              <w:rPr>
                <w:sz w:val="18"/>
                <w:szCs w:val="18"/>
                <w:color w:val="auto"/>
              </w:rPr>
            </w:pPr>
          </w:p>
        </w:tc>
      </w:tr>
      <w:tr>
        <w:trPr>
          <w:trHeight w:val="3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5"/>
              </w:rPr>
              <w:t>0-100</w:t>
            </w:r>
          </w:p>
        </w:tc>
        <w:tc>
          <w:tcPr>
            <w:tcW w:w="76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42.50</w:t>
            </w:r>
          </w:p>
        </w:tc>
        <w:tc>
          <w:tcPr>
            <w:tcW w:w="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4"/>
                <w:szCs w:val="24"/>
                <w:color w:val="auto"/>
              </w:rPr>
            </w:pPr>
          </w:p>
        </w:tc>
      </w:tr>
      <w:tr>
        <w:trPr>
          <w:trHeight w:val="325"/>
        </w:trPr>
        <w:tc>
          <w:tcPr>
            <w:tcW w:w="28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1240" w:type="dxa"/>
            <w:vAlign w:val="bottom"/>
            <w:gridSpan w:val="2"/>
            <w:shd w:val="clear" w:color="auto" w:fill="D8D8D8"/>
          </w:tcPr>
          <w:p>
            <w:pPr>
              <w:ind w:left="820"/>
              <w:spacing w:after="0"/>
              <w:rPr>
                <w:sz w:val="20"/>
                <w:szCs w:val="20"/>
                <w:color w:val="auto"/>
              </w:rPr>
            </w:pPr>
            <w:r>
              <w:rPr>
                <w:rFonts w:ascii="Times New Roman" w:cs="Times New Roman" w:eastAsia="Times New Roman" w:hAnsi="Times New Roman"/>
                <w:sz w:val="18"/>
                <w:szCs w:val="18"/>
                <w:color w:val="auto"/>
                <w:w w:val="95"/>
              </w:rPr>
              <w:t>0-100</w:t>
            </w:r>
          </w:p>
        </w:tc>
        <w:tc>
          <w:tcPr>
            <w:tcW w:w="760" w:type="dxa"/>
            <w:vAlign w:val="bottom"/>
            <w:shd w:val="clear" w:color="auto" w:fill="D8D8D8"/>
          </w:tcPr>
          <w:p>
            <w:pPr>
              <w:spacing w:after="0"/>
              <w:rPr>
                <w:sz w:val="24"/>
                <w:szCs w:val="24"/>
                <w:color w:val="auto"/>
              </w:rPr>
            </w:pPr>
          </w:p>
        </w:tc>
        <w:tc>
          <w:tcPr>
            <w:tcW w:w="1620" w:type="dxa"/>
            <w:vAlign w:val="bottom"/>
            <w:gridSpan w:val="2"/>
            <w:shd w:val="clear" w:color="auto" w:fill="D8D8D8"/>
          </w:tcPr>
          <w:p>
            <w:pPr>
              <w:jc w:val="right"/>
              <w:ind w:right="7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8"/>
                <w:szCs w:val="18"/>
                <w:color w:val="auto"/>
                <w:w w:val="93"/>
              </w:rPr>
              <w:t>42.50</w:t>
            </w:r>
          </w:p>
        </w:tc>
        <w:tc>
          <w:tcPr>
            <w:tcW w:w="76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D8D8D8"/>
          </w:tcPr>
          <w:p>
            <w:pPr>
              <w:spacing w:after="0"/>
              <w:rPr>
                <w:sz w:val="24"/>
                <w:szCs w:val="24"/>
                <w:color w:val="auto"/>
              </w:rPr>
            </w:pPr>
          </w:p>
        </w:tc>
        <w:tc>
          <w:tcPr>
            <w:tcW w:w="5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780" w:type="dxa"/>
            <w:vAlign w:val="bottom"/>
            <w:shd w:val="clear" w:color="auto" w:fill="D8D8D8"/>
          </w:tcPr>
          <w:p>
            <w:pPr>
              <w:spacing w:after="0"/>
              <w:rPr>
                <w:sz w:val="24"/>
                <w:szCs w:val="24"/>
                <w:color w:val="auto"/>
              </w:rPr>
            </w:pP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D8D8D8"/>
          </w:tcPr>
          <w:p>
            <w:pPr>
              <w:spacing w:after="0"/>
              <w:rPr>
                <w:sz w:val="24"/>
                <w:szCs w:val="24"/>
                <w:color w:val="auto"/>
              </w:rPr>
            </w:pPr>
          </w:p>
        </w:tc>
      </w:tr>
      <w:tr>
        <w:trPr>
          <w:trHeight w:val="3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5"/>
              </w:rPr>
              <w:t>0-100</w:t>
            </w:r>
          </w:p>
        </w:tc>
        <w:tc>
          <w:tcPr>
            <w:tcW w:w="76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42.50</w:t>
            </w:r>
          </w:p>
        </w:tc>
        <w:tc>
          <w:tcPr>
            <w:tcW w:w="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24"/>
                <w:szCs w:val="24"/>
                <w:color w:val="auto"/>
              </w:rPr>
            </w:pPr>
          </w:p>
        </w:tc>
      </w:tr>
      <w:tr>
        <w:trPr>
          <w:trHeight w:val="325"/>
        </w:trPr>
        <w:tc>
          <w:tcPr>
            <w:tcW w:w="28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1240" w:type="dxa"/>
            <w:vAlign w:val="bottom"/>
            <w:gridSpan w:val="2"/>
            <w:shd w:val="clear" w:color="auto" w:fill="D8D8D8"/>
          </w:tcPr>
          <w:p>
            <w:pPr>
              <w:ind w:left="820"/>
              <w:spacing w:after="0"/>
              <w:rPr>
                <w:sz w:val="20"/>
                <w:szCs w:val="20"/>
                <w:color w:val="auto"/>
              </w:rPr>
            </w:pPr>
            <w:r>
              <w:rPr>
                <w:rFonts w:ascii="Times New Roman" w:cs="Times New Roman" w:eastAsia="Times New Roman" w:hAnsi="Times New Roman"/>
                <w:sz w:val="18"/>
                <w:szCs w:val="18"/>
                <w:color w:val="auto"/>
                <w:w w:val="95"/>
              </w:rPr>
              <w:t>0-100</w:t>
            </w:r>
          </w:p>
        </w:tc>
        <w:tc>
          <w:tcPr>
            <w:tcW w:w="760" w:type="dxa"/>
            <w:vAlign w:val="bottom"/>
            <w:shd w:val="clear" w:color="auto" w:fill="D8D8D8"/>
          </w:tcPr>
          <w:p>
            <w:pPr>
              <w:spacing w:after="0"/>
              <w:rPr>
                <w:sz w:val="24"/>
                <w:szCs w:val="24"/>
                <w:color w:val="auto"/>
              </w:rPr>
            </w:pPr>
          </w:p>
        </w:tc>
        <w:tc>
          <w:tcPr>
            <w:tcW w:w="1620" w:type="dxa"/>
            <w:vAlign w:val="bottom"/>
            <w:gridSpan w:val="2"/>
            <w:shd w:val="clear" w:color="auto" w:fill="D8D8D8"/>
          </w:tcPr>
          <w:p>
            <w:pPr>
              <w:jc w:val="right"/>
              <w:ind w:right="7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D8D8D8"/>
          </w:tcPr>
          <w:p>
            <w:pPr>
              <w:ind w:left="180"/>
              <w:spacing w:after="0"/>
              <w:rPr>
                <w:sz w:val="20"/>
                <w:szCs w:val="20"/>
                <w:color w:val="auto"/>
              </w:rPr>
            </w:pPr>
            <w:r>
              <w:rPr>
                <w:rFonts w:ascii="Times New Roman" w:cs="Times New Roman" w:eastAsia="Times New Roman" w:hAnsi="Times New Roman"/>
                <w:sz w:val="18"/>
                <w:szCs w:val="18"/>
                <w:color w:val="auto"/>
                <w:w w:val="93"/>
              </w:rPr>
              <w:t>42.50</w:t>
            </w:r>
          </w:p>
        </w:tc>
        <w:tc>
          <w:tcPr>
            <w:tcW w:w="76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D8D8D8"/>
          </w:tcPr>
          <w:p>
            <w:pPr>
              <w:spacing w:after="0"/>
              <w:rPr>
                <w:sz w:val="24"/>
                <w:szCs w:val="24"/>
                <w:color w:val="auto"/>
              </w:rPr>
            </w:pPr>
          </w:p>
        </w:tc>
        <w:tc>
          <w:tcPr>
            <w:tcW w:w="5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780" w:type="dxa"/>
            <w:vAlign w:val="bottom"/>
            <w:shd w:val="clear" w:color="auto" w:fill="D8D8D8"/>
          </w:tcPr>
          <w:p>
            <w:pPr>
              <w:spacing w:after="0"/>
              <w:rPr>
                <w:sz w:val="24"/>
                <w:szCs w:val="24"/>
                <w:color w:val="auto"/>
              </w:rPr>
            </w:pPr>
          </w:p>
        </w:tc>
        <w:tc>
          <w:tcPr>
            <w:tcW w:w="6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shd w:val="clear" w:color="auto" w:fill="D8D8D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hanging="451"/>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sum of both the financial half and the personal half of the annual cash incentive achieved, expressed as a percentage of base salary.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Compensation—Stock Options</w:t>
      </w:r>
    </w:p>
    <w:p>
      <w:pPr>
        <w:spacing w:after="0" w:line="17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Stock options are designed to give named executive officers and other high-value employees a longer-term stake in the Company, provide incentives for future performance, act as a long-term retention tool and align employee and stockholder interests over the longer term. Schlumberger for 2012 continued its use of stock options as its primary long-term incentive for executive officers as it believes that they best align employee incentives with stockholder interests. Since a financial gain from stock options is possible only after the price of the Company’s common stock has increased, the Company believes that grants of stock options motivate executives and other employees toward behavior that benefits all stockholders.</w:t>
      </w:r>
    </w:p>
    <w:p>
      <w:pPr>
        <w:spacing w:after="0" w:line="58"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22" w:lineRule="exact"/>
        <w:rPr>
          <w:sz w:val="20"/>
          <w:szCs w:val="20"/>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and operating performance during the relevant period;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total direct compensation for comparable positions in the comparator groups;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mix of the compensation elements for an executive officer;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non-financial goals;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contribution to the Company’s success;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for executives with comparable skills and experience;</w:t>
      </w:r>
    </w:p>
    <w:p>
      <w:pPr>
        <w:spacing w:after="0" w:line="9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value and number of stock options granted to an executive over the course of his or her career, together with the retentive effect of additional stock option grants;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internal equity of peer position career grants.</w:t>
      </w:r>
    </w:p>
    <w:p>
      <w:pPr>
        <w:spacing w:after="0" w:line="9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Once the dollar value of the stock option grant for a named executive officer has been determined based on the above factors, it is converted into a number of stock options on an estimated fair value basis on the date of the Compensation Committee meeting using the Black-Scholes formula.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tables below detail the approximate grant date fair value and number of stock options granted in 2012 to the named executive officers. The approximate grant date fair value of each grant was used by the Compensation Committee to determine the number of options granted. The actual grant date fair value of each grant, computed in accordance with applicable accounting standards, is disclosed in the Grants of Plan-Based Awards For Fiscal Year 2012 table below.</w:t>
      </w:r>
    </w:p>
    <w:p>
      <w:pPr>
        <w:spacing w:after="0" w:line="5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values given to equity compensation awards by the Compensation Committee are approximate grant date accounting values only, and the actual value that may be realized by an NEO depends on the NEO’s continued service and Schlumberger’s future stock price performance.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 in 2012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2012 Stock Option Grants.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00" w:type="dxa"/>
            <w:vAlign w:val="bottom"/>
            <w:gridSpan w:val="2"/>
            <w:vMerge w:val="continue"/>
          </w:tcPr>
          <w:p>
            <w:pPr>
              <w:spacing w:after="0"/>
              <w:rPr>
                <w:sz w:val="14"/>
                <w:szCs w:val="14"/>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Grant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Number of Options Granted</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1100" w:type="dxa"/>
            <w:vAlign w:val="bottom"/>
            <w:tcBorders>
              <w:top w:val="single" w:sz="8" w:color="D8D8D8"/>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w w:val="98"/>
              </w:rPr>
              <w:t>11,000,000</w:t>
            </w:r>
          </w:p>
        </w:tc>
        <w:tc>
          <w:tcPr>
            <w:tcW w:w="2020" w:type="dxa"/>
            <w:vAlign w:val="bottom"/>
            <w:tcBorders>
              <w:top w:val="single" w:sz="8" w:color="D8D8D8"/>
            </w:tcBorders>
            <w:shd w:val="clear" w:color="auto" w:fill="D8D8D8"/>
          </w:tcPr>
          <w:p>
            <w:pPr>
              <w:spacing w:after="0"/>
              <w:rPr>
                <w:sz w:val="18"/>
                <w:szCs w:val="18"/>
                <w:color w:val="auto"/>
              </w:rPr>
            </w:pPr>
          </w:p>
        </w:tc>
        <w:tc>
          <w:tcPr>
            <w:tcW w:w="16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429,000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2"/>
          </w:tcPr>
          <w:p>
            <w:pPr>
              <w:jc w:val="right"/>
              <w:ind w:right="2020"/>
              <w:spacing w:after="0"/>
              <w:rPr>
                <w:sz w:val="20"/>
                <w:szCs w:val="20"/>
                <w:color w:val="auto"/>
              </w:rPr>
            </w:pPr>
            <w:r>
              <w:rPr>
                <w:rFonts w:ascii="Times New Roman" w:cs="Times New Roman" w:eastAsia="Times New Roman" w:hAnsi="Times New Roman"/>
                <w:sz w:val="18"/>
                <w:szCs w:val="18"/>
                <w:color w:val="auto"/>
              </w:rPr>
              <w:t>3,500,000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22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2"/>
            <w:shd w:val="clear" w:color="auto" w:fill="D8D8D8"/>
          </w:tcPr>
          <w:p>
            <w:pPr>
              <w:jc w:val="right"/>
              <w:ind w:right="2020"/>
              <w:spacing w:after="0"/>
              <w:rPr>
                <w:sz w:val="20"/>
                <w:szCs w:val="20"/>
                <w:color w:val="auto"/>
              </w:rPr>
            </w:pPr>
            <w:r>
              <w:rPr>
                <w:rFonts w:ascii="Times New Roman" w:cs="Times New Roman" w:eastAsia="Times New Roman" w:hAnsi="Times New Roman"/>
                <w:sz w:val="18"/>
                <w:szCs w:val="18"/>
                <w:color w:val="auto"/>
              </w:rPr>
              <w:t>3,500,000</w:t>
            </w:r>
          </w:p>
        </w:tc>
        <w:tc>
          <w:tcPr>
            <w:tcW w:w="1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 Oestdahl</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2"/>
          </w:tcPr>
          <w:p>
            <w:pPr>
              <w:jc w:val="right"/>
              <w:ind w:right="2020"/>
              <w:spacing w:after="0"/>
              <w:rPr>
                <w:sz w:val="20"/>
                <w:szCs w:val="20"/>
                <w:color w:val="auto"/>
              </w:rPr>
            </w:pPr>
            <w:r>
              <w:rPr>
                <w:rFonts w:ascii="Times New Roman" w:cs="Times New Roman" w:eastAsia="Times New Roman" w:hAnsi="Times New Roman"/>
                <w:sz w:val="18"/>
                <w:szCs w:val="18"/>
                <w:color w:val="auto"/>
              </w:rPr>
              <w:t>3,500,000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220" w:type="dxa"/>
            <w:vAlign w:val="bottom"/>
            <w:shd w:val="clear" w:color="auto" w:fill="D8D8D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2"/>
            <w:shd w:val="clear" w:color="auto" w:fill="D8D8D8"/>
          </w:tcPr>
          <w:p>
            <w:pPr>
              <w:jc w:val="right"/>
              <w:ind w:right="2020"/>
              <w:spacing w:after="0"/>
              <w:rPr>
                <w:sz w:val="20"/>
                <w:szCs w:val="20"/>
                <w:color w:val="auto"/>
              </w:rPr>
            </w:pPr>
            <w:r>
              <w:rPr>
                <w:rFonts w:ascii="Times New Roman" w:cs="Times New Roman" w:eastAsia="Times New Roman" w:hAnsi="Times New Roman"/>
                <w:sz w:val="18"/>
                <w:szCs w:val="18"/>
                <w:color w:val="auto"/>
              </w:rPr>
              <w:t>3,250,000</w:t>
            </w:r>
          </w:p>
        </w:tc>
        <w:tc>
          <w:tcPr>
            <w:tcW w:w="1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in January 2012 approved these awards based on review of comparative peer groups data presented to the Committee. The Compensation Committee’s decisions also took into account internal pay equity among the NEOs.</w:t>
      </w:r>
    </w:p>
    <w:p>
      <w:pPr>
        <w:spacing w:after="0" w:line="39" w:lineRule="exact"/>
        <w:rPr>
          <w:sz w:val="20"/>
          <w:szCs w:val="20"/>
          <w:color w:val="auto"/>
        </w:rPr>
      </w:pPr>
    </w:p>
    <w:p>
      <w:pPr>
        <w:ind w:left="780" w:hanging="326"/>
        <w:spacing w:after="0" w:line="334" w:lineRule="auto"/>
        <w:tabs>
          <w:tab w:leader="none" w:pos="7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Mr. Kibsgaard, $11,000,000 in stock options, which was at the 75th percentile of the oil industry peer group and between the 50th and 75th percentiles of the general industry peer group. This stock option grant was recommended by the Compensation Committee and approved by the Board;</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Mr. Ayat, $3,500,000 in stock options, which was near the 75th percentile of both the oil industry peer group and the general industry peer group;</w:t>
      </w:r>
    </w:p>
    <w:p>
      <w:pPr>
        <w:spacing w:after="0" w:line="113" w:lineRule="exact"/>
        <w:rPr>
          <w:rFonts w:ascii="Times New Roman" w:cs="Times New Roman" w:eastAsia="Times New Roman" w:hAnsi="Times New Roman"/>
          <w:sz w:val="16"/>
          <w:szCs w:val="16"/>
          <w:color w:val="auto"/>
        </w:rPr>
      </w:pPr>
    </w:p>
    <w:p>
      <w:pPr>
        <w:ind w:left="780" w:right="6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Mr. Pai, $3,500,000 in stock options, which was between the 50th and 75th percentiles of the oil industry peer group and near the 75th percentile of the general industry peer group;</w:t>
      </w:r>
    </w:p>
    <w:p>
      <w:pPr>
        <w:spacing w:after="0" w:line="38" w:lineRule="exact"/>
        <w:rPr>
          <w:rFonts w:ascii="Times New Roman" w:cs="Times New Roman" w:eastAsia="Times New Roman" w:hAnsi="Times New Roman"/>
          <w:sz w:val="18"/>
          <w:szCs w:val="18"/>
          <w:color w:val="auto"/>
        </w:rPr>
      </w:pPr>
    </w:p>
    <w:p>
      <w:pPr>
        <w:ind w:left="780" w:right="58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Mr. Oestdahl, $3,500,000 in stock options, which was between the 50th and 75th percentiles of the oil industry peer group and near the 75th percentile of the general industry peer group; and</w:t>
      </w:r>
    </w:p>
    <w:p>
      <w:pPr>
        <w:spacing w:after="0" w:line="38"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Mr. Belani, $3,250,000 in stock options, which was above the 75th percentile of the general industry peer group (there being insufficient data for comparison with the oil industry peer group).</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other awards of stock options to the NEOs in 2012.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Granting Process</w:t>
      </w:r>
    </w:p>
    <w:p>
      <w:pPr>
        <w:spacing w:after="0" w:line="17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58"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regular Board of Directors and Compensation Committee meeting schedule is set at least a year in advance with Board meetings held quarterly, generally on the third or fourth Thursday of January, April, July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w:t>
      </w:r>
    </w:p>
    <w:p>
      <w:pPr>
        <w:spacing w:after="0" w:line="60" w:lineRule="exact"/>
        <w:rPr>
          <w:sz w:val="20"/>
          <w:szCs w:val="20"/>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Stock options generally have five-year ratable vesting, except for those granted to employees in France, which have four-year cliff vesting (meaning that all options vest at a single point in time). The Board and the Compensation Committee have the discretion to grant stock options with different vesting schedules as they deem necessary.</w:t>
      </w:r>
    </w:p>
    <w:p>
      <w:pPr>
        <w:spacing w:after="0" w:line="128" w:lineRule="exact"/>
        <w:rPr>
          <w:sz w:val="20"/>
          <w:szCs w:val="20"/>
          <w:color w:val="auto"/>
        </w:rPr>
      </w:pPr>
    </w:p>
    <w:p>
      <w:pPr>
        <w:jc w:val="center"/>
        <w:ind w:right="6000"/>
        <w:spacing w:after="0"/>
        <w:rPr>
          <w:sz w:val="20"/>
          <w:szCs w:val="20"/>
          <w:color w:val="auto"/>
        </w:rPr>
      </w:pPr>
      <w:r>
        <w:rPr>
          <w:rFonts w:ascii="Times New Roman" w:cs="Times New Roman" w:eastAsia="Times New Roman" w:hAnsi="Times New Roman"/>
          <w:sz w:val="16"/>
          <w:szCs w:val="16"/>
          <w:b w:val="1"/>
          <w:bCs w:val="1"/>
          <w:i w:val="1"/>
          <w:iCs w:val="1"/>
          <w:color w:val="auto"/>
        </w:rPr>
        <w:t>Important Factors in Understanding Schlumberger’s Use of Stock Options</w:t>
      </w:r>
    </w:p>
    <w:p>
      <w:pPr>
        <w:spacing w:after="0" w:line="198"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color w:val="auto"/>
        </w:rPr>
        <w:t>The Company’s stock option plans do not permit the following:</w:t>
      </w:r>
    </w:p>
    <w:p>
      <w:pPr>
        <w:spacing w:after="0" w:line="90"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stock options at a price below the fair market value on the grant date;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or reducing the exercise price of a stock option;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substituting a new option grant with an exercise price lower than the exercise price of an outstanding option grant;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options with a “reload” feature.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Stock Ownership Guidelines</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and management believe strongly in linking executive long-term rewards to stockholder value. In the second half of 2011, the Company reviewed its executive stock ownership guidelines in light of current practice and to further strengthen corporate governance. As a result, the Board of Directors, upon recommendation of the Nominating and Governance Committee and the Compensation Committee, adopted revised executive stock ownership guidelines applicable to executive officers and other key position holders.</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2011 review, senior executives are required to hold the numbers of shares equal to the multiple of base salary set forth below.</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768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Stock Ownership Multiple</w:t>
            </w:r>
          </w:p>
        </w:tc>
      </w:tr>
      <w:tr>
        <w:trPr>
          <w:trHeight w:val="203"/>
        </w:trPr>
        <w:tc>
          <w:tcPr>
            <w:tcW w:w="7960" w:type="dxa"/>
            <w:vAlign w:val="bottom"/>
            <w:tcBorders>
              <w:top w:val="single" w:sz="8" w:color="D8D8D8"/>
            </w:tcBorders>
            <w:gridSpan w:val="2"/>
            <w:shd w:val="clear" w:color="auto" w:fill="D8D8D8"/>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c>
          <w:tcPr>
            <w:tcW w:w="1520" w:type="dxa"/>
            <w:vAlign w:val="bottom"/>
            <w:tcBorders>
              <w:top w:val="single" w:sz="8" w:color="auto"/>
            </w:tcBorders>
            <w:shd w:val="clear" w:color="auto" w:fill="D8D8D8"/>
          </w:tcPr>
          <w:p>
            <w:pPr>
              <w:jc w:val="right"/>
              <w:spacing w:after="0" w:line="203" w:lineRule="exact"/>
              <w:rPr>
                <w:sz w:val="20"/>
                <w:szCs w:val="20"/>
                <w:color w:val="auto"/>
              </w:rPr>
            </w:pPr>
            <w:r>
              <w:rPr>
                <w:rFonts w:ascii="Times New Roman" w:cs="Times New Roman" w:eastAsia="Times New Roman" w:hAnsi="Times New Roman"/>
                <w:sz w:val="18"/>
                <w:szCs w:val="18"/>
                <w:color w:val="auto"/>
              </w:rPr>
              <w:t>6x base salary</w:t>
            </w:r>
          </w:p>
        </w:tc>
        <w:tc>
          <w:tcPr>
            <w:tcW w:w="100" w:type="dxa"/>
            <w:vAlign w:val="bottom"/>
            <w:tcBorders>
              <w:top w:val="single" w:sz="8" w:color="D8D8D8"/>
            </w:tcBorders>
            <w:shd w:val="clear" w:color="auto" w:fill="D8D8D8"/>
          </w:tcPr>
          <w:p>
            <w:pPr>
              <w:spacing w:after="0"/>
              <w:rPr>
                <w:sz w:val="17"/>
                <w:szCs w:val="17"/>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3x base salary</w:t>
            </w:r>
          </w:p>
        </w:tc>
      </w:tr>
      <w:tr>
        <w:trPr>
          <w:trHeight w:val="216"/>
        </w:trPr>
        <w:tc>
          <w:tcPr>
            <w:tcW w:w="796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Executive Officers (non-EVP)</w:t>
            </w:r>
          </w:p>
        </w:tc>
        <w:tc>
          <w:tcPr>
            <w:tcW w:w="162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2x base salary</w:t>
            </w:r>
          </w:p>
        </w:tc>
      </w:tr>
      <w:tr>
        <w:trPr>
          <w:trHeight w:val="22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Staff Positions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1x base salary</w:t>
            </w:r>
          </w:p>
        </w:tc>
      </w:tr>
    </w:tbl>
    <w:p>
      <w:pPr>
        <w:spacing w:after="0" w:line="5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All executives subject to the revised guidelines must retain 50% of net shares acquired upon the exercise of stock options, after payment of applicable taxes, until they achieve the required ownership level. The guidelines provide that executives have five years to comply with the ownership requirements. After the five-year period, executives who have not met their minimum stock ownership requirement must retain 100% of the net shares acquired upon stock option exercises and any RSU vesting until they achieve their required ownership level.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on Speculation in Schlumberger Stock</w:t>
      </w:r>
    </w:p>
    <w:p>
      <w:pPr>
        <w:spacing w:after="0" w:line="175"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that has a similar economic effect.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5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51"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Retirement Practices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73"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7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Employment Agreements</w:t>
      </w:r>
    </w:p>
    <w:p>
      <w:pPr>
        <w:spacing w:after="0" w:line="17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Performance-Based Cash Awards</w:t>
      </w:r>
    </w:p>
    <w:p>
      <w:pPr>
        <w:spacing w:after="0" w:line="173"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“Say-on-Pay” Advisory Vote to Approve Executive Compensation</w:t>
      </w:r>
    </w:p>
    <w:p>
      <w:pPr>
        <w:spacing w:after="0" w:line="173"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Schlumberger provided stockholders a “say-on-pay” advisory vote to approve its executive compensation in April 2012 under recently adopted rules. At Schlumberger’s 2012 annual general meeting of stockholders, stockholders expressed substantial support for the compensation of its NEOs, with approximately 98% of the votes cast for approval of the “say-on-pay” advisory vote. The Compensation Committee carefully evaluated the results of the 2012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Treatment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75"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162(m) of the Internal Revenue Code limits the deductibility of certain compensation expenses in excess of $1,000,000 per individual covered employee. The Company’s stock option plans are intended to provide qualified performance-based compensation for purposes of Section 162(m) and are not expected to be subject to the $1 million limitation.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COMPENSATION COMMITTEE OF THE SCHLUMBERGER BOARD OF DIRECTORS</w:t>
      </w:r>
    </w:p>
    <w:p>
      <w:pPr>
        <w:sectPr>
          <w:pgSz w:w="11900" w:h="16838" w:orient="portrait"/>
          <w:cols w:equalWidth="0" w:num="1">
            <w:col w:w="11220"/>
          </w:cols>
          <w:pgMar w:left="240" w:top="455" w:right="439" w:bottom="1440" w:gutter="0" w:footer="0" w:header="0"/>
        </w:sectPr>
      </w:pPr>
    </w:p>
    <w:p>
      <w:pPr>
        <w:spacing w:after="0" w:line="2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Tony Isaac</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Lajous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Lubna S. Olayan</w:t>
      </w:r>
    </w:p>
    <w:p>
      <w:pPr>
        <w:spacing w:after="0" w:line="168" w:lineRule="exact"/>
        <w:rPr>
          <w:sz w:val="20"/>
          <w:szCs w:val="20"/>
          <w:color w:val="auto"/>
        </w:rPr>
      </w:pPr>
    </w:p>
    <w:p>
      <w:pPr>
        <w:sectPr>
          <w:pgSz w:w="11900" w:h="16838" w:orient="portrait"/>
          <w:cols w:equalWidth="0" w:num="2">
            <w:col w:w="6300" w:space="720"/>
            <w:col w:w="4200"/>
          </w:cols>
          <w:pgMar w:left="240" w:top="455"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240" w:top="455" w:right="4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TABLES AND ACCOMPANYING NARRATIVE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Summary Compensation Table</w:t>
      </w:r>
    </w:p>
    <w:p>
      <w:pPr>
        <w:spacing w:after="0" w:line="173"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shows the compensation paid by the Company and its subsidiaries for the fiscal year ended December 31, 2012 to the Chief Executive Officer, the Chief Financial Officer and the next three most highly compensated executive officers as of December 31, 2012 (collectively, the “named executive officers” or the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Pension Value &amp;</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Bonus</w:t>
            </w:r>
          </w:p>
        </w:tc>
        <w:tc>
          <w:tcPr>
            <w:tcW w:w="6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14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20"/>
                <w:szCs w:val="20"/>
                <w:b w:val="1"/>
                <w:bCs w:val="1"/>
                <w:color w:val="auto"/>
                <w:w w:val="91"/>
                <w:vertAlign w:val="superscript"/>
              </w:rPr>
              <w:t>(5)</w:t>
            </w:r>
          </w:p>
        </w:tc>
        <w:tc>
          <w:tcPr>
            <w:tcW w:w="2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(6)</w:t>
            </w:r>
          </w:p>
        </w:tc>
        <w:tc>
          <w:tcPr>
            <w:tcW w:w="2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(5)</w:t>
            </w:r>
          </w:p>
        </w:tc>
        <w:tc>
          <w:tcPr>
            <w:tcW w:w="180" w:type="dxa"/>
            <w:vAlign w:val="bottom"/>
          </w:tcPr>
          <w:p>
            <w:pPr>
              <w:spacing w:after="0"/>
              <w:rPr>
                <w:sz w:val="15"/>
                <w:szCs w:val="15"/>
                <w:color w:val="auto"/>
              </w:rPr>
            </w:pPr>
          </w:p>
        </w:tc>
        <w:tc>
          <w:tcPr>
            <w:tcW w:w="1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3"/>
                <w:szCs w:val="13"/>
                <w:b w:val="1"/>
                <w:bCs w:val="1"/>
                <w:color w:val="auto"/>
                <w:w w:val="99"/>
              </w:rPr>
              <w:t xml:space="preserve">Earnings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r>
              <w:rPr>
                <w:rFonts w:ascii="Times New Roman" w:cs="Times New Roman" w:eastAsia="Times New Roman" w:hAnsi="Times New Roman"/>
                <w:sz w:val="20"/>
                <w:szCs w:val="20"/>
                <w:b w:val="1"/>
                <w:bCs w:val="1"/>
                <w:color w:val="auto"/>
                <w:w w:val="99"/>
                <w:vertAlign w:val="superscript"/>
              </w:rPr>
              <w:t>(7)</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20"/>
                <w:szCs w:val="20"/>
                <w:b w:val="1"/>
                <w:bCs w:val="1"/>
                <w:color w:val="auto"/>
                <w:w w:val="91"/>
                <w:vertAlign w:val="superscript"/>
              </w:rPr>
              <w:t>(8)</w:t>
            </w:r>
          </w:p>
        </w:tc>
        <w:tc>
          <w:tcPr>
            <w:tcW w:w="18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r>
              <w:rPr>
                <w:rFonts w:ascii="Times New Roman" w:cs="Times New Roman" w:eastAsia="Times New Roman" w:hAnsi="Times New Roman"/>
                <w:sz w:val="11"/>
                <w:szCs w:val="11"/>
                <w:color w:val="auto"/>
              </w:rPr>
              <w:t>(1)</w:t>
            </w:r>
          </w:p>
        </w:tc>
        <w:tc>
          <w:tcPr>
            <w:tcW w:w="200" w:type="dxa"/>
            <w:vAlign w:val="bottom"/>
            <w:tcBorders>
              <w:top w:val="single" w:sz="8" w:color="D8D8D8"/>
            </w:tcBorders>
            <w:shd w:val="clear" w:color="auto" w:fill="D8D8D8"/>
          </w:tcPr>
          <w:p>
            <w:pPr>
              <w:spacing w:after="0"/>
              <w:rPr>
                <w:sz w:val="18"/>
                <w:szCs w:val="18"/>
                <w:color w:val="auto"/>
              </w:rPr>
            </w:pPr>
          </w:p>
        </w:tc>
        <w:tc>
          <w:tcPr>
            <w:tcW w:w="4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00" w:type="dxa"/>
            <w:vAlign w:val="bottom"/>
            <w:tcBorders>
              <w:top w:val="single" w:sz="8" w:color="D8D8D8"/>
            </w:tcBorders>
            <w:shd w:val="clear" w:color="auto" w:fill="D8D8D8"/>
          </w:tcPr>
          <w:p>
            <w:pPr>
              <w:spacing w:after="0"/>
              <w:rPr>
                <w:sz w:val="18"/>
                <w:szCs w:val="18"/>
                <w:color w:val="auto"/>
              </w:rPr>
            </w:pPr>
          </w:p>
        </w:tc>
        <w:tc>
          <w:tcPr>
            <w:tcW w:w="360" w:type="dxa"/>
            <w:vAlign w:val="bottom"/>
            <w:tcBorders>
              <w:top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w w:val="96"/>
              </w:rPr>
              <w:t>10,879,440</w:t>
            </w:r>
          </w:p>
        </w:tc>
        <w:tc>
          <w:tcPr>
            <w:tcW w:w="20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2,295,000</w:t>
            </w:r>
          </w:p>
        </w:tc>
        <w:tc>
          <w:tcPr>
            <w:tcW w:w="180" w:type="dxa"/>
            <w:vAlign w:val="bottom"/>
            <w:tcBorders>
              <w:top w:val="single" w:sz="8" w:color="D8D8D8"/>
            </w:tcBorders>
            <w:shd w:val="clear" w:color="auto" w:fill="D8D8D8"/>
          </w:tcPr>
          <w:p>
            <w:pPr>
              <w:spacing w:after="0"/>
              <w:rPr>
                <w:sz w:val="18"/>
                <w:szCs w:val="18"/>
                <w:color w:val="auto"/>
              </w:rPr>
            </w:pPr>
          </w:p>
        </w:tc>
        <w:tc>
          <w:tcPr>
            <w:tcW w:w="960" w:type="dxa"/>
            <w:vAlign w:val="bottom"/>
            <w:tcBorders>
              <w:top w:val="single" w:sz="8" w:color="auto"/>
            </w:tcBorders>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831,932</w:t>
            </w:r>
          </w:p>
        </w:tc>
        <w:tc>
          <w:tcPr>
            <w:tcW w:w="180" w:type="dxa"/>
            <w:vAlign w:val="bottom"/>
            <w:tcBorders>
              <w:top w:val="single" w:sz="8" w:color="D8D8D8"/>
            </w:tcBorders>
            <w:shd w:val="clear" w:color="auto" w:fill="D8D8D8"/>
          </w:tcPr>
          <w:p>
            <w:pPr>
              <w:spacing w:after="0"/>
              <w:rPr>
                <w:sz w:val="18"/>
                <w:szCs w:val="18"/>
                <w:color w:val="auto"/>
              </w:rPr>
            </w:pPr>
          </w:p>
        </w:tc>
        <w:tc>
          <w:tcPr>
            <w:tcW w:w="1000" w:type="dxa"/>
            <w:vAlign w:val="bottom"/>
            <w:tcBorders>
              <w:top w:val="single" w:sz="8" w:color="auto"/>
            </w:tcBorders>
            <w:shd w:val="clear" w:color="auto" w:fill="D8D8D8"/>
          </w:tcPr>
          <w:p>
            <w:pPr>
              <w:jc w:val="right"/>
              <w:ind w:right="36"/>
              <w:spacing w:after="0"/>
              <w:rPr>
                <w:sz w:val="20"/>
                <w:szCs w:val="20"/>
                <w:color w:val="auto"/>
              </w:rPr>
            </w:pPr>
            <w:r>
              <w:rPr>
                <w:rFonts w:ascii="Times New Roman" w:cs="Times New Roman" w:eastAsia="Times New Roman" w:hAnsi="Times New Roman"/>
                <w:sz w:val="18"/>
                <w:szCs w:val="18"/>
                <w:color w:val="auto"/>
              </w:rPr>
              <w:t>104,283</w:t>
            </w:r>
            <w:r>
              <w:rPr>
                <w:rFonts w:ascii="Times New Roman" w:cs="Times New Roman" w:eastAsia="Times New Roman" w:hAnsi="Times New Roman"/>
                <w:sz w:val="11"/>
                <w:szCs w:val="11"/>
                <w:color w:val="auto"/>
              </w:rPr>
              <w:t>(9)</w:t>
            </w:r>
          </w:p>
        </w:tc>
        <w:tc>
          <w:tcPr>
            <w:tcW w:w="18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8"/>
              </w:rPr>
              <w:t>15,810,655</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8"/>
                <w:szCs w:val="18"/>
                <w:color w:val="auto"/>
              </w:rPr>
              <w:t>Chief Executive</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1,425,117</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8,488,590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1,690,300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381,835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Times New Roman" w:cs="Times New Roman" w:eastAsia="Times New Roman" w:hAnsi="Times New Roman"/>
                <w:sz w:val="18"/>
                <w:szCs w:val="18"/>
                <w:color w:val="auto"/>
              </w:rPr>
              <w:t>251,992</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8"/>
              </w:rPr>
              <w:t>12,237,834</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979,416</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2,670,820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1,072,510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203,730</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Times New Roman" w:cs="Times New Roman" w:eastAsia="Times New Roman" w:hAnsi="Times New Roman"/>
                <w:sz w:val="18"/>
                <w:szCs w:val="18"/>
                <w:color w:val="auto"/>
              </w:rPr>
              <w:t>27,006</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4,953,482</w:t>
            </w:r>
          </w:p>
        </w:tc>
        <w:tc>
          <w:tcPr>
            <w:tcW w:w="0" w:type="dxa"/>
            <w:vAlign w:val="bottom"/>
          </w:tcPr>
          <w:p>
            <w:pPr>
              <w:spacing w:after="0"/>
              <w:rPr>
                <w:sz w:val="1"/>
                <w:szCs w:val="1"/>
                <w:color w:val="auto"/>
              </w:rPr>
            </w:pPr>
          </w:p>
        </w:tc>
      </w:tr>
      <w:tr>
        <w:trPr>
          <w:trHeight w:val="3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3,474,320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747,789</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65,043</w:t>
            </w:r>
            <w:r>
              <w:rPr>
                <w:rFonts w:ascii="Times New Roman" w:cs="Times New Roman" w:eastAsia="Times New Roman" w:hAnsi="Times New Roman"/>
                <w:sz w:val="11"/>
                <w:szCs w:val="11"/>
                <w:color w:val="auto"/>
              </w:rPr>
              <w:t>(10)</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6,167,152</w:t>
            </w: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941,667</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5,908,840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918,100</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628,901</w:t>
            </w:r>
          </w:p>
        </w:tc>
        <w:tc>
          <w:tcPr>
            <w:tcW w:w="180" w:type="dxa"/>
            <w:vAlign w:val="bottom"/>
          </w:tcPr>
          <w:p>
            <w:pPr>
              <w:spacing w:after="0"/>
              <w:rPr>
                <w:sz w:val="18"/>
                <w:szCs w:val="18"/>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100,535</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8,498,043</w:t>
            </w: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900,000</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1,012,500</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513,898</w:t>
            </w:r>
          </w:p>
        </w:tc>
        <w:tc>
          <w:tcPr>
            <w:tcW w:w="18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113,320</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4,931,818</w:t>
            </w:r>
          </w:p>
        </w:tc>
        <w:tc>
          <w:tcPr>
            <w:tcW w:w="0" w:type="dxa"/>
            <w:vAlign w:val="bottom"/>
          </w:tcPr>
          <w:p>
            <w:pPr>
              <w:spacing w:after="0"/>
              <w:rPr>
                <w:sz w:val="1"/>
                <w:szCs w:val="1"/>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2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r>
              <w:rPr>
                <w:rFonts w:ascii="Times New Roman" w:cs="Times New Roman" w:eastAsia="Times New Roman" w:hAnsi="Times New Roman"/>
                <w:sz w:val="11"/>
                <w:szCs w:val="11"/>
                <w:color w:val="auto"/>
              </w:rPr>
              <w:t>(2)</w:t>
            </w:r>
          </w:p>
        </w:tc>
        <w:tc>
          <w:tcPr>
            <w:tcW w:w="200" w:type="dxa"/>
            <w:vAlign w:val="bottom"/>
            <w:shd w:val="clear" w:color="auto" w:fill="D8D8D8"/>
          </w:tcPr>
          <w:p>
            <w:pPr>
              <w:spacing w:after="0"/>
              <w:rPr>
                <w:sz w:val="24"/>
                <w:szCs w:val="24"/>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900,911</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3,425,000</w:t>
            </w:r>
          </w:p>
        </w:tc>
        <w:tc>
          <w:tcPr>
            <w:tcW w:w="20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765,766</w:t>
            </w:r>
          </w:p>
        </w:tc>
        <w:tc>
          <w:tcPr>
            <w:tcW w:w="1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1,127,217</w:t>
            </w:r>
          </w:p>
        </w:tc>
        <w:tc>
          <w:tcPr>
            <w:tcW w:w="1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98,726</w:t>
            </w:r>
            <w:r>
              <w:rPr>
                <w:rFonts w:ascii="Times New Roman" w:cs="Times New Roman" w:eastAsia="Times New Roman" w:hAnsi="Times New Roman"/>
                <w:sz w:val="11"/>
                <w:szCs w:val="11"/>
                <w:color w:val="auto"/>
              </w:rPr>
              <w:t>(11)</w:t>
            </w:r>
          </w:p>
        </w:tc>
        <w:tc>
          <w:tcPr>
            <w:tcW w:w="18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6,317,620</w:t>
            </w:r>
          </w:p>
        </w:tc>
        <w:tc>
          <w:tcPr>
            <w:tcW w:w="0" w:type="dxa"/>
            <w:vAlign w:val="bottom"/>
          </w:tcPr>
          <w:p>
            <w:pPr>
              <w:spacing w:after="0"/>
              <w:rPr>
                <w:sz w:val="1"/>
                <w:szCs w:val="1"/>
                <w:color w:val="auto"/>
              </w:rPr>
            </w:pPr>
          </w:p>
        </w:tc>
      </w:tr>
      <w:tr>
        <w:trPr>
          <w:trHeight w:val="218"/>
        </w:trPr>
        <w:tc>
          <w:tcPr>
            <w:tcW w:w="324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967,382</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2,698,960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753,007</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680,742</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Times New Roman" w:cs="Times New Roman" w:eastAsia="Times New Roman" w:hAnsi="Times New Roman"/>
                <w:sz w:val="18"/>
                <w:szCs w:val="18"/>
                <w:color w:val="auto"/>
              </w:rPr>
              <w:t>133,850</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5,233,941</w:t>
            </w:r>
          </w:p>
        </w:tc>
        <w:tc>
          <w:tcPr>
            <w:tcW w:w="0" w:type="dxa"/>
            <w:vAlign w:val="bottom"/>
          </w:tcPr>
          <w:p>
            <w:pPr>
              <w:spacing w:after="0"/>
              <w:rPr>
                <w:sz w:val="1"/>
                <w:szCs w:val="1"/>
                <w:color w:val="auto"/>
              </w:rPr>
            </w:pPr>
          </w:p>
        </w:tc>
      </w:tr>
      <w:tr>
        <w:trPr>
          <w:trHeight w:val="228"/>
        </w:trPr>
        <w:tc>
          <w:tcPr>
            <w:tcW w:w="324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D8D8D8"/>
          </w:tcPr>
          <w:p>
            <w:pPr>
              <w:spacing w:after="0"/>
              <w:rPr>
                <w:sz w:val="19"/>
                <w:szCs w:val="19"/>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796,813</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4,491,811</w:t>
            </w:r>
          </w:p>
        </w:tc>
        <w:tc>
          <w:tcPr>
            <w:tcW w:w="20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644,489</w:t>
            </w:r>
          </w:p>
        </w:tc>
        <w:tc>
          <w:tcPr>
            <w:tcW w:w="1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598,600</w:t>
            </w:r>
          </w:p>
        </w:tc>
        <w:tc>
          <w:tcPr>
            <w:tcW w:w="180" w:type="dxa"/>
            <w:vAlign w:val="bottom"/>
            <w:shd w:val="clear" w:color="auto" w:fill="D8D8D8"/>
          </w:tcPr>
          <w:p>
            <w:pPr>
              <w:spacing w:after="0"/>
              <w:rPr>
                <w:sz w:val="19"/>
                <w:szCs w:val="19"/>
                <w:color w:val="auto"/>
              </w:rPr>
            </w:pPr>
          </w:p>
        </w:tc>
        <w:tc>
          <w:tcPr>
            <w:tcW w:w="1000" w:type="dxa"/>
            <w:vAlign w:val="bottom"/>
            <w:shd w:val="clear" w:color="auto" w:fill="D8D8D8"/>
          </w:tcPr>
          <w:p>
            <w:pPr>
              <w:jc w:val="right"/>
              <w:ind w:right="156"/>
              <w:spacing w:after="0"/>
              <w:rPr>
                <w:sz w:val="20"/>
                <w:szCs w:val="20"/>
                <w:color w:val="auto"/>
              </w:rPr>
            </w:pPr>
            <w:r>
              <w:rPr>
                <w:rFonts w:ascii="Times New Roman" w:cs="Times New Roman" w:eastAsia="Times New Roman" w:hAnsi="Times New Roman"/>
                <w:sz w:val="18"/>
                <w:szCs w:val="18"/>
                <w:color w:val="auto"/>
              </w:rPr>
              <w:t>101,303</w:t>
            </w:r>
          </w:p>
        </w:tc>
        <w:tc>
          <w:tcPr>
            <w:tcW w:w="18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6,633,016</w:t>
            </w:r>
          </w:p>
        </w:tc>
        <w:tc>
          <w:tcPr>
            <w:tcW w:w="0" w:type="dxa"/>
            <w:vAlign w:val="bottom"/>
          </w:tcPr>
          <w:p>
            <w:pPr>
              <w:spacing w:after="0"/>
              <w:rPr>
                <w:sz w:val="1"/>
                <w:szCs w:val="1"/>
                <w:color w:val="auto"/>
              </w:rPr>
            </w:pPr>
          </w:p>
        </w:tc>
      </w:tr>
      <w:tr>
        <w:trPr>
          <w:trHeight w:val="150"/>
        </w:trPr>
        <w:tc>
          <w:tcPr>
            <w:tcW w:w="324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0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96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00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r>
              <w:rPr>
                <w:rFonts w:ascii="Times New Roman" w:cs="Times New Roman" w:eastAsia="Times New Roman" w:hAnsi="Times New Roman"/>
                <w:sz w:val="11"/>
                <w:szCs w:val="11"/>
                <w:color w:val="auto"/>
              </w:rPr>
              <w:t>(3)</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823,681</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3,474,320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716,602</w:t>
            </w:r>
          </w:p>
        </w:tc>
        <w:tc>
          <w:tcPr>
            <w:tcW w:w="1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363,391</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159,421</w:t>
            </w:r>
            <w:r>
              <w:rPr>
                <w:rFonts w:ascii="Times New Roman" w:cs="Times New Roman" w:eastAsia="Times New Roman" w:hAnsi="Times New Roman"/>
                <w:sz w:val="11"/>
                <w:szCs w:val="11"/>
                <w:color w:val="auto"/>
              </w:rPr>
              <w:t>(12)</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5,537,415</w:t>
            </w:r>
          </w:p>
        </w:tc>
        <w:tc>
          <w:tcPr>
            <w:tcW w:w="0" w:type="dxa"/>
            <w:vAlign w:val="bottom"/>
          </w:tcPr>
          <w:p>
            <w:pPr>
              <w:spacing w:after="0"/>
              <w:rPr>
                <w:sz w:val="1"/>
                <w:szCs w:val="1"/>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Operations</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875,411</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2,256,800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682,378</w:t>
            </w:r>
          </w:p>
        </w:tc>
        <w:tc>
          <w:tcPr>
            <w:tcW w:w="1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409,173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429,285</w:t>
            </w:r>
            <w:r>
              <w:rPr>
                <w:rFonts w:ascii="Times New Roman" w:cs="Times New Roman" w:eastAsia="Times New Roman" w:hAnsi="Times New Roman"/>
                <w:sz w:val="11"/>
                <w:szCs w:val="11"/>
                <w:color w:val="auto"/>
              </w:rPr>
              <w:t>(13)</w:t>
            </w:r>
          </w:p>
        </w:tc>
        <w:tc>
          <w:tcPr>
            <w:tcW w:w="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4,653,047</w:t>
            </w:r>
          </w:p>
        </w:tc>
        <w:tc>
          <w:tcPr>
            <w:tcW w:w="0" w:type="dxa"/>
            <w:vAlign w:val="bottom"/>
          </w:tcPr>
          <w:p>
            <w:pPr>
              <w:spacing w:after="0"/>
              <w:rPr>
                <w:sz w:val="1"/>
                <w:szCs w:val="1"/>
                <w:color w:val="auto"/>
              </w:rPr>
            </w:pPr>
          </w:p>
        </w:tc>
      </w:tr>
      <w:tr>
        <w:trPr>
          <w:trHeight w:val="323"/>
        </w:trPr>
        <w:tc>
          <w:tcPr>
            <w:tcW w:w="32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r>
              <w:rPr>
                <w:rFonts w:ascii="Times New Roman" w:cs="Times New Roman" w:eastAsia="Times New Roman" w:hAnsi="Times New Roman"/>
                <w:sz w:val="11"/>
                <w:szCs w:val="11"/>
                <w:color w:val="auto"/>
              </w:rPr>
              <w:t>(4)</w:t>
            </w:r>
          </w:p>
        </w:tc>
        <w:tc>
          <w:tcPr>
            <w:tcW w:w="200" w:type="dxa"/>
            <w:vAlign w:val="bottom"/>
            <w:shd w:val="clear" w:color="auto" w:fill="D8D8D8"/>
          </w:tcPr>
          <w:p>
            <w:pPr>
              <w:spacing w:after="0"/>
              <w:rPr>
                <w:sz w:val="24"/>
                <w:szCs w:val="24"/>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900,000</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3,220,720</w:t>
            </w:r>
          </w:p>
        </w:tc>
        <w:tc>
          <w:tcPr>
            <w:tcW w:w="20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769,500</w:t>
            </w:r>
          </w:p>
        </w:tc>
        <w:tc>
          <w:tcPr>
            <w:tcW w:w="1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837,595</w:t>
            </w:r>
          </w:p>
        </w:tc>
        <w:tc>
          <w:tcPr>
            <w:tcW w:w="1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107,193</w:t>
            </w:r>
            <w:r>
              <w:rPr>
                <w:rFonts w:ascii="Times New Roman" w:cs="Times New Roman" w:eastAsia="Times New Roman" w:hAnsi="Times New Roman"/>
                <w:sz w:val="11"/>
                <w:szCs w:val="11"/>
                <w:color w:val="auto"/>
              </w:rPr>
              <w:t>(14)</w:t>
            </w:r>
          </w:p>
        </w:tc>
        <w:tc>
          <w:tcPr>
            <w:tcW w:w="18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5,835,008</w:t>
            </w:r>
          </w:p>
        </w:tc>
        <w:tc>
          <w:tcPr>
            <w:tcW w:w="0" w:type="dxa"/>
            <w:vAlign w:val="bottom"/>
          </w:tcPr>
          <w:p>
            <w:pPr>
              <w:spacing w:after="0"/>
              <w:rPr>
                <w:sz w:val="1"/>
                <w:szCs w:val="1"/>
                <w:color w:val="auto"/>
              </w:rPr>
            </w:pPr>
          </w:p>
        </w:tc>
      </w:tr>
      <w:tr>
        <w:trPr>
          <w:trHeight w:val="218"/>
        </w:trPr>
        <w:tc>
          <w:tcPr>
            <w:tcW w:w="3240" w:type="dxa"/>
            <w:vAlign w:val="bottom"/>
            <w:shd w:val="clear" w:color="auto" w:fill="D8D8D8"/>
          </w:tcPr>
          <w:p>
            <w:pPr>
              <w:ind w:left="220"/>
              <w:spacing w:after="0"/>
              <w:rPr>
                <w:sz w:val="20"/>
                <w:szCs w:val="20"/>
                <w:color w:val="auto"/>
              </w:rPr>
            </w:pPr>
            <w:r>
              <w:rPr>
                <w:rFonts w:ascii="Times New Roman" w:cs="Times New Roman" w:eastAsia="Times New Roman" w:hAnsi="Times New Roman"/>
                <w:sz w:val="18"/>
                <w:szCs w:val="18"/>
                <w:color w:val="auto"/>
              </w:rPr>
              <w:t>Executive Vice President, Technology</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886,661</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4,054,470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736,600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606,705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Times New Roman" w:cs="Times New Roman" w:eastAsia="Times New Roman" w:hAnsi="Times New Roman"/>
                <w:sz w:val="18"/>
                <w:szCs w:val="18"/>
                <w:color w:val="auto"/>
              </w:rPr>
              <w:t>287,557</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6,571,993</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106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8"/>
                <w:szCs w:val="18"/>
                <w:color w:val="auto"/>
              </w:rPr>
              <w:t>724,879</w:t>
            </w:r>
          </w:p>
        </w:tc>
        <w:tc>
          <w:tcPr>
            <w:tcW w:w="56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1,485,620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586,321</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Times New Roman" w:cs="Times New Roman" w:eastAsia="Times New Roman" w:hAnsi="Times New Roman"/>
                <w:sz w:val="18"/>
                <w:szCs w:val="18"/>
                <w:color w:val="auto"/>
              </w:rPr>
              <w:t>425,995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76"/>
              <w:spacing w:after="0"/>
              <w:rPr>
                <w:sz w:val="20"/>
                <w:szCs w:val="20"/>
                <w:color w:val="auto"/>
              </w:rPr>
            </w:pPr>
            <w:r>
              <w:rPr>
                <w:rFonts w:ascii="Times New Roman" w:cs="Times New Roman" w:eastAsia="Times New Roman" w:hAnsi="Times New Roman"/>
                <w:sz w:val="18"/>
                <w:szCs w:val="18"/>
                <w:color w:val="auto"/>
              </w:rPr>
              <w:t>116,987</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w w:val="97"/>
              </w:rPr>
              <w:t>3,339,802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6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Kibsgaard was paid in Euros (i) for part of 2011 and (ii) for all of 2010. For purposes of this Summary Compensation Table, compensation has been determined using 2012, 2011, and 2010 full-year average exchange rates of 1 U.S. Dollar = 0.777 Euros, 1 U.S. Dollar = 0.715 Euros and 1 U.S. Dollar = 0.753 Euros, respectively.</w:t>
      </w:r>
    </w:p>
    <w:p>
      <w:pPr>
        <w:spacing w:after="0" w:line="37" w:lineRule="exact"/>
        <w:rPr>
          <w:rFonts w:ascii="Times New Roman" w:cs="Times New Roman" w:eastAsia="Times New Roman" w:hAnsi="Times New Roman"/>
          <w:sz w:val="18"/>
          <w:szCs w:val="18"/>
          <w:color w:val="auto"/>
        </w:rPr>
      </w:pPr>
    </w:p>
    <w:p>
      <w:pPr>
        <w:ind w:left="460" w:right="520" w:hanging="452"/>
        <w:spacing w:after="0" w:line="27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Pai is paid in Euros. For purposes of this Summary Compensation Table, compensation has been determined using 2012, 2011 and 2010 average exchange rates of 1 U.S. Dollar = 0.777 Euros, 1 U.S. Dollar = 0.715 Euros, 1 U.S. Dollar = 0.753 Euros, respectively.</w:t>
      </w:r>
    </w:p>
    <w:p>
      <w:pPr>
        <w:spacing w:after="0" w:line="25" w:lineRule="exact"/>
        <w:rPr>
          <w:rFonts w:ascii="Times New Roman" w:cs="Times New Roman" w:eastAsia="Times New Roman" w:hAnsi="Times New Roman"/>
          <w:sz w:val="18"/>
          <w:szCs w:val="18"/>
          <w:color w:val="auto"/>
        </w:rPr>
      </w:pPr>
    </w:p>
    <w:p>
      <w:pPr>
        <w:ind w:left="460" w:right="120" w:hanging="452"/>
        <w:spacing w:after="0" w:line="310"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Oestdahl was (i) paid in Euros for all of 2012, (ii) paid in Euros for 11 months in 2011 and (iii) paid in Norwegian Kronor for one month in 2011. For purposes of this Summary Compensation Table, compensation has been determined using (A) the 2012 and 2011 full-year average exchange rates of 1 U.S. Dollar = 0.777 Euros and 1 U.S. Dollar = .715 Euros, respectively, and (B) the 2011 full-year average exchange rate of 1 U.S. Dollar = 5.579 Kronor.</w:t>
      </w:r>
    </w:p>
    <w:p>
      <w:pPr>
        <w:spacing w:after="0" w:line="2" w:lineRule="exact"/>
        <w:rPr>
          <w:rFonts w:ascii="Times New Roman" w:cs="Times New Roman" w:eastAsia="Times New Roman" w:hAnsi="Times New Roman"/>
          <w:sz w:val="16"/>
          <w:szCs w:val="16"/>
          <w:color w:val="auto"/>
        </w:rPr>
      </w:pPr>
    </w:p>
    <w:p>
      <w:pPr>
        <w:ind w:left="460" w:right="540" w:hanging="452"/>
        <w:spacing w:after="0" w:line="325"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Belani was paid in Euros (i) for part of 2011 and (ii) for all of 2010. For purposes of this Summary Compensation Table, compensation has been determined using 2011 and 2010 full-year average exchange rates of 1 U.S. Dollar = 0.715 Euros and 1 U.S. Dollar = 0.753 Euros, respectively.</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incentive paid to Schlumberger’s named executive officers is included in the column “Non-Equity Incentive Plan Compensation.”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6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reflected in this column is the aggregate grant date fair value for option grants in 2012, computed in accordance with applicable accounting standards. The fair value of each grant is established on the date of grant using the Black-Scholes option-pricing model with the following assumptions for the grant dates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00" w:type="dxa"/>
            <w:vAlign w:val="bottom"/>
          </w:tcPr>
          <w:p>
            <w:pPr>
              <w:spacing w:after="0"/>
              <w:rPr>
                <w:sz w:val="14"/>
                <w:szCs w:val="14"/>
                <w:color w:val="auto"/>
              </w:rPr>
            </w:pPr>
          </w:p>
        </w:tc>
        <w:tc>
          <w:tcPr>
            <w:tcW w:w="33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Stock Option Grant Date</w:t>
            </w:r>
          </w:p>
        </w:tc>
      </w:tr>
      <w:tr>
        <w:trPr>
          <w:trHeight w:val="125"/>
        </w:trPr>
        <w:tc>
          <w:tcPr>
            <w:tcW w:w="8100" w:type="dxa"/>
            <w:vAlign w:val="bottom"/>
          </w:tcPr>
          <w:p>
            <w:pPr>
              <w:spacing w:after="0"/>
              <w:rPr>
                <w:sz w:val="10"/>
                <w:szCs w:val="10"/>
                <w:color w:val="auto"/>
              </w:rPr>
            </w:pPr>
          </w:p>
        </w:tc>
        <w:tc>
          <w:tcPr>
            <w:tcW w:w="12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1/19/2012</w:t>
            </w:r>
          </w:p>
        </w:tc>
        <w:tc>
          <w:tcPr>
            <w:tcW w:w="7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1/19/2012</w:t>
            </w:r>
          </w:p>
        </w:tc>
        <w:tc>
          <w:tcPr>
            <w:tcW w:w="180" w:type="dxa"/>
            <w:vAlign w:val="bottom"/>
          </w:tcPr>
          <w:p>
            <w:pPr>
              <w:spacing w:after="0"/>
              <w:rPr>
                <w:sz w:val="10"/>
                <w:szCs w:val="10"/>
                <w:color w:val="auto"/>
              </w:rPr>
            </w:pPr>
          </w:p>
        </w:tc>
      </w:tr>
      <w:tr>
        <w:trPr>
          <w:trHeight w:val="149"/>
        </w:trPr>
        <w:tc>
          <w:tcPr>
            <w:tcW w:w="8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(5-year</w:t>
            </w: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(4-year</w:t>
            </w:r>
          </w:p>
        </w:tc>
      </w:tr>
      <w:tr>
        <w:trPr>
          <w:trHeight w:val="165"/>
        </w:trPr>
        <w:tc>
          <w:tcPr>
            <w:tcW w:w="8100" w:type="dxa"/>
            <w:vAlign w:val="bottom"/>
          </w:tcPr>
          <w:p>
            <w:pPr>
              <w:spacing w:after="0"/>
              <w:rPr>
                <w:sz w:val="14"/>
                <w:szCs w:val="14"/>
                <w:color w:val="auto"/>
              </w:rPr>
            </w:pPr>
          </w:p>
        </w:tc>
        <w:tc>
          <w:tcPr>
            <w:tcW w:w="19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5"/>
              </w:rPr>
              <w:t>vest options)</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vest options)</w:t>
            </w:r>
          </w:p>
        </w:tc>
      </w:tr>
      <w:tr>
        <w:trPr>
          <w:trHeight w:val="210"/>
        </w:trPr>
        <w:tc>
          <w:tcPr>
            <w:tcW w:w="8100" w:type="dxa"/>
            <w:vAlign w:val="bottom"/>
            <w:tcBorders>
              <w:top w:val="single" w:sz="8" w:color="D8D8D8"/>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D8D8D8"/>
            </w:tcBorders>
            <w:shd w:val="clear" w:color="auto" w:fill="D8D8D8"/>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7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81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shd w:val="clear" w:color="auto" w:fill="D8D8D8"/>
          </w:tcPr>
          <w:p>
            <w:pPr>
              <w:spacing w:after="0"/>
              <w:rPr>
                <w:sz w:val="18"/>
                <w:szCs w:val="18"/>
                <w:color w:val="auto"/>
              </w:rPr>
            </w:pPr>
          </w:p>
        </w:tc>
        <w:tc>
          <w:tcPr>
            <w:tcW w:w="1400" w:type="dxa"/>
            <w:vAlign w:val="bottom"/>
            <w:gridSpan w:val="2"/>
            <w:shd w:val="clear" w:color="auto" w:fill="D8D8D8"/>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1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7.0 years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 years</w:t>
            </w:r>
          </w:p>
        </w:tc>
      </w:tr>
    </w:tbl>
    <w:p>
      <w:pPr>
        <w:spacing w:after="0" w:line="41" w:lineRule="exact"/>
        <w:rPr>
          <w:sz w:val="20"/>
          <w:szCs w:val="20"/>
          <w:color w:val="auto"/>
        </w:rPr>
      </w:pPr>
    </w:p>
    <w:p>
      <w:pPr>
        <w:ind w:left="500" w:right="40" w:hanging="451"/>
        <w:spacing w:after="0" w:line="26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2012, 2011 or 2010.</w:t>
      </w:r>
    </w:p>
    <w:p>
      <w:pPr>
        <w:spacing w:after="0" w:line="37" w:lineRule="exact"/>
        <w:rPr>
          <w:rFonts w:ascii="Times New Roman" w:cs="Times New Roman" w:eastAsia="Times New Roman" w:hAnsi="Times New Roman"/>
          <w:sz w:val="18"/>
          <w:szCs w:val="18"/>
          <w:color w:val="auto"/>
        </w:rPr>
      </w:pPr>
    </w:p>
    <w:p>
      <w:pPr>
        <w:ind w:left="500" w:right="40" w:hanging="451"/>
        <w:spacing w:after="0" w:line="275"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perquisites included and described in the column “All Other Compensation” and the accompanying footnotes are generally available to all of the Company’s exempt employees. Relocation assistance is provided to all employees on a Company-wide basis.</w:t>
      </w:r>
    </w:p>
    <w:p>
      <w:pPr>
        <w:spacing w:after="0" w:line="25" w:lineRule="exact"/>
        <w:rPr>
          <w:rFonts w:ascii="Times New Roman" w:cs="Times New Roman" w:eastAsia="Times New Roman" w:hAnsi="Times New Roman"/>
          <w:sz w:val="18"/>
          <w:szCs w:val="18"/>
          <w:color w:val="auto"/>
        </w:rPr>
      </w:pPr>
    </w:p>
    <w:p>
      <w:pPr>
        <w:ind w:left="540" w:hanging="451"/>
        <w:spacing w:after="0"/>
        <w:tabs>
          <w:tab w:leader="none" w:pos="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for Mr. Kibsgaard consists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20" w:type="dxa"/>
            <w:vAlign w:val="bottom"/>
            <w:tcBorders>
              <w:bottom w:val="single" w:sz="8" w:color="auto"/>
            </w:tcBorders>
          </w:tcPr>
          <w:p>
            <w:pPr>
              <w:spacing w:after="0"/>
              <w:rPr>
                <w:sz w:val="15"/>
                <w:szCs w:val="15"/>
                <w:color w:val="auto"/>
              </w:rPr>
            </w:pPr>
          </w:p>
        </w:tc>
        <w:tc>
          <w:tcPr>
            <w:tcW w:w="240" w:type="dxa"/>
            <w:vAlign w:val="bottom"/>
            <w:tcBorders>
              <w:bottom w:val="single" w:sz="8" w:color="D8D8D8"/>
            </w:tcBorders>
          </w:tcPr>
          <w:p>
            <w:pPr>
              <w:spacing w:after="0"/>
              <w:rPr>
                <w:sz w:val="15"/>
                <w:szCs w:val="15"/>
                <w:color w:val="auto"/>
              </w:rPr>
            </w:pPr>
          </w:p>
        </w:tc>
        <w:tc>
          <w:tcPr>
            <w:tcW w:w="540" w:type="dxa"/>
            <w:vAlign w:val="bottom"/>
            <w:tcBorders>
              <w:bottom w:val="single" w:sz="8" w:color="D8D8D8"/>
            </w:tcBorders>
          </w:tcPr>
          <w:p>
            <w:pPr>
              <w:spacing w:after="0"/>
              <w:rPr>
                <w:sz w:val="15"/>
                <w:szCs w:val="15"/>
                <w:color w:val="auto"/>
              </w:rPr>
            </w:pPr>
          </w:p>
        </w:tc>
        <w:tc>
          <w:tcPr>
            <w:tcW w:w="600" w:type="dxa"/>
            <w:vAlign w:val="bottom"/>
            <w:tcBorders>
              <w:bottom w:val="single" w:sz="8" w:color="D8D8D8"/>
            </w:tcBorders>
          </w:tcPr>
          <w:p>
            <w:pPr>
              <w:spacing w:after="0"/>
              <w:rPr>
                <w:sz w:val="15"/>
                <w:szCs w:val="15"/>
                <w:color w:val="auto"/>
              </w:rPr>
            </w:pPr>
          </w:p>
        </w:tc>
      </w:tr>
      <w:tr>
        <w:trPr>
          <w:trHeight w:val="210"/>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820" w:type="dxa"/>
            <w:vAlign w:val="bottom"/>
            <w:shd w:val="clear" w:color="auto" w:fill="D8D8D8"/>
          </w:tcPr>
          <w:p>
            <w:pPr>
              <w:spacing w:after="0"/>
              <w:rPr>
                <w:sz w:val="18"/>
                <w:szCs w:val="18"/>
                <w:color w:val="auto"/>
              </w:rPr>
            </w:pPr>
          </w:p>
        </w:tc>
        <w:tc>
          <w:tcPr>
            <w:tcW w:w="780" w:type="dxa"/>
            <w:vAlign w:val="bottom"/>
            <w:gridSpan w:val="2"/>
            <w:shd w:val="clear" w:color="auto" w:fill="D8D8D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w w:val="96"/>
              </w:rPr>
              <w:t>94,209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6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Perquisites:</w:t>
            </w:r>
          </w:p>
        </w:tc>
        <w:tc>
          <w:tcPr>
            <w:tcW w:w="4820" w:type="dxa"/>
            <w:vAlign w:val="bottom"/>
            <w:shd w:val="clear" w:color="auto" w:fill="D8D8D8"/>
          </w:tcPr>
          <w:p>
            <w:pPr>
              <w:spacing w:after="0"/>
              <w:rPr>
                <w:sz w:val="18"/>
                <w:szCs w:val="18"/>
                <w:color w:val="auto"/>
              </w:rPr>
            </w:pPr>
          </w:p>
        </w:tc>
        <w:tc>
          <w:tcPr>
            <w:tcW w:w="24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preparation</w:t>
            </w:r>
          </w:p>
        </w:tc>
        <w:tc>
          <w:tcPr>
            <w:tcW w:w="56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Total</w:t>
            </w:r>
          </w:p>
        </w:tc>
        <w:tc>
          <w:tcPr>
            <w:tcW w:w="6200" w:type="dxa"/>
            <w:vAlign w:val="bottom"/>
            <w:gridSpan w:val="4"/>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$ 104,283</w:t>
            </w:r>
          </w:p>
        </w:tc>
      </w:tr>
      <w:tr>
        <w:trPr>
          <w:trHeight w:val="282"/>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The amount disclosed for Mr. Ayat consists of the following:</w:t>
            </w: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D8D8D8"/>
            </w:tcBorders>
          </w:tcPr>
          <w:p>
            <w:pPr>
              <w:spacing w:after="0"/>
              <w:rPr>
                <w:sz w:val="20"/>
                <w:szCs w:val="20"/>
                <w:color w:val="auto"/>
              </w:rPr>
            </w:pPr>
          </w:p>
        </w:tc>
        <w:tc>
          <w:tcPr>
            <w:tcW w:w="600" w:type="dxa"/>
            <w:vAlign w:val="bottom"/>
            <w:tcBorders>
              <w:bottom w:val="single" w:sz="8" w:color="D8D8D8"/>
            </w:tcBorders>
          </w:tcPr>
          <w:p>
            <w:pPr>
              <w:spacing w:after="0"/>
              <w:rPr>
                <w:sz w:val="20"/>
                <w:szCs w:val="20"/>
                <w:color w:val="auto"/>
              </w:rPr>
            </w:pPr>
          </w:p>
        </w:tc>
      </w:tr>
      <w:tr>
        <w:trPr>
          <w:trHeight w:val="210"/>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5060" w:type="dxa"/>
            <w:vAlign w:val="bottom"/>
            <w:gridSpan w:val="2"/>
            <w:shd w:val="clear" w:color="auto" w:fill="D8D8D8"/>
          </w:tcPr>
          <w:p>
            <w:pPr>
              <w:spacing w:after="0"/>
              <w:rPr>
                <w:sz w:val="18"/>
                <w:szCs w:val="18"/>
                <w:color w:val="auto"/>
              </w:rPr>
            </w:pPr>
          </w:p>
        </w:tc>
        <w:tc>
          <w:tcPr>
            <w:tcW w:w="1140" w:type="dxa"/>
            <w:vAlign w:val="bottom"/>
            <w:gridSpan w:val="2"/>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$ 50,043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Contributions to Schlumberger 401(k) Plan</w:t>
            </w:r>
          </w:p>
        </w:tc>
        <w:tc>
          <w:tcPr>
            <w:tcW w:w="560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$ 65,043</w:t>
            </w:r>
          </w:p>
        </w:tc>
      </w:tr>
      <w:tr>
        <w:trPr>
          <w:trHeight w:val="26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  The amount disclosed for Mr. Pai consists of the following:</w:t>
            </w:r>
          </w:p>
        </w:tc>
        <w:tc>
          <w:tcPr>
            <w:tcW w:w="4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D8D8D8"/>
            </w:tcBorders>
          </w:tcPr>
          <w:p>
            <w:pPr>
              <w:spacing w:after="0"/>
              <w:rPr>
                <w:sz w:val="20"/>
                <w:szCs w:val="20"/>
                <w:color w:val="auto"/>
              </w:rPr>
            </w:pPr>
          </w:p>
        </w:tc>
        <w:tc>
          <w:tcPr>
            <w:tcW w:w="600" w:type="dxa"/>
            <w:vAlign w:val="bottom"/>
            <w:tcBorders>
              <w:bottom w:val="single" w:sz="8" w:color="D8D8D8"/>
            </w:tcBorders>
          </w:tcPr>
          <w:p>
            <w:pPr>
              <w:spacing w:after="0"/>
              <w:rPr>
                <w:sz w:val="20"/>
                <w:szCs w:val="20"/>
                <w:color w:val="auto"/>
              </w:rPr>
            </w:pPr>
          </w:p>
        </w:tc>
      </w:tr>
      <w:tr>
        <w:trPr>
          <w:trHeight w:val="210"/>
        </w:trPr>
        <w:tc>
          <w:tcPr>
            <w:tcW w:w="52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Contributions to Schlumberger Non-U.S. Profit-Sharing Plans</w:t>
            </w:r>
          </w:p>
        </w:tc>
        <w:tc>
          <w:tcPr>
            <w:tcW w:w="5060" w:type="dxa"/>
            <w:vAlign w:val="bottom"/>
            <w:gridSpan w:val="2"/>
            <w:shd w:val="clear" w:color="auto" w:fill="D8D8D8"/>
          </w:tcPr>
          <w:p>
            <w:pPr>
              <w:spacing w:after="0"/>
              <w:rPr>
                <w:sz w:val="18"/>
                <w:szCs w:val="18"/>
                <w:color w:val="auto"/>
              </w:rPr>
            </w:pPr>
          </w:p>
        </w:tc>
        <w:tc>
          <w:tcPr>
            <w:tcW w:w="1140" w:type="dxa"/>
            <w:vAlign w:val="bottom"/>
            <w:gridSpan w:val="2"/>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$ 96,152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Perquisites:</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220" w:type="dxa"/>
            <w:vAlign w:val="bottom"/>
            <w:shd w:val="clear" w:color="auto" w:fill="D8D8D8"/>
          </w:tcPr>
          <w:p>
            <w:pPr>
              <w:ind w:left="440"/>
              <w:spacing w:after="0"/>
              <w:rPr>
                <w:sz w:val="20"/>
                <w:szCs w:val="20"/>
                <w:color w:val="auto"/>
              </w:rPr>
            </w:pPr>
            <w:r>
              <w:rPr>
                <w:rFonts w:ascii="Times New Roman" w:cs="Times New Roman" w:eastAsia="Times New Roman" w:hAnsi="Times New Roman"/>
                <w:sz w:val="18"/>
                <w:szCs w:val="18"/>
                <w:color w:val="auto"/>
              </w:rPr>
              <w:t>Tax preparation</w:t>
            </w:r>
          </w:p>
        </w:tc>
        <w:tc>
          <w:tcPr>
            <w:tcW w:w="560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$ 98,726</w:t>
            </w:r>
          </w:p>
        </w:tc>
      </w:tr>
      <w:tr>
        <w:trPr>
          <w:trHeight w:val="350"/>
        </w:trPr>
        <w:tc>
          <w:tcPr>
            <w:tcW w:w="5220" w:type="dxa"/>
            <w:vAlign w:val="bottom"/>
          </w:tcPr>
          <w:p>
            <w:pPr>
              <w:spacing w:after="0"/>
              <w:rPr>
                <w:sz w:val="24"/>
                <w:szCs w:val="24"/>
                <w:color w:val="auto"/>
              </w:rPr>
            </w:pPr>
          </w:p>
        </w:tc>
        <w:tc>
          <w:tcPr>
            <w:tcW w:w="4820" w:type="dxa"/>
            <w:vAlign w:val="bottom"/>
          </w:tcPr>
          <w:p>
            <w:pPr>
              <w:jc w:val="right"/>
              <w:ind w:right="4152"/>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 w:right="180" w:hanging="451"/>
        <w:spacing w:after="0" w:line="275"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for Mr. Oestdahl consists of the following (contributions into the Norway DC Pension Plan were made in Kronor, with the amount disclosed below being determined by using the 2012 full-year average exchange rate of 1 U.S. Dollar = 5.835 Kronor):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100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Contributions to Schlumberger Non-U.S. Profit Sharing Plans</w:t>
            </w: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87,573</w:t>
            </w:r>
          </w:p>
        </w:tc>
      </w:tr>
      <w:tr>
        <w:trPr>
          <w:trHeight w:val="216"/>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the Norway DC Pension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8,685</w:t>
            </w:r>
          </w:p>
        </w:tc>
      </w:tr>
      <w:tr>
        <w:trPr>
          <w:trHeight w:val="216"/>
        </w:trPr>
        <w:tc>
          <w:tcPr>
            <w:tcW w:w="100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Perquisites:</w:t>
            </w: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10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Relocation allowance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10040" w:type="dxa"/>
            <w:vAlign w:val="bottom"/>
            <w:shd w:val="clear" w:color="auto" w:fill="D8D8D8"/>
          </w:tcPr>
          <w:p>
            <w:pPr>
              <w:ind w:left="440"/>
              <w:spacing w:after="0"/>
              <w:rPr>
                <w:sz w:val="20"/>
                <w:szCs w:val="20"/>
                <w:color w:val="auto"/>
              </w:rPr>
            </w:pPr>
            <w:r>
              <w:rPr>
                <w:rFonts w:ascii="Times New Roman" w:cs="Times New Roman" w:eastAsia="Times New Roman" w:hAnsi="Times New Roman"/>
                <w:sz w:val="18"/>
                <w:szCs w:val="18"/>
                <w:color w:val="auto"/>
              </w:rPr>
              <w:t>Child education expenses</w:t>
            </w: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57,529</w:t>
            </w:r>
          </w:p>
        </w:tc>
      </w:tr>
      <w:tr>
        <w:trPr>
          <w:trHeight w:val="216"/>
        </w:trPr>
        <w:tc>
          <w:tcPr>
            <w:tcW w:w="10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preparation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10040" w:type="dxa"/>
            <w:vAlign w:val="bottom"/>
            <w:shd w:val="clear" w:color="auto" w:fill="D8D8D8"/>
          </w:tcPr>
          <w:p>
            <w:pPr>
              <w:ind w:left="440"/>
              <w:spacing w:after="0"/>
              <w:rPr>
                <w:sz w:val="20"/>
                <w:szCs w:val="20"/>
                <w:color w:val="auto"/>
              </w:rPr>
            </w:pPr>
            <w:r>
              <w:rPr>
                <w:rFonts w:ascii="Times New Roman" w:cs="Times New Roman" w:eastAsia="Times New Roman" w:hAnsi="Times New Roman"/>
                <w:sz w:val="18"/>
                <w:szCs w:val="18"/>
                <w:color w:val="auto"/>
              </w:rPr>
              <w:t>French lessons</w:t>
            </w: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1,422</w:t>
            </w:r>
          </w:p>
        </w:tc>
      </w:tr>
      <w:tr>
        <w:trPr>
          <w:trHeight w:val="228"/>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159,421</w:t>
            </w:r>
          </w:p>
        </w:tc>
      </w:tr>
    </w:tbl>
    <w:p>
      <w:pPr>
        <w:spacing w:after="0" w:line="41" w:lineRule="exact"/>
        <w:rPr>
          <w:sz w:val="20"/>
          <w:szCs w:val="20"/>
          <w:color w:val="auto"/>
        </w:rPr>
      </w:pPr>
    </w:p>
    <w:p>
      <w:pPr>
        <w:ind w:left="500" w:right="60" w:hanging="451"/>
        <w:spacing w:after="0" w:line="25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$53,000 representing employer contributions made to Mr. Oestdahl’s Norway DC Pension Plan account and to his International Staff Profit Sharing account (both for the periods from March-December 2011), which were not previously reported. The adjustments to Mr. Oestdahl’s accounts were made following Norwegian and French governmental approvals of Mr. Oestdahl’s secondment from Norway to France, which approvals occurred in the second half of 2012. The contributions into Mr. Oestdahl’s Norway DC Pension Plan account were made in Kronor, with such compensation having been determined using the 2012 full-year average exchange rate of 1 U.S. Dollar = 5.579 Kronor.</w:t>
      </w:r>
    </w:p>
    <w:p>
      <w:pPr>
        <w:spacing w:after="0" w:line="44" w:lineRule="exact"/>
        <w:rPr>
          <w:rFonts w:ascii="Times New Roman" w:cs="Times New Roman" w:eastAsia="Times New Roman" w:hAnsi="Times New Roman"/>
          <w:sz w:val="18"/>
          <w:szCs w:val="18"/>
          <w:color w:val="auto"/>
        </w:rPr>
      </w:pPr>
    </w:p>
    <w:p>
      <w:pPr>
        <w:ind w:left="540" w:hanging="437"/>
        <w:spacing w:after="0"/>
        <w:tabs>
          <w:tab w:leader="none" w:pos="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for Mr. Belani consists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41,598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Unfunded matching credits to the Schlumberger Restoration Savings Plan</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41,598</w:t>
            </w:r>
          </w:p>
        </w:tc>
      </w:tr>
      <w:tr>
        <w:trPr>
          <w:trHeight w:val="216"/>
        </w:trPr>
        <w:tc>
          <w:tcPr>
            <w:tcW w:w="5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3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Relocation expenses—movement of household goods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5400" w:type="dxa"/>
            <w:vAlign w:val="bottom"/>
            <w:shd w:val="clear" w:color="auto" w:fill="D8D8D8"/>
          </w:tcPr>
          <w:p>
            <w:pPr>
              <w:ind w:left="440"/>
              <w:spacing w:after="0"/>
              <w:rPr>
                <w:sz w:val="20"/>
                <w:szCs w:val="20"/>
                <w:color w:val="auto"/>
              </w:rPr>
            </w:pPr>
            <w:r>
              <w:rPr>
                <w:rFonts w:ascii="Times New Roman" w:cs="Times New Roman" w:eastAsia="Times New Roman" w:hAnsi="Times New Roman"/>
                <w:sz w:val="18"/>
                <w:szCs w:val="18"/>
                <w:color w:val="auto"/>
              </w:rPr>
              <w:t>Temporary housing</w:t>
            </w:r>
          </w:p>
        </w:tc>
        <w:tc>
          <w:tcPr>
            <w:tcW w:w="53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rPr>
              <w:t>4,348</w:t>
            </w:r>
          </w:p>
        </w:tc>
      </w:tr>
      <w:tr>
        <w:trPr>
          <w:trHeight w:val="216"/>
        </w:trPr>
        <w:tc>
          <w:tcPr>
            <w:tcW w:w="5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preparation</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3,089</w:t>
            </w:r>
          </w:p>
        </w:tc>
      </w:tr>
      <w:tr>
        <w:trPr>
          <w:trHeight w:val="216"/>
        </w:trPr>
        <w:tc>
          <w:tcPr>
            <w:tcW w:w="5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Times New Roman" w:cs="Times New Roman" w:eastAsia="Times New Roman" w:hAnsi="Times New Roman"/>
                <w:sz w:val="18"/>
                <w:szCs w:val="18"/>
                <w:color w:val="auto"/>
                <w:w w:val="99"/>
              </w:rPr>
              <w:t>107,193</w:t>
            </w:r>
          </w:p>
        </w:tc>
      </w:tr>
      <w:tr>
        <w:trPr>
          <w:trHeight w:val="363"/>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2012</w:t>
      </w:r>
    </w:p>
    <w:p>
      <w:pPr>
        <w:spacing w:after="0" w:line="17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Grants of Plan-Based Awards table provides additional information about stock and option awards and equity incentive plan awards granted to Schlumberger’s named executive officers during the year ended December 31, 2012.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Full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9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Closing</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40" w:type="dxa"/>
            <w:vAlign w:val="bottom"/>
            <w:gridSpan w:val="6"/>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Estimated Possible Payouts Under</w:t>
            </w:r>
          </w:p>
        </w:tc>
        <w:tc>
          <w:tcPr>
            <w:tcW w:w="10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or Base</w:t>
            </w:r>
          </w:p>
        </w:tc>
        <w:tc>
          <w:tcPr>
            <w:tcW w:w="900" w:type="dxa"/>
            <w:vAlign w:val="bottom"/>
            <w:gridSpan w:val="3"/>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112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1"/>
                <w:szCs w:val="11"/>
                <w:b w:val="1"/>
                <w:bCs w:val="1"/>
                <w:color w:val="auto"/>
              </w:rPr>
              <w:t>Non-Equity Incentive Plan Awards</w:t>
            </w:r>
            <w:r>
              <w:rPr>
                <w:rFonts w:ascii="Times New Roman" w:cs="Times New Roman" w:eastAsia="Times New Roman" w:hAnsi="Times New Roman"/>
                <w:sz w:val="17"/>
                <w:szCs w:val="17"/>
                <w:b w:val="1"/>
                <w:bCs w:val="1"/>
                <w:color w:val="auto"/>
                <w:vertAlign w:val="superscript"/>
              </w:rPr>
              <w:t>(1)</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9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restart"/>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80" w:type="dxa"/>
            <w:vAlign w:val="bottom"/>
            <w:gridSpan w:val="2"/>
            <w:vMerge w:val="restart"/>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Pr>
          <w:p>
            <w:pPr>
              <w:spacing w:after="0"/>
              <w:rPr>
                <w:sz w:val="2"/>
                <w:szCs w:val="2"/>
                <w:color w:val="auto"/>
              </w:rPr>
            </w:pPr>
          </w:p>
        </w:tc>
        <w:tc>
          <w:tcPr>
            <w:tcW w:w="800" w:type="dxa"/>
            <w:vAlign w:val="bottom"/>
            <w:gridSpan w:val="2"/>
            <w:vMerge w:val="restart"/>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1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4"/>
                <w:szCs w:val="14"/>
                <w:b w:val="1"/>
                <w:bCs w:val="1"/>
                <w:color w:val="auto"/>
              </w:rPr>
              <w:t>Grant</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0" w:type="dxa"/>
            <w:vAlign w:val="bottom"/>
          </w:tcPr>
          <w:p>
            <w:pPr>
              <w:spacing w:after="0"/>
              <w:rPr>
                <w:sz w:val="12"/>
                <w:szCs w:val="12"/>
                <w:color w:val="auto"/>
              </w:rPr>
            </w:pPr>
          </w:p>
        </w:tc>
        <w:tc>
          <w:tcPr>
            <w:tcW w:w="8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Date</w:t>
            </w:r>
          </w:p>
        </w:tc>
        <w:tc>
          <w:tcPr>
            <w:tcW w:w="320" w:type="dxa"/>
            <w:vAlign w:val="bottom"/>
            <w:tcBorders>
              <w:bottom w:val="single" w:sz="8" w:color="D8D8D8"/>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Threshold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3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Target ($)</w:t>
            </w:r>
          </w:p>
        </w:tc>
        <w:tc>
          <w:tcPr>
            <w:tcW w:w="320" w:type="dxa"/>
            <w:vAlign w:val="bottom"/>
            <w:tcBorders>
              <w:bottom w:val="single" w:sz="8" w:color="D8D8D8"/>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320" w:type="dxa"/>
            <w:vAlign w:val="bottom"/>
            <w:tcBorders>
              <w:bottom w:val="single" w:sz="8" w:color="D8D8D8"/>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/Sh)</w:t>
            </w:r>
            <w:r>
              <w:rPr>
                <w:rFonts w:ascii="Times New Roman" w:cs="Times New Roman" w:eastAsia="Times New Roman" w:hAnsi="Times New Roman"/>
                <w:sz w:val="20"/>
                <w:szCs w:val="20"/>
                <w:b w:val="1"/>
                <w:bCs w:val="1"/>
                <w:color w:val="auto"/>
                <w:w w:val="98"/>
                <w:vertAlign w:val="superscript"/>
              </w:rPr>
              <w:t>(2)</w:t>
            </w:r>
          </w:p>
        </w:tc>
        <w:tc>
          <w:tcPr>
            <w:tcW w:w="320" w:type="dxa"/>
            <w:vAlign w:val="bottom"/>
            <w:tcBorders>
              <w:bottom w:val="single" w:sz="8" w:color="D8D8D8"/>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($/Sh)</w:t>
            </w:r>
          </w:p>
        </w:tc>
        <w:tc>
          <w:tcPr>
            <w:tcW w:w="320" w:type="dxa"/>
            <w:vAlign w:val="bottom"/>
            <w:tcBorders>
              <w:bottom w:val="single" w:sz="8" w:color="D8D8D8"/>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w:t>
            </w:r>
          </w:p>
        </w:tc>
        <w:tc>
          <w:tcPr>
            <w:tcW w:w="12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1400" w:type="dxa"/>
            <w:vAlign w:val="bottom"/>
            <w:gridSpan w:val="3"/>
            <w:vMerge w:val="restart"/>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1/19/2012</w:t>
            </w:r>
          </w:p>
        </w:tc>
        <w:tc>
          <w:tcPr>
            <w:tcW w:w="9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650,250</w:t>
            </w: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2,231,250</w:t>
            </w: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5,100,000</w:t>
            </w:r>
          </w:p>
        </w:tc>
        <w:tc>
          <w:tcPr>
            <w:tcW w:w="320" w:type="dxa"/>
            <w:vAlign w:val="bottom"/>
            <w:shd w:val="clear" w:color="auto" w:fill="D8D8D8"/>
          </w:tcPr>
          <w:p>
            <w:pPr>
              <w:spacing w:after="0"/>
              <w:rPr>
                <w:sz w:val="18"/>
                <w:szCs w:val="18"/>
                <w:color w:val="auto"/>
              </w:rPr>
            </w:pPr>
          </w:p>
        </w:tc>
        <w:tc>
          <w:tcPr>
            <w:tcW w:w="76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429,000</w:t>
            </w:r>
          </w:p>
        </w:tc>
        <w:tc>
          <w:tcPr>
            <w:tcW w:w="320" w:type="dxa"/>
            <w:vAlign w:val="bottom"/>
            <w:shd w:val="clear" w:color="auto" w:fill="D8D8D8"/>
          </w:tcPr>
          <w:p>
            <w:pPr>
              <w:spacing w:after="0"/>
              <w:rPr>
                <w:sz w:val="18"/>
                <w:szCs w:val="18"/>
                <w:color w:val="auto"/>
              </w:rPr>
            </w:pPr>
          </w:p>
        </w:tc>
        <w:tc>
          <w:tcPr>
            <w:tcW w:w="5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rPr>
              <w:t>$ 72.11</w:t>
            </w:r>
          </w:p>
        </w:tc>
        <w:tc>
          <w:tcPr>
            <w:tcW w:w="320" w:type="dxa"/>
            <w:vAlign w:val="bottom"/>
            <w:shd w:val="clear" w:color="auto" w:fill="D8D8D8"/>
          </w:tcPr>
          <w:p>
            <w:pPr>
              <w:spacing w:after="0"/>
              <w:rPr>
                <w:sz w:val="18"/>
                <w:szCs w:val="18"/>
                <w:color w:val="auto"/>
              </w:rPr>
            </w:pP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320" w:type="dxa"/>
            <w:vAlign w:val="bottom"/>
            <w:shd w:val="clear" w:color="auto" w:fill="D8D8D8"/>
          </w:tcPr>
          <w:p>
            <w:pPr>
              <w:spacing w:after="0"/>
              <w:rPr>
                <w:sz w:val="18"/>
                <w:szCs w:val="18"/>
                <w:color w:val="auto"/>
              </w:rPr>
            </w:pPr>
          </w:p>
        </w:tc>
        <w:tc>
          <w:tcPr>
            <w:tcW w:w="10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10,879,440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D8D8D8"/>
          </w:tcPr>
          <w:p>
            <w:pPr>
              <w:spacing w:after="0"/>
              <w:rPr>
                <w:sz w:val="18"/>
                <w:szCs w:val="18"/>
                <w:color w:val="auto"/>
              </w:rPr>
            </w:pPr>
          </w:p>
        </w:tc>
        <w:tc>
          <w:tcPr>
            <w:tcW w:w="1400" w:type="dxa"/>
            <w:vAlign w:val="bottom"/>
            <w:gridSpan w:val="3"/>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14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1/19/2012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32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3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$ 72.11</w:t>
            </w:r>
          </w:p>
        </w:tc>
        <w:tc>
          <w:tcPr>
            <w:tcW w:w="3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3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3,474,320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220" w:type="dxa"/>
            <w:vAlign w:val="bottom"/>
            <w:shd w:val="clear" w:color="auto" w:fill="D8D8D8"/>
          </w:tcPr>
          <w:p>
            <w:pPr>
              <w:spacing w:after="0"/>
              <w:rPr>
                <w:sz w:val="24"/>
                <w:szCs w:val="24"/>
                <w:color w:val="auto"/>
              </w:rPr>
            </w:pPr>
          </w:p>
        </w:tc>
        <w:tc>
          <w:tcPr>
            <w:tcW w:w="1180" w:type="dxa"/>
            <w:vAlign w:val="bottom"/>
            <w:gridSpan w:val="2"/>
            <w:vMerge w:val="restart"/>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1/19/2012</w:t>
            </w:r>
          </w:p>
        </w:tc>
        <w:tc>
          <w:tcPr>
            <w:tcW w:w="1220" w:type="dxa"/>
            <w:vAlign w:val="bottom"/>
            <w:gridSpan w:val="2"/>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229,732</w:t>
            </w: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788,297</w:t>
            </w:r>
          </w:p>
        </w:tc>
        <w:tc>
          <w:tcPr>
            <w:tcW w:w="32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1,801,822</w:t>
            </w:r>
          </w:p>
        </w:tc>
        <w:tc>
          <w:tcPr>
            <w:tcW w:w="76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320" w:type="dxa"/>
            <w:vAlign w:val="bottom"/>
            <w:shd w:val="clear" w:color="auto" w:fill="D8D8D8"/>
          </w:tcPr>
          <w:p>
            <w:pPr>
              <w:spacing w:after="0"/>
              <w:rPr>
                <w:sz w:val="24"/>
                <w:szCs w:val="24"/>
                <w:color w:val="auto"/>
              </w:rPr>
            </w:pPr>
          </w:p>
        </w:tc>
        <w:tc>
          <w:tcPr>
            <w:tcW w:w="5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rPr>
              <w:t>$ 72.11</w:t>
            </w:r>
          </w:p>
        </w:tc>
        <w:tc>
          <w:tcPr>
            <w:tcW w:w="32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320" w:type="dxa"/>
            <w:vAlign w:val="bottom"/>
            <w:shd w:val="clear" w:color="auto" w:fill="D8D8D8"/>
          </w:tcPr>
          <w:p>
            <w:pPr>
              <w:spacing w:after="0"/>
              <w:rPr>
                <w:sz w:val="24"/>
                <w:szCs w:val="24"/>
                <w:color w:val="auto"/>
              </w:rPr>
            </w:pPr>
          </w:p>
        </w:tc>
        <w:tc>
          <w:tcPr>
            <w:tcW w:w="10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3,425,000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180" w:type="dxa"/>
            <w:vAlign w:val="bottom"/>
            <w:gridSpan w:val="2"/>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p>
        </w:tc>
        <w:tc>
          <w:tcPr>
            <w:tcW w:w="14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1/19/2012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210,039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720,721</w:t>
            </w:r>
          </w:p>
        </w:tc>
        <w:tc>
          <w:tcPr>
            <w:tcW w:w="32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1,647,362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3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$ 72.11</w:t>
            </w:r>
          </w:p>
        </w:tc>
        <w:tc>
          <w:tcPr>
            <w:tcW w:w="3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3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3,474,320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220" w:type="dxa"/>
            <w:vAlign w:val="bottom"/>
            <w:shd w:val="clear" w:color="auto" w:fill="D8D8D8"/>
          </w:tcPr>
          <w:p>
            <w:pPr>
              <w:spacing w:after="0"/>
              <w:rPr>
                <w:sz w:val="24"/>
                <w:szCs w:val="24"/>
                <w:color w:val="auto"/>
              </w:rPr>
            </w:pPr>
          </w:p>
        </w:tc>
        <w:tc>
          <w:tcPr>
            <w:tcW w:w="1180" w:type="dxa"/>
            <w:vAlign w:val="bottom"/>
            <w:gridSpan w:val="2"/>
            <w:vMerge w:val="restart"/>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1/19/2012</w:t>
            </w:r>
          </w:p>
        </w:tc>
        <w:tc>
          <w:tcPr>
            <w:tcW w:w="1220" w:type="dxa"/>
            <w:vAlign w:val="bottom"/>
            <w:gridSpan w:val="2"/>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229,500</w:t>
            </w: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32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320"/>
              <w:spacing w:after="0"/>
              <w:rPr>
                <w:sz w:val="20"/>
                <w:szCs w:val="20"/>
                <w:color w:val="auto"/>
              </w:rPr>
            </w:pPr>
            <w:r>
              <w:rPr>
                <w:rFonts w:ascii="Times New Roman" w:cs="Times New Roman" w:eastAsia="Times New Roman" w:hAnsi="Times New Roman"/>
                <w:sz w:val="18"/>
                <w:szCs w:val="18"/>
                <w:color w:val="auto"/>
              </w:rPr>
              <w:t>1,800,000</w:t>
            </w:r>
          </w:p>
        </w:tc>
        <w:tc>
          <w:tcPr>
            <w:tcW w:w="76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320" w:type="dxa"/>
            <w:vAlign w:val="bottom"/>
            <w:shd w:val="clear" w:color="auto" w:fill="D8D8D8"/>
          </w:tcPr>
          <w:p>
            <w:pPr>
              <w:spacing w:after="0"/>
              <w:rPr>
                <w:sz w:val="24"/>
                <w:szCs w:val="24"/>
                <w:color w:val="auto"/>
              </w:rPr>
            </w:pPr>
          </w:p>
        </w:tc>
        <w:tc>
          <w:tcPr>
            <w:tcW w:w="560" w:type="dxa"/>
            <w:vAlign w:val="bottom"/>
            <w:vMerge w:val="restart"/>
            <w:shd w:val="clear" w:color="auto" w:fill="D8D8D8"/>
          </w:tcPr>
          <w:p>
            <w:pPr>
              <w:jc w:val="center"/>
              <w:spacing w:after="0"/>
              <w:rPr>
                <w:sz w:val="20"/>
                <w:szCs w:val="20"/>
                <w:color w:val="auto"/>
              </w:rPr>
            </w:pPr>
            <w:r>
              <w:rPr>
                <w:rFonts w:ascii="Times New Roman" w:cs="Times New Roman" w:eastAsia="Times New Roman" w:hAnsi="Times New Roman"/>
                <w:sz w:val="18"/>
                <w:szCs w:val="18"/>
                <w:color w:val="auto"/>
              </w:rPr>
              <w:t>$ 72.11</w:t>
            </w:r>
          </w:p>
        </w:tc>
        <w:tc>
          <w:tcPr>
            <w:tcW w:w="32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320" w:type="dxa"/>
            <w:vAlign w:val="bottom"/>
            <w:shd w:val="clear" w:color="auto" w:fill="D8D8D8"/>
          </w:tcPr>
          <w:p>
            <w:pPr>
              <w:spacing w:after="0"/>
              <w:rPr>
                <w:sz w:val="24"/>
                <w:szCs w:val="24"/>
                <w:color w:val="auto"/>
              </w:rPr>
            </w:pPr>
          </w:p>
        </w:tc>
        <w:tc>
          <w:tcPr>
            <w:tcW w:w="1000" w:type="dxa"/>
            <w:vAlign w:val="bottom"/>
            <w:vMerge w:val="restart"/>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3,220,720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180" w:type="dxa"/>
            <w:vAlign w:val="bottom"/>
            <w:gridSpan w:val="2"/>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20" w:hanging="451"/>
        <w:spacing w:after="0" w:line="25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show the possible payouts for each named executive officer for fiscal year 2012 based on performance goals set in January 2012.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31"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color w:val="auto"/>
        </w:rPr>
        <w:t>The cash incentive amounts actually earned for 2012 and payable in 2013 are reflected in the “Non-Equity Incentive Plan Compensation” column of the Summary Compensation Table. For information regarding the annual cash incentive paid to Schlumberger’s named executive officers with respect to 2012 performance, please see “Compensation Discussion and Analysis—Elements of Compensation—Annual Cash Incentive Decisions for 2012.”</w:t>
      </w:r>
    </w:p>
    <w:p>
      <w:pPr>
        <w:spacing w:after="0" w:line="38" w:lineRule="exact"/>
        <w:rPr>
          <w:sz w:val="20"/>
          <w:szCs w:val="20"/>
          <w:color w:val="auto"/>
        </w:rPr>
      </w:pPr>
    </w:p>
    <w:p>
      <w:pPr>
        <w:ind w:left="500" w:right="160" w:hanging="451"/>
        <w:spacing w:after="0" w:line="26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24" w:lineRule="exact"/>
        <w:rPr>
          <w:sz w:val="20"/>
          <w:szCs w:val="20"/>
          <w:color w:val="auto"/>
        </w:rPr>
      </w:pPr>
    </w:p>
    <w:p>
      <w:pPr>
        <w:ind w:left="460" w:right="360"/>
        <w:spacing w:after="0" w:line="275" w:lineRule="auto"/>
        <w:rPr>
          <w:sz w:val="20"/>
          <w:szCs w:val="20"/>
          <w:color w:val="auto"/>
        </w:rPr>
      </w:pPr>
      <w:r>
        <w:rPr>
          <w:rFonts w:ascii="Times New Roman" w:cs="Times New Roman" w:eastAsia="Times New Roman" w:hAnsi="Times New Roman"/>
          <w:sz w:val="18"/>
          <w:szCs w:val="18"/>
          <w:color w:val="auto"/>
        </w:rPr>
        <w:t>The stock options granted in January 2012 vest in five equal annual installments, except for options granted to employees in France, including Mr. Pai, which are subject to four-year cliff vesting.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2012</w:t>
      </w:r>
    </w:p>
    <w:p>
      <w:pPr>
        <w:spacing w:after="0" w:line="1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following table provides information regarding unexercised stock options outstanding for each of our named executive officers as of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600" w:type="dxa"/>
            <w:vAlign w:val="bottom"/>
          </w:tcPr>
          <w:p>
            <w:pPr>
              <w:spacing w:after="0"/>
              <w:rPr>
                <w:sz w:val="13"/>
                <w:szCs w:val="13"/>
                <w:color w:val="auto"/>
              </w:rPr>
            </w:pPr>
          </w:p>
        </w:tc>
        <w:tc>
          <w:tcPr>
            <w:tcW w:w="19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00" w:type="dxa"/>
            <w:vAlign w:val="bottom"/>
          </w:tcPr>
          <w:p>
            <w:pPr>
              <w:spacing w:after="0"/>
              <w:rPr>
                <w:sz w:val="12"/>
                <w:szCs w:val="12"/>
                <w:color w:val="auto"/>
              </w:rPr>
            </w:pPr>
          </w:p>
        </w:tc>
        <w:tc>
          <w:tcPr>
            <w:tcW w:w="19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11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r>
      <w:tr>
        <w:trPr>
          <w:trHeight w:val="138"/>
        </w:trPr>
        <w:tc>
          <w:tcPr>
            <w:tcW w:w="3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Option Grant</w:t>
            </w:r>
          </w:p>
        </w:tc>
        <w:tc>
          <w:tcPr>
            <w:tcW w:w="52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600" w:type="dxa"/>
            <w:vAlign w:val="bottom"/>
          </w:tcPr>
          <w:p>
            <w:pPr>
              <w:spacing w:after="0"/>
              <w:rPr>
                <w:sz w:val="12"/>
                <w:szCs w:val="12"/>
                <w:color w:val="auto"/>
              </w:rPr>
            </w:pPr>
          </w:p>
        </w:tc>
        <w:tc>
          <w:tcPr>
            <w:tcW w:w="1960" w:type="dxa"/>
            <w:vAlign w:val="bottom"/>
            <w:gridSpan w:val="2"/>
          </w:tcPr>
          <w:p>
            <w:pPr>
              <w:jc w:val="center"/>
              <w:ind w:right="7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11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176"/>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9"/>
              </w:rPr>
              <w:t>(#) Exercisable</w:t>
            </w:r>
            <w:r>
              <w:rPr>
                <w:rFonts w:ascii="Times New Roman" w:cs="Times New Roman" w:eastAsia="Times New Roman" w:hAnsi="Times New Roman"/>
                <w:sz w:val="20"/>
                <w:szCs w:val="20"/>
                <w:b w:val="1"/>
                <w:bCs w:val="1"/>
                <w:color w:val="auto"/>
                <w:w w:val="99"/>
                <w:vertAlign w:val="superscript"/>
              </w:rPr>
              <w:t>(1)</w:t>
            </w:r>
          </w:p>
        </w:tc>
        <w:tc>
          <w:tcPr>
            <w:tcW w:w="600" w:type="dxa"/>
            <w:vAlign w:val="bottom"/>
          </w:tcPr>
          <w:p>
            <w:pPr>
              <w:spacing w:after="0"/>
              <w:rPr>
                <w:sz w:val="15"/>
                <w:szCs w:val="15"/>
                <w:color w:val="auto"/>
              </w:rPr>
            </w:pPr>
          </w:p>
        </w:tc>
        <w:tc>
          <w:tcPr>
            <w:tcW w:w="1960" w:type="dxa"/>
            <w:vAlign w:val="bottom"/>
            <w:gridSpan w:val="2"/>
          </w:tcPr>
          <w:p>
            <w:pPr>
              <w:jc w:val="center"/>
              <w:ind w:right="720"/>
              <w:spacing w:after="0" w:line="176" w:lineRule="exact"/>
              <w:rPr>
                <w:sz w:val="20"/>
                <w:szCs w:val="20"/>
                <w:color w:val="auto"/>
              </w:rPr>
            </w:pPr>
            <w:r>
              <w:rPr>
                <w:rFonts w:ascii="Times New Roman" w:cs="Times New Roman" w:eastAsia="Times New Roman" w:hAnsi="Times New Roman"/>
                <w:sz w:val="13"/>
                <w:szCs w:val="13"/>
                <w:b w:val="1"/>
                <w:bCs w:val="1"/>
                <w:color w:val="auto"/>
              </w:rPr>
              <w:t>(#) Unexercisable</w:t>
            </w:r>
            <w:r>
              <w:rPr>
                <w:rFonts w:ascii="Times New Roman" w:cs="Times New Roman" w:eastAsia="Times New Roman" w:hAnsi="Times New Roman"/>
                <w:sz w:val="20"/>
                <w:szCs w:val="20"/>
                <w:b w:val="1"/>
                <w:bCs w:val="1"/>
                <w:color w:val="auto"/>
                <w:vertAlign w:val="superscript"/>
              </w:rPr>
              <w:t>(1)</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10"/>
        </w:trPr>
        <w:tc>
          <w:tcPr>
            <w:tcW w:w="354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7/19/2006</w:t>
            </w:r>
          </w:p>
        </w:tc>
        <w:tc>
          <w:tcPr>
            <w:tcW w:w="100" w:type="dxa"/>
            <w:vAlign w:val="bottom"/>
            <w:tcBorders>
              <w:top w:val="single" w:sz="8" w:color="D8D8D8"/>
            </w:tcBorders>
            <w:shd w:val="clear" w:color="auto" w:fill="D8D8D8"/>
          </w:tcPr>
          <w:p>
            <w:pPr>
              <w:spacing w:after="0"/>
              <w:rPr>
                <w:sz w:val="18"/>
                <w:szCs w:val="18"/>
                <w:color w:val="auto"/>
              </w:rPr>
            </w:pPr>
          </w:p>
        </w:tc>
        <w:tc>
          <w:tcPr>
            <w:tcW w:w="52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0" w:type="dxa"/>
            <w:vAlign w:val="bottom"/>
            <w:tcBorders>
              <w:top w:val="single" w:sz="8" w:color="D8D8D8"/>
            </w:tcBorders>
            <w:shd w:val="clear" w:color="auto" w:fill="D8D8D8"/>
          </w:tcPr>
          <w:p>
            <w:pPr>
              <w:spacing w:after="0"/>
              <w:rPr>
                <w:sz w:val="18"/>
                <w:szCs w:val="18"/>
                <w:color w:val="auto"/>
              </w:rPr>
            </w:pPr>
          </w:p>
        </w:tc>
        <w:tc>
          <w:tcPr>
            <w:tcW w:w="12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w w:val="92"/>
              </w:rPr>
              <w:t>63.545</w:t>
            </w:r>
          </w:p>
        </w:tc>
        <w:tc>
          <w:tcPr>
            <w:tcW w:w="60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7/19/2016</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1/17/2008</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9,400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1/22/2009</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4/23/2009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45.880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4/23/2019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1/21/2010</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28,200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2/4/2010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38,400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63.760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2/4/2020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110,400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7/21/2011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89.995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7/21/2021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429,000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1/19/2022</w:t>
            </w:r>
          </w:p>
        </w:tc>
      </w:tr>
      <w:tr>
        <w:trPr>
          <w:trHeight w:val="3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1/18/2006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54.235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1/18/2016</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1/17/2007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58.455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1/17/2017</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1/17/2008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12,000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84.930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1/17/2018</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1/22/2009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37.845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1/21/2010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57,000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68.505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1/20/2011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150,400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83.885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1/20/2021</w:t>
            </w:r>
          </w:p>
        </w:tc>
      </w:tr>
      <w:tr>
        <w:trPr>
          <w:trHeight w:val="229"/>
        </w:trPr>
        <w:tc>
          <w:tcPr>
            <w:tcW w:w="354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1/19/2012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137,000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72.110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1/19/2022</w:t>
            </w:r>
          </w:p>
        </w:tc>
      </w:tr>
      <w:tr>
        <w:trPr>
          <w:trHeight w:val="323"/>
        </w:trPr>
        <w:tc>
          <w:tcPr>
            <w:tcW w:w="35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52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1/18/2006</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54.235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1/18/2016</w:t>
            </w:r>
          </w:p>
        </w:tc>
      </w:tr>
      <w:tr>
        <w:trPr>
          <w:trHeight w:val="218"/>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7/19/2006</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63.545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7/19/2016</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1/17/2008</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8,000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1/22/2009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34,000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4/23/2009</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24,000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45.880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4/23/2019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47,000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2/4/2010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68,000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63.760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2/4/2020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83,334</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64.225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10/21/2020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88,000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137,000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1/19/2022</w:t>
            </w:r>
          </w:p>
        </w:tc>
      </w:tr>
      <w:tr>
        <w:trPr>
          <w:trHeight w:val="3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1/17/2008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84.930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1/17/2018</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1/22/2009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4,800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37.845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4/23/2009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45.880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1/21/2010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68.505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1/20/2011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32,000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83.885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1/20/2021</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4/21/2011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90.065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4/21/2021</w:t>
            </w:r>
          </w:p>
        </w:tc>
      </w:tr>
      <w:tr>
        <w:trPr>
          <w:trHeight w:val="229"/>
        </w:trPr>
        <w:tc>
          <w:tcPr>
            <w:tcW w:w="354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1/19/2012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137,000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72.110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1/19/2022</w:t>
            </w:r>
          </w:p>
        </w:tc>
      </w:tr>
      <w:tr>
        <w:trPr>
          <w:trHeight w:val="323"/>
        </w:trPr>
        <w:tc>
          <w:tcPr>
            <w:tcW w:w="35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52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1/18/2006</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54.235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1/18/2016</w:t>
            </w:r>
          </w:p>
        </w:tc>
      </w:tr>
      <w:tr>
        <w:trPr>
          <w:trHeight w:val="218"/>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1/17/2007</w:t>
            </w: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58.455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1/17/2017</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1/17/2008</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12,000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1/22/2009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35,400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103,200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Times New Roman" w:cs="Times New Roman" w:eastAsia="Times New Roman" w:hAnsi="Times New Roman"/>
                <w:sz w:val="18"/>
                <w:szCs w:val="18"/>
                <w:color w:val="auto"/>
              </w:rPr>
              <w:t>127,000</w:t>
            </w:r>
          </w:p>
        </w:tc>
        <w:tc>
          <w:tcPr>
            <w:tcW w:w="114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1/19/2022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100" w:hanging="451"/>
        <w:spacing w:after="0" w:line="26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from July 2003 to January 2006 have four-year ratable vesting and stock price appreciation is capped at 125% of the exercise price on the date of grant. The grants listed in the table above that were made before and after these dates have five-year ratable vesting and no profit cap, except for options granted to employees in France, including Mr. Pai, which have four-year cliff vesting.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Year 2012</w:t>
      </w:r>
    </w:p>
    <w:p>
      <w:pPr>
        <w:spacing w:after="0" w:line="173"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stock options exercised by the named executive officers during 2012. Option award value realized is calculated by subtracting the aggregate exercise price of the options exercised from the aggregate market value of the shares of Schlumberger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60" w:type="dxa"/>
            <w:vAlign w:val="bottom"/>
            <w:gridSpan w:val="2"/>
          </w:tcPr>
          <w:p>
            <w:pPr>
              <w:jc w:val="center"/>
              <w:ind w:right="9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65"/>
        </w:trPr>
        <w:tc>
          <w:tcPr>
            <w:tcW w:w="8440" w:type="dxa"/>
            <w:vAlign w:val="bottom"/>
            <w:gridSpan w:val="2"/>
            <w:vMerge w:val="continue"/>
          </w:tcPr>
          <w:p>
            <w:pPr>
              <w:spacing w:after="0"/>
              <w:rPr>
                <w:sz w:val="14"/>
                <w:szCs w:val="14"/>
                <w:color w:val="auto"/>
              </w:rPr>
            </w:pPr>
          </w:p>
        </w:tc>
        <w:tc>
          <w:tcPr>
            <w:tcW w:w="19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6"/>
              </w:rPr>
              <w:t>on Exercise(#)</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880" w:type="dxa"/>
            <w:vAlign w:val="bottom"/>
            <w:tcBorders>
              <w:top w:val="single" w:sz="8" w:color="D8D8D8"/>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920" w:type="dxa"/>
            <w:vAlign w:val="bottom"/>
            <w:tcBorders>
              <w:top w:val="single" w:sz="8" w:color="D8D8D8"/>
            </w:tcBorders>
            <w:shd w:val="clear" w:color="auto" w:fill="D8D8D8"/>
          </w:tcPr>
          <w:p>
            <w:pPr>
              <w:spacing w:after="0"/>
              <w:rPr>
                <w:sz w:val="18"/>
                <w:szCs w:val="18"/>
                <w:color w:val="auto"/>
              </w:rPr>
            </w:pPr>
          </w:p>
        </w:tc>
        <w:tc>
          <w:tcPr>
            <w:tcW w:w="60" w:type="dxa"/>
            <w:vAlign w:val="bottom"/>
            <w:tcBorders>
              <w:top w:val="single" w:sz="8" w:color="D8D8D8"/>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791,000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19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1960" w:type="dxa"/>
            <w:vAlign w:val="bottom"/>
            <w:gridSpan w:val="2"/>
            <w:shd w:val="clear" w:color="auto" w:fill="D8D8D8"/>
          </w:tcPr>
          <w:p>
            <w:pPr>
              <w:jc w:val="right"/>
              <w:ind w:right="920"/>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gridSpan w:val="3"/>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$ 5,103,700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 Oestdahl</w:t>
            </w:r>
          </w:p>
        </w:tc>
        <w:tc>
          <w:tcPr>
            <w:tcW w:w="19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16,200</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1960" w:type="dxa"/>
            <w:vAlign w:val="bottom"/>
            <w:gridSpan w:val="2"/>
            <w:shd w:val="clear" w:color="auto" w:fill="D8D8D8"/>
          </w:tcPr>
          <w:p>
            <w:pPr>
              <w:jc w:val="right"/>
              <w:ind w:right="9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 for Fiscal Year 2012</w:t>
      </w:r>
    </w:p>
    <w:p>
      <w:pPr>
        <w:spacing w:after="0" w:line="173"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Schlumberger maintains the following pension plans for executive officers and other employees, which provide for lifetime pensions upon retirement, based on years of service:</w:t>
      </w:r>
    </w:p>
    <w:p>
      <w:pPr>
        <w:spacing w:after="0" w:line="39" w:lineRule="exact"/>
        <w:rPr>
          <w:sz w:val="20"/>
          <w:szCs w:val="20"/>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Pension Plan (“SLB Pension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Pension Plan (“STC Pension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Supplementary Benefit Plan (“SLB Supplementary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Supplementary Benefit Plan (“STC Supplementary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French Supplementary Pension Plan (“SLB French Supplementary Plan”);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International Staff Pension Plan (“SLB International Staff Pension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and narrative disclosure set forth certain information with respect to pension benefits payable to the named executive officers.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2"/>
              </w:rPr>
              <w:t>Number of</w:t>
            </w:r>
          </w:p>
        </w:tc>
        <w:tc>
          <w:tcPr>
            <w:tcW w:w="1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3"/>
              </w:rPr>
              <w:t>Present Value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Years of</w:t>
            </w:r>
          </w:p>
        </w:tc>
        <w:tc>
          <w:tcPr>
            <w:tcW w:w="15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Credited</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tcPr>
          <w:p>
            <w:pPr>
              <w:spacing w:after="0"/>
              <w:rPr>
                <w:sz w:val="12"/>
                <w:szCs w:val="12"/>
                <w:color w:val="auto"/>
              </w:rPr>
            </w:pPr>
          </w:p>
        </w:tc>
        <w:tc>
          <w:tcPr>
            <w:tcW w:w="378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700" w:type="dxa"/>
            <w:vAlign w:val="bottom"/>
          </w:tcPr>
          <w:p>
            <w:pPr>
              <w:spacing w:after="0"/>
              <w:rPr>
                <w:sz w:val="12"/>
                <w:szCs w:val="12"/>
                <w:color w:val="auto"/>
              </w:rPr>
            </w:pPr>
          </w:p>
        </w:tc>
        <w:tc>
          <w:tcPr>
            <w:tcW w:w="142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Service (#)</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Benefits ($)</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Payments During</w:t>
            </w:r>
          </w:p>
        </w:tc>
        <w:tc>
          <w:tcPr>
            <w:tcW w:w="0" w:type="dxa"/>
            <w:vAlign w:val="bottom"/>
          </w:tcPr>
          <w:p>
            <w:pPr>
              <w:spacing w:after="0"/>
              <w:rPr>
                <w:sz w:val="1"/>
                <w:szCs w:val="1"/>
                <w:color w:val="auto"/>
              </w:rPr>
            </w:pPr>
          </w:p>
        </w:tc>
      </w:tr>
      <w:tr>
        <w:trPr>
          <w:trHeight w:val="165"/>
        </w:trPr>
        <w:tc>
          <w:tcPr>
            <w:tcW w:w="2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1320" w:type="dxa"/>
            <w:vAlign w:val="bottom"/>
            <w:gridSpan w:val="2"/>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8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Last Fiscal Year</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680" w:type="dxa"/>
            <w:vAlign w:val="bottom"/>
            <w:tcBorders>
              <w:top w:val="single" w:sz="8" w:color="D8D8D8"/>
            </w:tcBorders>
            <w:shd w:val="clear" w:color="auto" w:fill="D8D8D8"/>
          </w:tcPr>
          <w:p>
            <w:pPr>
              <w:spacing w:after="0"/>
              <w:rPr>
                <w:sz w:val="18"/>
                <w:szCs w:val="18"/>
                <w:color w:val="auto"/>
              </w:rPr>
            </w:pPr>
          </w:p>
        </w:tc>
        <w:tc>
          <w:tcPr>
            <w:tcW w:w="378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Pension Plan</w:t>
            </w:r>
          </w:p>
        </w:tc>
        <w:tc>
          <w:tcPr>
            <w:tcW w:w="700" w:type="dxa"/>
            <w:vAlign w:val="bottom"/>
            <w:tcBorders>
              <w:top w:val="single" w:sz="8" w:color="D8D8D8"/>
            </w:tcBorders>
            <w:shd w:val="clear" w:color="auto" w:fill="D8D8D8"/>
          </w:tcPr>
          <w:p>
            <w:pPr>
              <w:spacing w:after="0"/>
              <w:rPr>
                <w:sz w:val="18"/>
                <w:szCs w:val="18"/>
                <w:color w:val="auto"/>
              </w:rPr>
            </w:pPr>
          </w:p>
        </w:tc>
        <w:tc>
          <w:tcPr>
            <w:tcW w:w="6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0" w:type="dxa"/>
            <w:vAlign w:val="bottom"/>
            <w:tcBorders>
              <w:top w:val="single" w:sz="8" w:color="D8D8D8"/>
            </w:tcBorders>
            <w:shd w:val="clear" w:color="auto" w:fill="D8D8D8"/>
          </w:tcPr>
          <w:p>
            <w:pPr>
              <w:spacing w:after="0"/>
              <w:rPr>
                <w:sz w:val="18"/>
                <w:szCs w:val="18"/>
                <w:color w:val="auto"/>
              </w:rPr>
            </w:pPr>
          </w:p>
        </w:tc>
        <w:tc>
          <w:tcPr>
            <w:tcW w:w="78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135,822</w:t>
            </w:r>
          </w:p>
        </w:tc>
        <w:tc>
          <w:tcPr>
            <w:tcW w:w="800" w:type="dxa"/>
            <w:vAlign w:val="bottom"/>
            <w:tcBorders>
              <w:top w:val="single" w:sz="8" w:color="D8D8D8"/>
            </w:tcBorders>
            <w:shd w:val="clear" w:color="auto" w:fill="D8D8D8"/>
          </w:tcPr>
          <w:p>
            <w:pPr>
              <w:spacing w:after="0"/>
              <w:rPr>
                <w:sz w:val="18"/>
                <w:szCs w:val="18"/>
                <w:color w:val="auto"/>
              </w:rPr>
            </w:pPr>
          </w:p>
        </w:tc>
        <w:tc>
          <w:tcPr>
            <w:tcW w:w="10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166,031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4.75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1,159,878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4.25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3.20</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174,101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SLB Pension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442,389</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STC Pension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0.75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72,470</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SLB Supplementary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2,167,997</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STC Supplementary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0.50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SLB French Supplementary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0.75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173,223</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10.60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814,496</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680" w:type="dxa"/>
            <w:vAlign w:val="bottom"/>
            <w:shd w:val="clear" w:color="auto" w:fill="D8D8D8"/>
          </w:tcPr>
          <w:p>
            <w:pPr>
              <w:spacing w:after="0"/>
              <w:rPr>
                <w:sz w:val="24"/>
                <w:szCs w:val="24"/>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Pension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298,200</w:t>
            </w:r>
          </w:p>
        </w:tc>
        <w:tc>
          <w:tcPr>
            <w:tcW w:w="8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7.25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272,400</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1,252,511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388,518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French Supplementary Plan</w:t>
            </w:r>
          </w:p>
        </w:tc>
        <w:tc>
          <w:tcPr>
            <w:tcW w:w="700" w:type="dxa"/>
            <w:vAlign w:val="bottom"/>
            <w:shd w:val="clear" w:color="auto" w:fill="D8D8D8"/>
          </w:tcPr>
          <w:p>
            <w:pPr>
              <w:spacing w:after="0"/>
              <w:rPr>
                <w:sz w:val="18"/>
                <w:szCs w:val="18"/>
                <w:color w:val="auto"/>
              </w:rPr>
            </w:pP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0" w:type="dxa"/>
            <w:vAlign w:val="bottom"/>
            <w:shd w:val="clear" w:color="auto" w:fill="D8D8D8"/>
          </w:tcPr>
          <w:p>
            <w:pPr>
              <w:spacing w:after="0"/>
              <w:rPr>
                <w:sz w:val="18"/>
                <w:szCs w:val="18"/>
                <w:color w:val="auto"/>
              </w:rPr>
            </w:pP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1,531,292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0" w:type="dxa"/>
            <w:vAlign w:val="bottom"/>
            <w:shd w:val="clear" w:color="auto" w:fill="D8D8D8"/>
          </w:tcPr>
          <w:p>
            <w:pPr>
              <w:spacing w:after="0"/>
              <w:rPr>
                <w:sz w:val="18"/>
                <w:szCs w:val="18"/>
                <w:color w:val="auto"/>
              </w:rPr>
            </w:pP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387,272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p>
        </w:tc>
        <w:tc>
          <w:tcPr>
            <w:tcW w:w="4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19.00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2,124,972</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16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680" w:type="dxa"/>
            <w:vAlign w:val="bottom"/>
            <w:shd w:val="clear" w:color="auto" w:fill="D8D8D8"/>
          </w:tcPr>
          <w:p>
            <w:pPr>
              <w:spacing w:after="0"/>
              <w:rPr>
                <w:sz w:val="24"/>
                <w:szCs w:val="24"/>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Pension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7.75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597,166</w:t>
            </w:r>
          </w:p>
        </w:tc>
        <w:tc>
          <w:tcPr>
            <w:tcW w:w="8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2.58</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7.75</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1,877,692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2.58</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122,081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593,194</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660" w:hanging="451"/>
        <w:spacing w:after="0" w:line="325"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does not grant and does not expect to grant extra years of credited service to named executive officers under the pension plans. The “Number of Years of Credited Service” column reflects each named executive officer’s actual years of service as a participant in each plan.</w:t>
      </w:r>
    </w:p>
    <w:p>
      <w:pPr>
        <w:spacing w:after="0" w:line="1" w:lineRule="exact"/>
        <w:rPr>
          <w:rFonts w:ascii="Times New Roman" w:cs="Times New Roman" w:eastAsia="Times New Roman" w:hAnsi="Times New Roman"/>
          <w:sz w:val="16"/>
          <w:szCs w:val="16"/>
          <w:color w:val="auto"/>
        </w:rPr>
      </w:pPr>
    </w:p>
    <w:p>
      <w:pPr>
        <w:ind w:left="500" w:right="20" w:hanging="451"/>
        <w:spacing w:after="0" w:line="258"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accumulated benefits is calculated using the 1994 Group Annuity Mortality Table and a discount rate of 4.25% at December 31, 2012. Retirement in each case is assumed to be the earlier of normal retirement age or December 31, 2012 if the named executive officer is employed after normal retirement age, or, as to Schlumberger’s U.S. plans, the date that the sum of the named executive officer’s age plus years of service has reached, or is expected to reach, 85, but not before the named executive officer reaches 55.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Tax-Qualified Pension Plans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Mr. Ayat is eligible for retirement with an unreduced pension under the rule of 85. The benefits are usually paid as a lifetime annuity.</w:t>
      </w:r>
    </w:p>
    <w:p>
      <w:pPr>
        <w:spacing w:after="0" w:line="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Schlumberger Supplementary Benefit Plans—Nonqualified Pension</w:t>
      </w:r>
    </w:p>
    <w:p>
      <w:pPr>
        <w:spacing w:after="0" w:line="1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Both the SLB Supplementary Plan and the STC Supplementary Plan contain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with five years of service, engages in certain dishonest acts or has violated a confidentiality arrangement involving the Company or its affiliates. Mr. Ayat is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Supplementary Pension Plan</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 at the time of retirement. The benefit is equivalent to 1.5% of admissible compensation (generally base salary and cash incentive) above the earnings cap for fewer than fifteen years of service and 2% of admissible compensation for more than fifteen years of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Staff Pension Plan</w:t>
      </w:r>
    </w:p>
    <w:p>
      <w:pPr>
        <w:spacing w:after="0" w:line="175"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This plan provides for a lifetime annuity upon retirement based on a specified number of years of service. The plan is funded through cash contributions made by the Company or its subsidiaries, along with mandatory contributions by employees.</w:t>
      </w:r>
    </w:p>
    <w:p>
      <w:pPr>
        <w:spacing w:after="0" w:line="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Benefits under this plan are based on a participant’s admissible compensation (base salary, geographical or rotational coefficient, as applicable, and performance or incentive bonus) for each year in which the employee participates in the plan and the employee’s length of service. The benefit earned up to December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with a reduction, at or after age 50 with 20 years of service.</w:t>
      </w:r>
    </w:p>
    <w:p>
      <w:pPr>
        <w:spacing w:after="0" w:line="5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Fiscal Year 2012</w:t>
      </w:r>
    </w:p>
    <w:p>
      <w:pPr>
        <w:spacing w:after="0" w:line="173"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and narrative disclosure set forth certain information with respect to nonqualified deferred compensation payable to the named executive officers.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Aggregate</w:t>
            </w:r>
          </w:p>
        </w:tc>
      </w:tr>
      <w:tr>
        <w:trPr>
          <w:trHeight w:val="149"/>
        </w:trPr>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Withdrawals/</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r>
      <w:tr>
        <w:trPr>
          <w:trHeight w:val="138"/>
        </w:trPr>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in Last FY</w:t>
            </w: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in Last FY</w:t>
            </w:r>
          </w:p>
        </w:tc>
        <w:tc>
          <w:tcPr>
            <w:tcW w:w="106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3"/>
              </w:rPr>
              <w:t>in Last FY</w:t>
            </w:r>
          </w:p>
        </w:tc>
        <w:tc>
          <w:tcPr>
            <w:tcW w:w="1200" w:type="dxa"/>
            <w:vAlign w:val="bottom"/>
            <w:gridSpan w:val="2"/>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8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Last FYE</w:t>
            </w:r>
          </w:p>
        </w:tc>
      </w:tr>
      <w:tr>
        <w:trPr>
          <w:trHeight w:val="176"/>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5"/>
                <w:szCs w:val="15"/>
                <w:color w:val="auto"/>
              </w:rPr>
            </w:pPr>
          </w:p>
        </w:tc>
        <w:tc>
          <w:tcPr>
            <w:tcW w:w="372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140" w:type="dxa"/>
            <w:vAlign w:val="bottom"/>
            <w:gridSpan w:val="2"/>
          </w:tcPr>
          <w:p>
            <w:pPr>
              <w:jc w:val="center"/>
              <w:ind w:left="234"/>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(1)</w:t>
            </w:r>
          </w:p>
        </w:tc>
        <w:tc>
          <w:tcPr>
            <w:tcW w:w="42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(2)</w:t>
            </w:r>
          </w:p>
        </w:tc>
        <w:tc>
          <w:tcPr>
            <w:tcW w:w="4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r>
      <w:tr>
        <w:trPr>
          <w:trHeight w:val="210"/>
        </w:trPr>
        <w:tc>
          <w:tcPr>
            <w:tcW w:w="146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320" w:type="dxa"/>
            <w:vAlign w:val="bottom"/>
            <w:tcBorders>
              <w:top w:val="single" w:sz="8" w:color="D8D8D8"/>
            </w:tcBorders>
            <w:shd w:val="clear" w:color="auto" w:fill="D8D8D8"/>
          </w:tcPr>
          <w:p>
            <w:pPr>
              <w:spacing w:after="0"/>
              <w:rPr>
                <w:sz w:val="18"/>
                <w:szCs w:val="18"/>
                <w:color w:val="auto"/>
              </w:rPr>
            </w:pPr>
          </w:p>
        </w:tc>
        <w:tc>
          <w:tcPr>
            <w:tcW w:w="372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2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94,209</w:t>
            </w:r>
          </w:p>
        </w:tc>
        <w:tc>
          <w:tcPr>
            <w:tcW w:w="42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96,394</w:t>
            </w:r>
          </w:p>
        </w:tc>
        <w:tc>
          <w:tcPr>
            <w:tcW w:w="42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374,334</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2,385</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85,142</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8,978</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94,653</w:t>
            </w:r>
          </w:p>
        </w:tc>
        <w:tc>
          <w:tcPr>
            <w:tcW w:w="100" w:type="dxa"/>
            <w:vAlign w:val="bottom"/>
            <w:shd w:val="clear" w:color="auto" w:fill="D8D8D8"/>
          </w:tcPr>
          <w:p>
            <w:pPr>
              <w:spacing w:after="0"/>
              <w:rPr>
                <w:sz w:val="18"/>
                <w:szCs w:val="18"/>
                <w:color w:val="auto"/>
              </w:rPr>
            </w:pPr>
          </w:p>
        </w:tc>
      </w:tr>
      <w:tr>
        <w:trPr>
          <w:trHeight w:val="3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 Ayat</w:t>
            </w: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SLB Supplementary Plan</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50,043</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76,107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298,236</w:t>
            </w:r>
          </w:p>
        </w:tc>
        <w:tc>
          <w:tcPr>
            <w:tcW w:w="10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9,562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341,315</w:t>
            </w:r>
          </w:p>
        </w:tc>
        <w:tc>
          <w:tcPr>
            <w:tcW w:w="100" w:type="dxa"/>
            <w:vAlign w:val="bottom"/>
          </w:tcPr>
          <w:p>
            <w:pPr>
              <w:spacing w:after="0"/>
              <w:rPr>
                <w:sz w:val="18"/>
                <w:szCs w:val="18"/>
                <w:color w:val="auto"/>
              </w:rPr>
            </w:pPr>
          </w:p>
        </w:tc>
      </w:tr>
      <w:tr>
        <w:trPr>
          <w:trHeight w:val="229"/>
        </w:trPr>
        <w:tc>
          <w:tcPr>
            <w:tcW w:w="1460" w:type="dxa"/>
            <w:vAlign w:val="bottom"/>
          </w:tcPr>
          <w:p>
            <w:pPr>
              <w:spacing w:after="0"/>
              <w:rPr>
                <w:sz w:val="19"/>
                <w:szCs w:val="19"/>
                <w:color w:val="auto"/>
              </w:rPr>
            </w:pP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International Staff Plan</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101,377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1,095,936</w:t>
            </w:r>
          </w:p>
        </w:tc>
        <w:tc>
          <w:tcPr>
            <w:tcW w:w="100" w:type="dxa"/>
            <w:vAlign w:val="bottom"/>
          </w:tcPr>
          <w:p>
            <w:pPr>
              <w:spacing w:after="0"/>
              <w:rPr>
                <w:sz w:val="19"/>
                <w:szCs w:val="19"/>
                <w:color w:val="auto"/>
              </w:rPr>
            </w:pPr>
          </w:p>
        </w:tc>
      </w:tr>
      <w:tr>
        <w:trPr>
          <w:trHeight w:val="323"/>
        </w:trPr>
        <w:tc>
          <w:tcPr>
            <w:tcW w:w="146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320" w:type="dxa"/>
            <w:vAlign w:val="bottom"/>
            <w:shd w:val="clear" w:color="auto" w:fill="D8D8D8"/>
          </w:tcPr>
          <w:p>
            <w:pPr>
              <w:spacing w:after="0"/>
              <w:rPr>
                <w:sz w:val="24"/>
                <w:szCs w:val="24"/>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33,079</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24"/>
                <w:szCs w:val="24"/>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327,054</w:t>
            </w:r>
          </w:p>
        </w:tc>
        <w:tc>
          <w:tcPr>
            <w:tcW w:w="100" w:type="dxa"/>
            <w:vAlign w:val="bottom"/>
            <w:shd w:val="clear" w:color="auto" w:fill="D8D8D8"/>
          </w:tcPr>
          <w:p>
            <w:pPr>
              <w:spacing w:after="0"/>
              <w:rPr>
                <w:sz w:val="24"/>
                <w:szCs w:val="24"/>
                <w:color w:val="auto"/>
              </w:rPr>
            </w:pPr>
          </w:p>
        </w:tc>
      </w:tr>
      <w:tr>
        <w:trPr>
          <w:trHeight w:val="218"/>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38,102</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1,359,974</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96,152</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141,409</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547,158</w:t>
            </w:r>
          </w:p>
        </w:tc>
        <w:tc>
          <w:tcPr>
            <w:tcW w:w="100" w:type="dxa"/>
            <w:vAlign w:val="bottom"/>
            <w:shd w:val="clear" w:color="auto" w:fill="D8D8D8"/>
          </w:tcPr>
          <w:p>
            <w:pPr>
              <w:spacing w:after="0"/>
              <w:rPr>
                <w:sz w:val="18"/>
                <w:szCs w:val="18"/>
                <w:color w:val="auto"/>
              </w:rPr>
            </w:pPr>
          </w:p>
        </w:tc>
      </w:tr>
      <w:tr>
        <w:trPr>
          <w:trHeight w:val="3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K.-E. Oestdahl</w:t>
            </w: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International Staff Plan</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87,573</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62,464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320,029</w:t>
            </w:r>
          </w:p>
        </w:tc>
        <w:tc>
          <w:tcPr>
            <w:tcW w:w="100" w:type="dxa"/>
            <w:vAlign w:val="bottom"/>
          </w:tcPr>
          <w:p>
            <w:pPr>
              <w:spacing w:after="0"/>
              <w:rPr>
                <w:sz w:val="24"/>
                <w:szCs w:val="24"/>
                <w:color w:val="auto"/>
              </w:rPr>
            </w:pPr>
          </w:p>
        </w:tc>
      </w:tr>
      <w:tr>
        <w:trPr>
          <w:trHeight w:val="229"/>
        </w:trPr>
        <w:tc>
          <w:tcPr>
            <w:tcW w:w="1460" w:type="dxa"/>
            <w:vAlign w:val="bottom"/>
          </w:tcPr>
          <w:p>
            <w:pPr>
              <w:spacing w:after="0"/>
              <w:rPr>
                <w:sz w:val="19"/>
                <w:szCs w:val="19"/>
                <w:color w:val="auto"/>
              </w:rPr>
            </w:pP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Norway DC Pension Plan</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8,685</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tcPr>
          <w:p>
            <w:pPr>
              <w:spacing w:after="0"/>
              <w:rPr>
                <w:sz w:val="19"/>
                <w:szCs w:val="19"/>
                <w:color w:val="auto"/>
              </w:rPr>
            </w:pPr>
          </w:p>
        </w:tc>
      </w:tr>
      <w:tr>
        <w:trPr>
          <w:trHeight w:val="323"/>
        </w:trPr>
        <w:tc>
          <w:tcPr>
            <w:tcW w:w="146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320" w:type="dxa"/>
            <w:vAlign w:val="bottom"/>
            <w:shd w:val="clear" w:color="auto" w:fill="D8D8D8"/>
          </w:tcPr>
          <w:p>
            <w:pPr>
              <w:spacing w:after="0"/>
              <w:rPr>
                <w:sz w:val="24"/>
                <w:szCs w:val="24"/>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41,598</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60,572</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24"/>
                <w:szCs w:val="24"/>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266,260</w:t>
            </w:r>
          </w:p>
        </w:tc>
        <w:tc>
          <w:tcPr>
            <w:tcW w:w="100" w:type="dxa"/>
            <w:vAlign w:val="bottom"/>
            <w:shd w:val="clear" w:color="auto" w:fill="D8D8D8"/>
          </w:tcPr>
          <w:p>
            <w:pPr>
              <w:spacing w:after="0"/>
              <w:rPr>
                <w:sz w:val="24"/>
                <w:szCs w:val="24"/>
                <w:color w:val="auto"/>
              </w:rPr>
            </w:pPr>
          </w:p>
        </w:tc>
      </w:tr>
      <w:tr>
        <w:trPr>
          <w:trHeight w:val="218"/>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207,990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41,598</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65,122</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1,128,069</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Times New Roman" w:cs="Times New Roman" w:eastAsia="Times New Roman" w:hAnsi="Times New Roman"/>
                <w:sz w:val="18"/>
                <w:szCs w:val="18"/>
                <w:color w:val="auto"/>
              </w:rPr>
              <w:t>74,262</w:t>
            </w:r>
          </w:p>
        </w:tc>
        <w:tc>
          <w:tcPr>
            <w:tcW w:w="80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838,416</w:t>
            </w:r>
          </w:p>
        </w:tc>
        <w:tc>
          <w:tcPr>
            <w:tcW w:w="100" w:type="dxa"/>
            <w:vAlign w:val="bottom"/>
            <w:shd w:val="clear" w:color="auto" w:fill="D8D8D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40" w:hanging="451"/>
        <w:spacing w:after="0" w:line="26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“Executive Contributions in Last FY” column represent elective contributions of a portion of a named executive officer’s base salary and non-equity incentive plan compensation to the SLB Restoration Savings Plan (which amounts are also included as 2012 “Salary” and 2012 “Non-Equity Incentive Plan Compensation” in the Summary Compensation Table).</w:t>
      </w:r>
    </w:p>
    <w:p>
      <w:pPr>
        <w:spacing w:after="0" w:line="37" w:lineRule="exact"/>
        <w:rPr>
          <w:rFonts w:ascii="Times New Roman" w:cs="Times New Roman" w:eastAsia="Times New Roman" w:hAnsi="Times New Roman"/>
          <w:sz w:val="18"/>
          <w:szCs w:val="18"/>
          <w:color w:val="auto"/>
        </w:rPr>
      </w:pPr>
    </w:p>
    <w:p>
      <w:pPr>
        <w:ind w:left="500" w:right="20" w:hanging="451"/>
        <w:spacing w:after="0" w:line="26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“Company Contributions in Last FY” column represent Schlumberger’s contributions to each named executive officer’s SLB Supplementary Plan, SLB Restoration Savings Plan, Norway DC Pension Plan and International Staff Plan accounts, as applicable, which amounts are also reported as 2012 “All Other Compensation” in the Summary Compensation Table.</w:t>
      </w:r>
    </w:p>
    <w:p>
      <w:pPr>
        <w:spacing w:after="0" w:line="37" w:lineRule="exact"/>
        <w:rPr>
          <w:rFonts w:ascii="Times New Roman" w:cs="Times New Roman" w:eastAsia="Times New Roman" w:hAnsi="Times New Roman"/>
          <w:sz w:val="18"/>
          <w:szCs w:val="18"/>
          <w:color w:val="auto"/>
        </w:rPr>
      </w:pPr>
    </w:p>
    <w:p>
      <w:pPr>
        <w:jc w:val="both"/>
        <w:ind w:left="500" w:right="20" w:hanging="451"/>
        <w:spacing w:after="0" w:line="26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“Aggregate Balance at Last FYE” column represent balances from the SLB Restoration Savings Plan, the SLB Supplementary Plan, the Norway DC Pension Plan and the International Staff Plan, and include various amounts previously reported in the Summary Compensation Table as All Other Compensation.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Supplementary Benefit Plan—Non-Qualified Profit Sharing</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SLB Supplementary Plan provides certain non-tax-qualified defined contribution benefits for eligible employees, including executive officers.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Technology Corporation maintains a plan with substantially identical terms.</w:t>
      </w:r>
    </w:p>
    <w:p>
      <w:pPr>
        <w:spacing w:after="0" w:line="7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SLB Supplementary Plan provides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terminates employment before completing four years of service, engage in certain dishonest acts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Restoration Savings Plan</w:t>
      </w:r>
    </w:p>
    <w:p>
      <w:pPr>
        <w:spacing w:after="0" w:line="17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SLB Restoration Savings Plan, a non-qualified deferred compensation plan, provides certain defined contribution benefits for eligible employees, including the named executive officers.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5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 eligible employee may elect in advance to defer a percentage (from 1% to 15% or, effective January 1, 2013, up to 50%) of his or her compensation (generally base salary and cash incentive) over the Code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Historically, the Company has not made a matching contribution in non-profitable years; provided, however, that effective January 1, 2013, the match is made each payroll period and is not contingent on profits. Employees’ accounts are credited with interest, calculated to mirror the interest earnings of the Short-Term Fixed Income Fund under the Schlumberger Master Profit Sharing Trust, which was 2.88% in 2012. Matching contributions and related interest vest based on the employee’s years of service, as follows:</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2 years</w:t>
            </w:r>
          </w:p>
        </w:tc>
        <w:tc>
          <w:tcPr>
            <w:tcW w:w="4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vested</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vested</w:t>
            </w:r>
          </w:p>
        </w:tc>
      </w:tr>
      <w:tr>
        <w:trPr>
          <w:trHeight w:val="216"/>
        </w:trPr>
        <w:tc>
          <w:tcPr>
            <w:tcW w:w="362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4 years</w:t>
            </w:r>
          </w:p>
        </w:tc>
        <w:tc>
          <w:tcPr>
            <w:tcW w:w="41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100% vested</w:t>
            </w:r>
          </w:p>
        </w:tc>
      </w:tr>
    </w:tbl>
    <w:p>
      <w:pPr>
        <w:spacing w:after="0" w:line="67"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International Staff Profit-Sharing Plan</w:t>
      </w:r>
    </w:p>
    <w:p>
      <w:pPr>
        <w:spacing w:after="0" w:line="175"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Schlumberger maintains the SLB International Staff Profit-Sharing Plan, which provides for an annual employer contribution based on admissible compensation (base salary, geographical or rotational coefficient, as applicable, and performance or incentive bonus). Amounts allocated to the participants’ accounts share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34" w:lineRule="exact"/>
        <w:rPr>
          <w:sz w:val="20"/>
          <w:szCs w:val="20"/>
          <w:color w:val="auto"/>
        </w:rPr>
      </w:pPr>
    </w:p>
    <w:p>
      <w:pPr>
        <w:ind w:right="53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Potential Payments Upon Termination or Change in Control for Fiscal Year 2012 </w:t>
      </w:r>
      <w:r>
        <w:rPr>
          <w:rFonts w:ascii="Times New Roman" w:cs="Times New Roman" w:eastAsia="Times New Roman" w:hAnsi="Times New Roman"/>
          <w:sz w:val="18"/>
          <w:szCs w:val="18"/>
          <w:b w:val="1"/>
          <w:bCs w:val="1"/>
          <w:i w:val="1"/>
          <w:iCs w:val="1"/>
          <w:color w:val="auto"/>
        </w:rPr>
        <w:t>No Additional Payments Upon Termination or Change in Control</w:t>
      </w:r>
    </w:p>
    <w:p>
      <w:pPr>
        <w:spacing w:after="0" w:line="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Schlumberger’s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Phased Retirement</w:t>
      </w:r>
    </w:p>
    <w:p>
      <w:pPr>
        <w:spacing w:after="0" w:line="175" w:lineRule="exact"/>
        <w:rPr>
          <w:sz w:val="20"/>
          <w:szCs w:val="20"/>
          <w:color w:val="auto"/>
        </w:rPr>
      </w:pPr>
    </w:p>
    <w:p>
      <w:pPr>
        <w:ind w:right="700" w:firstLine="456"/>
        <w:spacing w:after="0" w:line="339" w:lineRule="auto"/>
        <w:rPr>
          <w:sz w:val="20"/>
          <w:szCs w:val="20"/>
          <w:color w:val="auto"/>
        </w:rPr>
      </w:pPr>
      <w:r>
        <w:rPr>
          <w:rFonts w:ascii="Times New Roman" w:cs="Times New Roman" w:eastAsia="Times New Roman" w:hAnsi="Times New Roman"/>
          <w:sz w:val="16"/>
          <w:szCs w:val="16"/>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All salaried employees who receive stock options are subject to the same terms and conditions in the event of a termination or change in control, except for certain options assumed in connection with the acquisition of Smith (none of which are held by any named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w:t>
      </w:r>
    </w:p>
    <w:p>
      <w:pPr>
        <w:spacing w:after="0" w:line="17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This section summarizes the consequences for named executive officers and other employees under the Company’s stock option plans and standard form of stock option award agreement in the event an option holder’s employment terminates.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Reason for Termination of Employment</w:t>
            </w: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4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Post-Employment Exercise Period</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Voluntary termination with consent of the Company or</w:t>
            </w:r>
          </w:p>
        </w:tc>
        <w:tc>
          <w:tcPr>
            <w:tcW w:w="240" w:type="dxa"/>
            <w:vAlign w:val="bottom"/>
          </w:tcPr>
          <w:p>
            <w:pPr>
              <w:spacing w:after="0"/>
              <w:rPr>
                <w:sz w:val="17"/>
                <w:szCs w:val="17"/>
                <w:color w:val="auto"/>
              </w:rPr>
            </w:pPr>
          </w:p>
        </w:tc>
        <w:tc>
          <w:tcPr>
            <w:tcW w:w="20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No additional vesting</w:t>
            </w:r>
          </w:p>
        </w:tc>
        <w:tc>
          <w:tcPr>
            <w:tcW w:w="220" w:type="dxa"/>
            <w:vAlign w:val="bottom"/>
          </w:tcPr>
          <w:p>
            <w:pPr>
              <w:spacing w:after="0"/>
              <w:rPr>
                <w:sz w:val="17"/>
                <w:szCs w:val="17"/>
                <w:color w:val="auto"/>
              </w:rPr>
            </w:pPr>
          </w:p>
        </w:tc>
        <w:tc>
          <w:tcPr>
            <w:tcW w:w="43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Exercisable (to the extent exercisable at termination) at any</w:t>
            </w:r>
          </w:p>
        </w:tc>
      </w:tr>
      <w:tr>
        <w:trPr>
          <w:trHeight w:val="22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 by the Company other than for cause</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within three months after termination.</w:t>
            </w:r>
          </w:p>
        </w:tc>
      </w:tr>
      <w:tr>
        <w:trPr>
          <w:trHeight w:val="32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 by the Company for cause</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Vested and unvested options forfeited immediately.</w:t>
            </w:r>
          </w:p>
        </w:tc>
      </w:tr>
      <w:tr>
        <w:trPr>
          <w:trHeight w:val="31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Disability</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due to disability or during the remainder of the</w:t>
            </w: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 period, whichever is shorter.*</w:t>
            </w:r>
          </w:p>
        </w:tc>
      </w:tr>
      <w:tr>
        <w:trPr>
          <w:trHeight w:val="31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Retirement (as defined in the applicable plan or award</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additional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the extent exercisable at termination) at any</w:t>
            </w: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during the 60-month period after termination due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retirement or during the remainder of the option period,</w:t>
            </w: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whichever is shorter.</w:t>
            </w:r>
          </w:p>
        </w:tc>
      </w:tr>
      <w:tr>
        <w:trPr>
          <w:trHeight w:val="31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due to death or during the remainder of the</w:t>
            </w: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6" w:lineRule="exact"/>
        <w:rPr>
          <w:sz w:val="20"/>
          <w:szCs w:val="20"/>
          <w:color w:val="auto"/>
        </w:rPr>
      </w:pPr>
    </w:p>
    <w:p>
      <w:pPr>
        <w:ind w:left="500" w:right="240" w:hanging="451"/>
        <w:spacing w:after="0" w:line="339" w:lineRule="auto"/>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1"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spacing w:after="0" w:line="1" w:lineRule="exact"/>
        <w:rPr>
          <w:sz w:val="20"/>
          <w:szCs w:val="20"/>
          <w:color w:val="auto"/>
        </w:rPr>
      </w:pPr>
    </w:p>
    <w:p>
      <w:pPr>
        <w:ind w:right="140" w:firstLine="8"/>
        <w:spacing w:after="0" w:line="255" w:lineRule="auto"/>
        <w:tabs>
          <w:tab w:leader="none" w:pos="2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7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Pursuant to Schlumberger’s stock options plans and standard form of stock option award agreement (other than awards issued under the 2010 Omnibus Stock Incentive Plan and awards proposed to be issued under the 2013 Omnibus Stock Incentive Plan),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intrinsic value of the unvested stock options held by each named executive officer as of December 31, 2012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2"/>
                <w:szCs w:val="22"/>
                <w:b w:val="1"/>
                <w:bCs w:val="1"/>
                <w:color w:val="auto"/>
                <w:vertAlign w:val="superscript"/>
              </w:rPr>
              <w:t>(1)</w:t>
            </w:r>
          </w:p>
        </w:tc>
      </w:tr>
      <w:tr>
        <w:trPr>
          <w:trHeight w:val="210"/>
        </w:trPr>
        <w:tc>
          <w:tcPr>
            <w:tcW w:w="902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2,430,155</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1,618,065</w:t>
            </w:r>
          </w:p>
        </w:tc>
      </w:tr>
      <w:tr>
        <w:trPr>
          <w:trHeight w:val="216"/>
        </w:trPr>
        <w:tc>
          <w:tcPr>
            <w:tcW w:w="95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2,468,555</w:t>
            </w: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 Oestdahl</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714,459</w:t>
            </w:r>
          </w:p>
        </w:tc>
      </w:tr>
      <w:tr>
        <w:trPr>
          <w:trHeight w:val="216"/>
        </w:trPr>
        <w:tc>
          <w:tcPr>
            <w:tcW w:w="95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1,600,893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80" w:hanging="451"/>
        <w:spacing w:after="0" w:line="275"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difference between the closing price of Schlumberger common stock on December 31, 2012 ($69.30) and the exercise price of the stock option as of such date.</w:t>
      </w:r>
    </w:p>
    <w:p>
      <w:pPr>
        <w:spacing w:after="0" w:line="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“Executive Compensation—Pension Benefits” and “— Nonqualified Deferred Compensation.”</w:t>
      </w:r>
    </w:p>
    <w:p>
      <w:pPr>
        <w:spacing w:after="0" w:line="55"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amounts as of December 31, 2012 of benefit payments that would be accelerated under the Schlumberger Restoration Savings Plan upon a change in control.</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 ($)</w:t>
            </w:r>
          </w:p>
        </w:tc>
      </w:tr>
      <w:tr>
        <w:trPr>
          <w:trHeight w:val="210"/>
        </w:trPr>
        <w:tc>
          <w:tcPr>
            <w:tcW w:w="912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4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85,142</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341,315</w:t>
            </w:r>
          </w:p>
        </w:tc>
      </w:tr>
      <w:tr>
        <w:trPr>
          <w:trHeight w:val="216"/>
        </w:trPr>
        <w:tc>
          <w:tcPr>
            <w:tcW w:w="95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1,359,974</w:t>
            </w: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 Oestdahl</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5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1,086,471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Subject to satisfying certain age, service and contribution requirements, all U.S. employees, excluding employees who became Schlumberger employees as a result of the Smith acquisition,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IN FISCAL YEAR 2012</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non-employee director shares of Schlumberger common stock each April. Effective April 30, 2012, Schlumberger granted each non-employee director 2,250 shares of Schlumberger common stock.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57"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Mr. Tony Isaac was elected non-executive Chairman of the Board in April 2012, having previously served as Schlumberger’s independent lead director. On January 19, 2012, the Board, upon recommendation of the Compensation Committee and based on market data provided by Pay Governance, determined that in consideration of the additional responsibilities required of an independent non-executive Chairman of the Board, Mr. Isaac’s annual compensation for service as independent non-executive Chairman of the Board would be $400,000, in addition to amounts otherwise payable to Mr. Isaac as a director, as described in the paragraph above. Accordingly, the amount for Mr. Isaac in the Director Compensation table below (under the “Fees Earned or Paid in Cash” column) includes this increased compensation, prorated from June 2012. Mr. Isaac did not participate in any discussions or in the decision regarding his compensation.</w:t>
      </w:r>
    </w:p>
    <w:p>
      <w:pPr>
        <w:spacing w:after="0" w:line="30"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Mr. Gould, our former Chief Executive Officer who retired from that position in August 2011, continued to serve as Chairman of the Board until the 2012 annual general meeting of stockholders (not standing for re-election) and as an executive officer until April 30, 2012, at which time he ceased being an employee of the Company. Mr. Gould did not receive any additional compensation for his service as a director in 2012.</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on Schlumberger’s compensation for non-employee directors in 2012.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&amp; 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Paid in</w:t>
            </w:r>
          </w:p>
        </w:tc>
        <w:tc>
          <w:tcPr>
            <w:tcW w:w="11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gridSpan w:val="2"/>
          </w:tcPr>
          <w:p>
            <w:pPr>
              <w:jc w:val="right"/>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42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4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22"/>
                <w:szCs w:val="22"/>
                <w:b w:val="1"/>
                <w:bCs w:val="1"/>
                <w:color w:val="auto"/>
                <w:vertAlign w:val="superscript"/>
              </w:rPr>
              <w:t>(3)</w:t>
            </w:r>
          </w:p>
        </w:tc>
        <w:tc>
          <w:tcPr>
            <w:tcW w:w="0" w:type="dxa"/>
            <w:vAlign w:val="bottom"/>
          </w:tcPr>
          <w:p>
            <w:pPr>
              <w:spacing w:after="0"/>
              <w:rPr>
                <w:sz w:val="1"/>
                <w:szCs w:val="1"/>
                <w:color w:val="auto"/>
              </w:rPr>
            </w:pPr>
          </w:p>
        </w:tc>
      </w:tr>
      <w:tr>
        <w:trPr>
          <w:trHeight w:val="159"/>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480"/>
              <w:spacing w:after="0" w:line="159" w:lineRule="exact"/>
              <w:rPr>
                <w:sz w:val="20"/>
                <w:szCs w:val="20"/>
                <w:color w:val="auto"/>
              </w:rPr>
            </w:pPr>
            <w:r>
              <w:rPr>
                <w:rFonts w:ascii="Times New Roman" w:cs="Times New Roman" w:eastAsia="Times New Roman" w:hAnsi="Times New Roman"/>
                <w:sz w:val="12"/>
                <w:szCs w:val="12"/>
                <w:b w:val="1"/>
                <w:bCs w:val="1"/>
                <w:color w:val="auto"/>
              </w:rPr>
              <w:t>Cash</w:t>
            </w:r>
            <w:r>
              <w:rPr>
                <w:rFonts w:ascii="Times New Roman" w:cs="Times New Roman" w:eastAsia="Times New Roman" w:hAnsi="Times New Roman"/>
                <w:sz w:val="18"/>
                <w:szCs w:val="18"/>
                <w:b w:val="1"/>
                <w:bCs w:val="1"/>
                <w:color w:val="auto"/>
                <w:vertAlign w:val="superscript"/>
              </w:rPr>
              <w:t>(1)</w:t>
            </w:r>
          </w:p>
        </w:tc>
        <w:tc>
          <w:tcPr>
            <w:tcW w:w="1120" w:type="dxa"/>
            <w:vAlign w:val="bottom"/>
            <w:gridSpan w:val="2"/>
          </w:tcPr>
          <w:p>
            <w:pPr>
              <w:jc w:val="center"/>
              <w:ind w:right="480"/>
              <w:spacing w:after="0" w:line="159"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920" w:type="dxa"/>
            <w:vAlign w:val="bottom"/>
            <w:gridSpan w:val="2"/>
          </w:tcPr>
          <w:p>
            <w:pPr>
              <w:jc w:val="right"/>
              <w:ind w:right="480"/>
              <w:spacing w:after="0" w:line="159"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1320" w:type="dxa"/>
            <w:vAlign w:val="bottom"/>
            <w:gridSpan w:val="2"/>
          </w:tcPr>
          <w:p>
            <w:pPr>
              <w:jc w:val="right"/>
              <w:ind w:right="480"/>
              <w:spacing w:after="0" w:line="15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42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34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8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Philippe Camus</w:t>
            </w:r>
            <w:r>
              <w:rPr>
                <w:rFonts w:ascii="Times New Roman" w:cs="Times New Roman" w:eastAsia="Times New Roman" w:hAnsi="Times New Roman"/>
                <w:sz w:val="11"/>
                <w:szCs w:val="11"/>
                <w:color w:val="auto"/>
              </w:rPr>
              <w:t>(4)</w:t>
            </w:r>
          </w:p>
        </w:tc>
        <w:tc>
          <w:tcPr>
            <w:tcW w:w="38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46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9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D8D8D8"/>
            </w:tcBorders>
            <w:shd w:val="clear" w:color="auto" w:fill="D8D8D8"/>
          </w:tcPr>
          <w:p>
            <w:pPr>
              <w:spacing w:after="0"/>
              <w:rPr>
                <w:sz w:val="18"/>
                <w:szCs w:val="18"/>
                <w:color w:val="auto"/>
              </w:rPr>
            </w:pPr>
          </w:p>
        </w:tc>
        <w:tc>
          <w:tcPr>
            <w:tcW w:w="6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L.S. Currie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29,878</w:t>
            </w:r>
            <w:r>
              <w:rPr>
                <w:rFonts w:ascii="Times New Roman" w:cs="Times New Roman" w:eastAsia="Times New Roman" w:hAnsi="Times New Roman"/>
                <w:sz w:val="11"/>
                <w:szCs w:val="11"/>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Tony Isaac</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596,815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Vaman Kamath</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11,402</w:t>
            </w:r>
            <w:r>
              <w:rPr>
                <w:rFonts w:ascii="Times New Roman" w:cs="Times New Roman" w:eastAsia="Times New Roman" w:hAnsi="Times New Roman"/>
                <w:sz w:val="11"/>
                <w:szCs w:val="11"/>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Nikolay Kudryavtsev</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286,815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Lajous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14,806</w:t>
            </w:r>
            <w:r>
              <w:rPr>
                <w:rFonts w:ascii="Times New Roman" w:cs="Times New Roman" w:eastAsia="Times New Roman" w:hAnsi="Times New Roman"/>
                <w:sz w:val="11"/>
                <w:szCs w:val="11"/>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Times New Roman" w:cs="Times New Roman" w:eastAsia="Times New Roman" w:hAnsi="Times New Roman"/>
                <w:sz w:val="18"/>
                <w:szCs w:val="18"/>
                <w:color w:val="auto"/>
              </w:rPr>
              <w:t>34,379</w:t>
            </w:r>
            <w:r>
              <w:rPr>
                <w:rFonts w:ascii="Times New Roman" w:cs="Times New Roman" w:eastAsia="Times New Roman" w:hAnsi="Times New Roman"/>
                <w:sz w:val="11"/>
                <w:szCs w:val="11"/>
                <w:color w:val="auto"/>
              </w:rPr>
              <w:t>(5)</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331,194</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A. Moler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14,230</w:t>
            </w:r>
            <w:r>
              <w:rPr>
                <w:rFonts w:ascii="Times New Roman" w:cs="Times New Roman" w:eastAsia="Times New Roman" w:hAnsi="Times New Roman"/>
                <w:sz w:val="11"/>
                <w:szCs w:val="11"/>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Lubna S. Olayan</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296,815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Rafael Reif</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286,815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 Seydoux</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166,815</w:t>
            </w:r>
          </w:p>
        </w:tc>
        <w:tc>
          <w:tcPr>
            <w:tcW w:w="48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97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2" w:lineRule="exact"/>
        <w:rPr>
          <w:sz w:val="20"/>
          <w:szCs w:val="20"/>
          <w:color w:val="auto"/>
        </w:rPr>
      </w:pPr>
    </w:p>
    <w:p>
      <w:pPr>
        <w:ind w:left="500" w:right="340" w:hanging="451"/>
        <w:spacing w:after="0" w:line="339" w:lineRule="auto"/>
        <w:tabs>
          <w:tab w:leader="none" w:pos="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cash fees earned, without taking into account any election to defer receipt of such fees. Ordinarily, the annual cash retainer is paid in cash, but directors can elect to have their retainer paid in stock or deferred under the Schlumberger 2004 Stock and Deferral Plan for Non-Employee Directors.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760"/>
        <w:spacing w:after="0" w:line="275" w:lineRule="auto"/>
        <w:rPr>
          <w:sz w:val="20"/>
          <w:szCs w:val="20"/>
          <w:color w:val="auto"/>
        </w:rPr>
      </w:pPr>
      <w:r>
        <w:rPr>
          <w:rFonts w:ascii="Times New Roman" w:cs="Times New Roman" w:eastAsia="Times New Roman" w:hAnsi="Times New Roman"/>
          <w:sz w:val="18"/>
          <w:szCs w:val="18"/>
          <w:color w:val="auto"/>
        </w:rPr>
        <w:t>The fees disclosed in this column are subject to adjustment in cases where a director has served less than one full year or has changed committee memberships or chairmanships during the year.</w:t>
      </w:r>
    </w:p>
    <w:p>
      <w:pPr>
        <w:spacing w:after="0" w:line="25" w:lineRule="exact"/>
        <w:rPr>
          <w:sz w:val="20"/>
          <w:szCs w:val="20"/>
          <w:color w:val="auto"/>
        </w:rPr>
      </w:pPr>
    </w:p>
    <w:p>
      <w:pPr>
        <w:ind w:left="500" w:right="200" w:hanging="451"/>
        <w:spacing w:after="0" w:line="301"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reflect the aggregate grant date fair value of the stock awards granted in 2012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8" w:lineRule="exact"/>
        <w:rPr>
          <w:rFonts w:ascii="Times New Roman" w:cs="Times New Roman" w:eastAsia="Times New Roman" w:hAnsi="Times New Roman"/>
          <w:sz w:val="16"/>
          <w:szCs w:val="16"/>
          <w:color w:val="auto"/>
        </w:rPr>
      </w:pPr>
    </w:p>
    <w:p>
      <w:pPr>
        <w:ind w:left="500" w:hanging="451"/>
        <w:spacing w:after="0"/>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Schlumberger reimburses non-management directors for travel and other business expenses incurred in the performance of their services for Schlumberger.</w:t>
      </w:r>
    </w:p>
    <w:p>
      <w:pPr>
        <w:spacing w:after="0" w:line="99" w:lineRule="exact"/>
        <w:rPr>
          <w:rFonts w:ascii="Times New Roman" w:cs="Times New Roman" w:eastAsia="Times New Roman" w:hAnsi="Times New Roman"/>
          <w:sz w:val="16"/>
          <w:szCs w:val="16"/>
          <w:color w:val="auto"/>
        </w:rPr>
      </w:pPr>
    </w:p>
    <w:p>
      <w:pPr>
        <w:ind w:left="520" w:hanging="444"/>
        <w:spacing w:after="0"/>
        <w:tabs>
          <w:tab w:leader="none" w:pos="5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Camus did not stand for re-election at the 2012 annual general meeting of stockholders.</w:t>
      </w:r>
    </w:p>
    <w:p>
      <w:pPr>
        <w:spacing w:after="0" w:line="77" w:lineRule="exact"/>
        <w:rPr>
          <w:sz w:val="20"/>
          <w:szCs w:val="20"/>
          <w:color w:val="auto"/>
        </w:rPr>
      </w:pPr>
    </w:p>
    <w:p>
      <w:pPr>
        <w:ind w:left="500" w:right="80" w:hanging="451"/>
        <w:spacing w:after="0" w:line="275"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paid for spousal airfare in connection with a Board meeting. Some of these amounts were paid in Euros. For purposes of this column, such compensation was determined using the 2012 full-year average exchange rate of 1 U.S. Dollar = 0.777 Euros.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92" w:lineRule="exact"/>
        <w:rPr>
          <w:sz w:val="20"/>
          <w:szCs w:val="20"/>
          <w:color w:val="auto"/>
        </w:rPr>
      </w:pPr>
    </w:p>
    <w:p>
      <w:pPr>
        <w:ind w:right="500" w:firstLine="456"/>
        <w:spacing w:after="0" w:line="289" w:lineRule="auto"/>
        <w:rPr>
          <w:sz w:val="20"/>
          <w:szCs w:val="20"/>
          <w:color w:val="auto"/>
        </w:rPr>
      </w:pPr>
      <w:r>
        <w:rPr>
          <w:rFonts w:ascii="Times New Roman" w:cs="Times New Roman" w:eastAsia="Times New Roman" w:hAnsi="Times New Roman"/>
          <w:sz w:val="16"/>
          <w:szCs w:val="16"/>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w:t>
      </w:r>
    </w:p>
    <w:p>
      <w:pPr>
        <w:spacing w:after="0" w:line="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10,000 Schlumberger common shares or restricted stock units. As of December 31, 2012, each of our current non-employee directors who have been Board members for at least five years is in compliance with these stock ownership guidelines.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FINANCIAL STATEMENTS</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39" w:lineRule="exact"/>
        <w:rPr>
          <w:sz w:val="20"/>
          <w:szCs w:val="20"/>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Consolidated Balance Sheet as at December 31, 2012;</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Consolidated Statement of Income for the year ended December 31, 2012, as audited by PricewaterhouseCoopers LLP;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declared by the Board of Directors during 2012.</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These items are included in the Schlumberger 2012 Annual Report to Stockholders, which is provided concurrently with this proxy statement. Stockholders should refer to these items in considering this agenda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 majority of the votes cast is required for the approval of the financial results as set forth in the financial statements and of the declaration of dividends by the Board of Directors as reflected in the Company’s 2012 Annual Report to Stockholders. </w:t>
      </w:r>
      <w:r>
        <w:rPr>
          <w:rFonts w:ascii="Times New Roman" w:cs="Times New Roman" w:eastAsia="Times New Roman" w:hAnsi="Times New Roman"/>
          <w:sz w:val="18"/>
          <w:szCs w:val="18"/>
          <w:i w:val="1"/>
          <w:iCs w:val="1"/>
          <w:color w:val="auto"/>
        </w:rPr>
        <w:t>Brokers have discretion to vote on this proposal without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instruction. If you do not instruct your broker how to vote on this proposal, your broker will vote on this proposal in its discretion.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3.</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APPOINTMENT OF INDEPENDENT REGISTERED PUBLIC ACCOUNTING FIRM</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PricewaterhouseCoopers LLP has been selected by the Audit Committee as the independent registered public accounting firm to audit the annual financial statements of the Company for the year 2013.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5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representative of PricewaterhouseCoopers LLP is expected to attend the 2013 annual general meeting of stockholders, will have the opportunity to make a statement if he or she desires to do so, and be available to respond to appropriate questions.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PricewaterhouseCoopers LLP</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the Company’s 2012 and 2011 annual financial statements and reviews of quarterly financial statements and other audit services,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services described below that were billed in 2012 and 2011.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9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left="341"/>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1"/>
                <w:szCs w:val="11"/>
                <w:color w:val="auto"/>
              </w:rPr>
              <w:t>(1)</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640" w:type="dxa"/>
            <w:vAlign w:val="bottom"/>
            <w:gridSpan w:val="2"/>
            <w:shd w:val="clear" w:color="auto" w:fill="D8D8D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w w:val="96"/>
              </w:rPr>
              <w:t>12,957</w:t>
            </w:r>
            <w:r>
              <w:rPr>
                <w:rFonts w:ascii="Times New Roman" w:cs="Times New Roman" w:eastAsia="Times New Roman" w:hAnsi="Times New Roman"/>
                <w:sz w:val="11"/>
                <w:szCs w:val="11"/>
                <w:color w:val="auto"/>
                <w:w w:val="96"/>
              </w:rPr>
              <w:t>(2)</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11"/>
                <w:szCs w:val="11"/>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924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1"/>
                <w:szCs w:val="11"/>
                <w:color w:val="auto"/>
              </w:rPr>
              <w:t>(4)</w:t>
            </w:r>
          </w:p>
        </w:tc>
        <w:tc>
          <w:tcPr>
            <w:tcW w:w="1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640" w:type="dxa"/>
            <w:vAlign w:val="bottom"/>
            <w:gridSpan w:val="2"/>
            <w:shd w:val="clear" w:color="auto" w:fill="D8D8D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1"/>
                <w:szCs w:val="11"/>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w:t>
            </w:r>
          </w:p>
        </w:tc>
      </w:tr>
      <w:tr>
        <w:trPr>
          <w:trHeight w:val="256"/>
        </w:trPr>
        <w:tc>
          <w:tcPr>
            <w:tcW w:w="9240" w:type="dxa"/>
            <w:vAlign w:val="bottom"/>
            <w:tcBorders>
              <w:bottom w:val="single" w:sz="8" w:color="D8D8D8"/>
            </w:tcBorders>
            <w:shd w:val="clear" w:color="auto" w:fill="D8D8D8"/>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42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top w:val="single" w:sz="8" w:color="auto"/>
              <w:bottom w:val="single" w:sz="8" w:color="auto"/>
            </w:tcBorders>
            <w:shd w:val="clear" w:color="auto" w:fill="D8D8D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tcBorders>
              <w:bottom w:val="single" w:sz="8" w:color="D8D8D8"/>
            </w:tcBorders>
            <w:shd w:val="clear" w:color="auto" w:fill="D8D8D8"/>
          </w:tcPr>
          <w:p>
            <w:pPr>
              <w:spacing w:after="0"/>
              <w:rPr>
                <w:sz w:val="22"/>
                <w:szCs w:val="22"/>
                <w:color w:val="auto"/>
              </w:rPr>
            </w:pPr>
          </w:p>
        </w:tc>
      </w:tr>
    </w:tbl>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statutory audits.</w:t>
      </w:r>
    </w:p>
    <w:p>
      <w:pPr>
        <w:spacing w:after="0" w:line="6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fees of approximately $645,000 not previously reflected.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employee benefit plan audits and other audit-related items.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fees for tax compliance and fees for tax advice and other permitted tax services.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fees for permitted advisory services.</w:t>
      </w:r>
    </w:p>
    <w:p>
      <w:pPr>
        <w:spacing w:after="0" w:line="90"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Policy and Procedures</w:t>
      </w:r>
    </w:p>
    <w:p>
      <w:pPr>
        <w:spacing w:after="0" w:line="17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2012, no matters were taken on without pre-approval under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provisions of the Sarbanes-Oxley Act.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1"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A majority of the votes cast is required to approve this Item 4. </w:t>
      </w:r>
      <w:r>
        <w:rPr>
          <w:rFonts w:ascii="Times New Roman" w:cs="Times New Roman" w:eastAsia="Times New Roman" w:hAnsi="Times New Roman"/>
          <w:sz w:val="18"/>
          <w:szCs w:val="18"/>
          <w:i w:val="1"/>
          <w:iCs w:val="1"/>
          <w:color w:val="auto"/>
        </w:rPr>
        <w:t>Brokers have discretion to vote on this proposal without your instruction. If you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 your broker how to vote on this proposal, your broker will vote on this proposal in its discretion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4.</w:t>
      </w:r>
    </w:p>
    <w:p>
      <w:pPr>
        <w:spacing w:after="0" w:line="1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240" w:top="455" w:right="6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3"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During 2012,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32" w:lineRule="exact"/>
        <w:rPr>
          <w:sz w:val="20"/>
          <w:szCs w:val="20"/>
          <w:color w:val="auto"/>
        </w:rPr>
      </w:pPr>
    </w:p>
    <w:p>
      <w:pPr>
        <w:jc w:val="both"/>
        <w:ind w:right="540" w:firstLine="456"/>
        <w:spacing w:after="0" w:line="310"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Certain Tax Services), and the Committee discussed PricewaterhouseCoopers LLP’s independence with them.</w:t>
      </w:r>
    </w:p>
    <w:p>
      <w:pPr>
        <w:spacing w:after="0" w:line="1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Based on the foregoing reviews and discussions, the Audit Committee recommended that the Board include the financial statements in the Company’s Annual Report on Form 10-K for the year ended December 31, 2012 filed with the SEC.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SCHLUMBERGER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ectPr>
          <w:pgSz w:w="11900" w:h="16838" w:orient="portrait"/>
          <w:cols w:equalWidth="0" w:num="1">
            <w:col w:w="11380"/>
          </w:cols>
          <w:pgMar w:left="240" w:top="455" w:right="279" w:bottom="1440" w:gutter="0" w:footer="0" w:header="0"/>
        </w:sectPr>
      </w:pPr>
    </w:p>
    <w:p>
      <w:pPr>
        <w:spacing w:after="0" w:line="1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Peter L.S. Currie, Chair</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K. Vaman Kamath</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Nikolay Kudryavtsev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Lajous</w:t>
      </w:r>
    </w:p>
    <w:p>
      <w:pPr>
        <w:spacing w:after="0" w:line="145" w:lineRule="exact"/>
        <w:rPr>
          <w:sz w:val="20"/>
          <w:szCs w:val="20"/>
          <w:color w:val="auto"/>
        </w:rPr>
      </w:pPr>
    </w:p>
    <w:p>
      <w:pPr>
        <w:sectPr>
          <w:pgSz w:w="11900" w:h="16838" w:orient="portrait"/>
          <w:cols w:equalWidth="0" w:num="2">
            <w:col w:w="6660" w:space="720"/>
            <w:col w:w="4000"/>
          </w:cols>
          <w:pgMar w:left="240" w:top="455"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ITEM 5. APPROVAL OF THE ADOPTION OF THE 2013 SCHLUMBERGER OMNIBUS INCENTIVE PLAN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are requesting that our stockholders vote in favor of the adoption of the 2013 Schlumberger Omnibus Stock Incentive Plan (the “2013 Incentive Plan”).</w:t>
      </w:r>
    </w:p>
    <w:p>
      <w:pPr>
        <w:spacing w:after="0" w:line="11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Most of our competitors employ a wide range of incentive instruments. We have traditionally granted only stock options or restricted stock units covering shares of common stock, but have determined to grant performance share units to certain executives, including the named executive officers, commencing in 2013. Approval of the 2013 Incentive Plan would provide for 35 million additional shares for Schlumberger to grant long-term incentives to its employees and would provide for continued flexibility with regard to award types and the terms and conditions of awards.</w:t>
      </w:r>
    </w:p>
    <w:p>
      <w:pPr>
        <w:spacing w:after="0" w:line="5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order to continue to attract and retain valuable employees, we are seeking approval of the 2013 Incentive Plan to provide (i) additional shares issuable to employees and (ii) continued flexibility in the types and terms of incentive instruments that we issue in order to remain competitive. In addition, as of December 31, 2012, there were only 11,297,415 shares available in the aggregate for grants under our 2005 Stock Incentive Plan, our 2008 Stock Incentive Plan and our 2010 Incentive Plan.</w:t>
      </w:r>
    </w:p>
    <w:p>
      <w:pPr>
        <w:spacing w:after="0" w:line="55"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2013 Incentive Plan provides for the grant to our employees of stock options, cash, stock appreciation rights, and stock awards, which may include restricted stock or restricted stock units. A stock option gives the holder the right to purchase a specified number of shares of stock, at a fixed exercise price, in the future. Stock appreciation rights give the holder the right to receive a payment, in cash or shares of stock, equal to the fair market value of a specified number of shares of stock on the date the right is exercised over a specified strike price. Restricted stock is common stock that is restricted or subject to forfeiture provisions. Restricted stock units are units evidencing the right to receive shares of common stock that are restricted or subject to forfeiture provisions.</w:t>
      </w:r>
    </w:p>
    <w:p>
      <w:pPr>
        <w:spacing w:after="0" w:line="2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order for awards under the 2013 Incentive Plan to be eligible to qualify as “performance-based compensation” for purposes of Section 162(m) of the Code, the material terms of the performance goals under which compensation may be paid must be disclosed to and approved by the Company’s stockholders every five years. The material terms include (i) the employees eligible to receive compensation, (ii) a description of the business criteria on which the performance goals are based and (iii) the maximum amount of compensation that can be paid to an employee under the performance goals. Each of these aspects is discussed below, and approval of the 2013 Incentive Plan will constitute approval of the material terms of the performance goals.</w:t>
      </w:r>
    </w:p>
    <w:p>
      <w:pPr>
        <w:spacing w:after="0" w:line="58" w:lineRule="exact"/>
        <w:rPr>
          <w:sz w:val="20"/>
          <w:szCs w:val="20"/>
          <w:color w:val="auto"/>
        </w:rPr>
      </w:pPr>
    </w:p>
    <w:p>
      <w:pPr>
        <w:ind w:right="2240" w:firstLine="456"/>
        <w:spacing w:after="0" w:line="438" w:lineRule="auto"/>
        <w:rPr>
          <w:sz w:val="20"/>
          <w:szCs w:val="20"/>
          <w:color w:val="auto"/>
        </w:rPr>
      </w:pPr>
      <w:r>
        <w:rPr>
          <w:rFonts w:ascii="Times New Roman" w:cs="Times New Roman" w:eastAsia="Times New Roman" w:hAnsi="Times New Roman"/>
          <w:sz w:val="18"/>
          <w:szCs w:val="18"/>
          <w:color w:val="auto"/>
        </w:rPr>
        <w:t xml:space="preserve">Schlumberger’s Board of Directors approved the 2013 Incentive Plan on January 17, 2013, subject to stockholder approval. </w:t>
      </w:r>
      <w:r>
        <w:rPr>
          <w:rFonts w:ascii="Times New Roman" w:cs="Times New Roman" w:eastAsia="Times New Roman" w:hAnsi="Times New Roman"/>
          <w:sz w:val="18"/>
          <w:szCs w:val="18"/>
          <w:b w:val="1"/>
          <w:bCs w:val="1"/>
          <w:color w:val="auto"/>
        </w:rPr>
        <w:t>Required Stockholder Vote</w:t>
      </w:r>
    </w:p>
    <w:p>
      <w:pPr>
        <w:spacing w:after="0" w:line="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A majority of the votes cast is required for approval of the 2013 Incentive Plan, provided that the total votes cast on the proposal represents over 50% of all shares entitled to vote on this Item. </w:t>
      </w:r>
      <w:r>
        <w:rPr>
          <w:rFonts w:ascii="Times New Roman" w:cs="Times New Roman" w:eastAsia="Times New Roman" w:hAnsi="Times New Roman"/>
          <w:sz w:val="18"/>
          <w:szCs w:val="18"/>
          <w:i w:val="1"/>
          <w:iCs w:val="1"/>
          <w:color w:val="auto"/>
        </w:rPr>
        <w:t>Brokers do not have discretion to vote on this proposal without your instruction. If you do not instruct your broker how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this proposal, your broker will deliver a non-vote on this proposal. Broker non-votes and abstentions could prevent the total votes cast on the proposal from representing over 50% of all shares entitled to vote, but will not otherwise have an effect on the vote.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2013 Incentive Plan</w:t>
      </w:r>
    </w:p>
    <w:p>
      <w:pPr>
        <w:spacing w:after="0" w:line="173"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summary of certain major features of the 2013 Incentive Plan is subject to the specific provisions contained in the full text of the 2013 Incentive Plan, which is attached to this proxy statement as Appendix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 of the 2013 Incentive Plan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Board approved the 2013 Incentive Plan, subject to stockholder approval, for the purpose of providing incentives to our employees in order to:</w:t>
      </w:r>
    </w:p>
    <w:p>
      <w:pPr>
        <w:spacing w:after="0" w:line="113" w:lineRule="exact"/>
        <w:rPr>
          <w:sz w:val="20"/>
          <w:szCs w:val="20"/>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employees with a high degree of training, experience and ability;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employees whose services are considered particularly valuable;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 sense of proprietorship of such persons;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active interest of such persons in our growth and financial success.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Key Terms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key provisions of the 2013 Incentive Plan.</w:t>
      </w:r>
    </w:p>
    <w:p>
      <w:pPr>
        <w:sectPr>
          <w:pgSz w:w="11900" w:h="16838" w:orient="portrait"/>
          <w:cols w:equalWidth="0" w:num="1">
            <w:col w:w="11420"/>
          </w:cols>
          <w:pgMar w:left="240" w:top="455" w:right="23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Award Types: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types of awards (collectively “awards”) are available for issuance under the 2013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w:t>
      </w:r>
    </w:p>
    <w:p>
      <w:pPr>
        <w:spacing w:after="0" w:line="78"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color w:val="auto"/>
        </w:rPr>
        <w:t>• non-qualified and incentive stock options;</w:t>
      </w:r>
    </w:p>
    <w:p>
      <w:pPr>
        <w:spacing w:after="0" w:line="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stock appreciation rights;</w:t>
      </w:r>
    </w:p>
    <w:p>
      <w:pPr>
        <w:spacing w:after="0" w:line="90" w:lineRule="exact"/>
        <w:rPr>
          <w:sz w:val="20"/>
          <w:szCs w:val="20"/>
          <w:color w:val="auto"/>
        </w:rPr>
      </w:pPr>
    </w:p>
    <w:p>
      <w:pPr>
        <w:ind w:left="4780" w:right="580" w:hanging="159"/>
        <w:spacing w:after="0" w:line="275" w:lineRule="auto"/>
        <w:tabs>
          <w:tab w:leader="none" w:pos="4760" w:val="left"/>
        </w:tabs>
        <w:rPr>
          <w:sz w:val="20"/>
          <w:szCs w:val="20"/>
          <w:color w:val="auto"/>
        </w:rPr>
      </w:pPr>
      <w:r>
        <w:rPr>
          <w:rFonts w:ascii="Times New Roman" w:cs="Times New Roman" w:eastAsia="Times New Roman" w:hAnsi="Times New Roman"/>
          <w:sz w:val="18"/>
          <w:szCs w:val="18"/>
          <w:color w:val="auto"/>
        </w:rPr>
        <w:t>•</w:t>
        <w:tab/>
        <w:t>stock awards, including restricted stock and restricted stock units (a term that includes performance stock units); and</w:t>
      </w:r>
    </w:p>
    <w:p>
      <w:pPr>
        <w:spacing w:after="0" w:line="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cash awards.</w:t>
      </w:r>
    </w:p>
    <w:p>
      <w:pPr>
        <w:sectPr>
          <w:pgSz w:w="11900" w:h="16838" w:orient="portrait"/>
          <w:cols w:equalWidth="0" w:num="1">
            <w:col w:w="11420"/>
          </w:cols>
          <w:pgMar w:left="240" w:top="455"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Awards may be granted under the 2013 Incentive Plan on or before April 9, 2023.</w:t>
      </w:r>
    </w:p>
    <w:p>
      <w:pPr>
        <w:spacing w:after="0" w:line="127"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162(m) Share Limits: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Times New Roman" w:cs="Times New Roman" w:eastAsia="Times New Roman" w:hAnsi="Times New Roman"/>
          <w:sz w:val="18"/>
          <w:szCs w:val="18"/>
          <w:color w:val="auto"/>
        </w:rPr>
        <w:t>Section 162(m) of the Code requires among other things that the maximum number of shares and cash awarded to an individual must be approved by stockholders in order for the awards under the 2013 Incentive Plan to be eligible for treatment as qualified performance-based compensation that will not be subject to the $1 million limitation on tax deductibility for compensation paid to specified senior executives.</w:t>
      </w:r>
    </w:p>
    <w:p>
      <w:pPr>
        <w:spacing w:after="0" w:line="58"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ind w:left="4340" w:right="480"/>
        <w:spacing w:after="0" w:line="275" w:lineRule="auto"/>
        <w:rPr>
          <w:sz w:val="20"/>
          <w:szCs w:val="20"/>
          <w:color w:val="auto"/>
        </w:rPr>
      </w:pPr>
      <w:r>
        <w:rPr>
          <w:rFonts w:ascii="Times New Roman" w:cs="Times New Roman" w:eastAsia="Times New Roman" w:hAnsi="Times New Roman"/>
          <w:sz w:val="18"/>
          <w:szCs w:val="18"/>
          <w:color w:val="auto"/>
        </w:rPr>
        <w:t>Accordingly, the 2013 Incentive Plan limits awards granted to an individual participant in any calendar year to:</w:t>
      </w:r>
    </w:p>
    <w:p>
      <w:pPr>
        <w:spacing w:after="0" w:line="39" w:lineRule="exact"/>
        <w:rPr>
          <w:sz w:val="20"/>
          <w:szCs w:val="20"/>
          <w:color w:val="auto"/>
        </w:rPr>
      </w:pPr>
    </w:p>
    <w:p>
      <w:pPr>
        <w:ind w:left="4780" w:hanging="159"/>
        <w:spacing w:after="0" w:line="275" w:lineRule="auto"/>
        <w:tabs>
          <w:tab w:leader="none" w:pos="4760" w:val="left"/>
        </w:tabs>
        <w:rPr>
          <w:sz w:val="20"/>
          <w:szCs w:val="20"/>
          <w:color w:val="auto"/>
        </w:rPr>
      </w:pPr>
      <w:r>
        <w:rPr>
          <w:rFonts w:ascii="Times New Roman" w:cs="Times New Roman" w:eastAsia="Times New Roman" w:hAnsi="Times New Roman"/>
          <w:sz w:val="18"/>
          <w:szCs w:val="18"/>
          <w:color w:val="auto"/>
        </w:rPr>
        <w:t>•</w:t>
        <w:tab/>
        <w:t>no more than 1,000,000 shares consisting of stock options, stock appreciation rights, restricted stock or restricted stock units.</w:t>
      </w:r>
    </w:p>
    <w:p>
      <w:pPr>
        <w:spacing w:after="0" w:line="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no more than $20 million for the grant date value of cash awards.</w:t>
      </w:r>
    </w:p>
    <w:p>
      <w:pPr>
        <w:sectPr>
          <w:pgSz w:w="11900" w:h="16838" w:orient="portrait"/>
          <w:cols w:equalWidth="0" w:num="1">
            <w:col w:w="11420"/>
          </w:cols>
          <w:pgMar w:left="240" w:top="455"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employees of Schlumberger and our subsidiaries.</w:t>
      </w:r>
    </w:p>
    <w:p>
      <w:pPr>
        <w:spacing w:after="0" w:line="127"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ind w:left="4340" w:right="120"/>
        <w:spacing w:after="0" w:line="262" w:lineRule="auto"/>
        <w:rPr>
          <w:sz w:val="20"/>
          <w:szCs w:val="20"/>
          <w:color w:val="auto"/>
        </w:rPr>
      </w:pPr>
      <w:r>
        <w:rPr>
          <w:rFonts w:ascii="Times New Roman" w:cs="Times New Roman" w:eastAsia="Times New Roman" w:hAnsi="Times New Roman"/>
          <w:sz w:val="18"/>
          <w:szCs w:val="18"/>
          <w:color w:val="auto"/>
        </w:rPr>
        <w:t>The Compensation Committee will determine which employees will participate in the 2013 Incentive Plan. As of January 31, 2013, approximately 12,750 employees are eligible to participate under our equity compensation plans, including the 2013 Incentive Plan.</w:t>
      </w:r>
    </w:p>
    <w:p>
      <w:pPr>
        <w:sectPr>
          <w:pgSz w:w="11900" w:h="16838" w:orient="portrait"/>
          <w:cols w:equalWidth="0" w:num="1">
            <w:col w:w="11420"/>
          </w:cols>
          <w:pgMar w:left="240" w:top="455" w:right="2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Ineligible Participants: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Directors who are not also employees;</w:t>
      </w:r>
    </w:p>
    <w:p>
      <w:pPr>
        <w:spacing w:after="0" w:line="127"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ind w:left="4340" w:right="40"/>
        <w:spacing w:after="0" w:line="275" w:lineRule="auto"/>
        <w:rPr>
          <w:sz w:val="20"/>
          <w:szCs w:val="20"/>
          <w:color w:val="auto"/>
        </w:rPr>
      </w:pPr>
      <w:r>
        <w:rPr>
          <w:rFonts w:ascii="Times New Roman" w:cs="Times New Roman" w:eastAsia="Times New Roman" w:hAnsi="Times New Roman"/>
          <w:sz w:val="18"/>
          <w:szCs w:val="18"/>
          <w:color w:val="auto"/>
        </w:rPr>
        <w:t>Any person who owns, directly or indirectly, stock representing more than 5% of the total combined voting power or value of all classes of our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340" w:right="60" w:hanging="4334"/>
        <w:spacing w:after="0" w:line="256" w:lineRule="auto"/>
        <w:rPr>
          <w:sz w:val="20"/>
          <w:szCs w:val="20"/>
          <w:color w:val="auto"/>
        </w:rPr>
      </w:pPr>
      <w:r>
        <w:rPr>
          <w:rFonts w:ascii="Times New Roman" w:cs="Times New Roman" w:eastAsia="Times New Roman" w:hAnsi="Times New Roman"/>
          <w:sz w:val="18"/>
          <w:szCs w:val="18"/>
          <w:color w:val="auto"/>
        </w:rPr>
        <w:t>Shares Available for Issuance under the 2013 Incentive Plan: A total of 35 million shares of Schlumberger common stock are subject to the 2013 Incentive Plan. No more than 7.5 million shares of common stock may be the subject of awards that are not options or stock appreciation rights. Up to 35 million shares of common stock may be subject to incentive stock options. The number of shares available for issuance under the 2013 Incentive Plan is subject to adjustment to reflect stock splits, reorganizations and similar events.</w:t>
      </w:r>
    </w:p>
    <w:p>
      <w:pPr>
        <w:spacing w:after="0" w:line="58" w:lineRule="exact"/>
        <w:rPr>
          <w:sz w:val="20"/>
          <w:szCs w:val="20"/>
          <w:color w:val="auto"/>
        </w:rPr>
      </w:pPr>
    </w:p>
    <w:p>
      <w:pPr>
        <w:ind w:left="4340" w:right="180"/>
        <w:spacing w:after="0" w:line="334" w:lineRule="auto"/>
        <w:rPr>
          <w:sz w:val="20"/>
          <w:szCs w:val="20"/>
          <w:color w:val="auto"/>
        </w:rPr>
      </w:pPr>
      <w:r>
        <w:rPr>
          <w:rFonts w:ascii="Times New Roman" w:cs="Times New Roman" w:eastAsia="Times New Roman" w:hAnsi="Times New Roman"/>
          <w:sz w:val="16"/>
          <w:szCs w:val="16"/>
          <w:color w:val="auto"/>
        </w:rPr>
        <w:t>The shares subject to issuance under the 2013 Incentive Plan consist of authorized and unissued shares or previously issued shares reacquired and held in treasury by us or any of our subsidiaries.</w:t>
      </w:r>
    </w:p>
    <w:p>
      <w:pPr>
        <w:spacing w:after="0" w:line="1" w:lineRule="exact"/>
        <w:rPr>
          <w:sz w:val="20"/>
          <w:szCs w:val="20"/>
          <w:color w:val="auto"/>
        </w:rPr>
      </w:pPr>
    </w:p>
    <w:p>
      <w:pPr>
        <w:ind w:left="4340" w:right="80"/>
        <w:spacing w:after="0" w:line="262" w:lineRule="auto"/>
        <w:rPr>
          <w:sz w:val="20"/>
          <w:szCs w:val="20"/>
          <w:color w:val="auto"/>
        </w:rPr>
      </w:pPr>
      <w:r>
        <w:rPr>
          <w:rFonts w:ascii="Times New Roman" w:cs="Times New Roman" w:eastAsia="Times New Roman" w:hAnsi="Times New Roman"/>
          <w:sz w:val="18"/>
          <w:szCs w:val="18"/>
          <w:color w:val="auto"/>
        </w:rPr>
        <w:t>Shares that were once subject to issuance upon the exercise or vesting of awards may again become available for future grants under the 2013 Incentive Plan only if an award is cancelled, forfeited, expired or terminated.</w:t>
      </w:r>
    </w:p>
    <w:p>
      <w:pPr>
        <w:spacing w:after="0" w:line="51" w:lineRule="exact"/>
        <w:rPr>
          <w:sz w:val="20"/>
          <w:szCs w:val="20"/>
          <w:color w:val="auto"/>
        </w:rPr>
      </w:pPr>
    </w:p>
    <w:p>
      <w:pPr>
        <w:ind w:left="4340" w:right="420"/>
        <w:spacing w:after="0" w:line="275" w:lineRule="auto"/>
        <w:rPr>
          <w:sz w:val="20"/>
          <w:szCs w:val="20"/>
          <w:color w:val="auto"/>
        </w:rPr>
      </w:pPr>
      <w:r>
        <w:rPr>
          <w:rFonts w:ascii="Times New Roman" w:cs="Times New Roman" w:eastAsia="Times New Roman" w:hAnsi="Times New Roman"/>
          <w:sz w:val="18"/>
          <w:szCs w:val="18"/>
          <w:color w:val="auto"/>
        </w:rPr>
        <w:t>However, the number of shares reserved for issuance under the 2013 Incentive Plan will not be increased by:</w:t>
      </w:r>
    </w:p>
    <w:p>
      <w:pPr>
        <w:spacing w:after="0" w:line="39" w:lineRule="exact"/>
        <w:rPr>
          <w:sz w:val="20"/>
          <w:szCs w:val="20"/>
          <w:color w:val="auto"/>
        </w:rPr>
      </w:pPr>
    </w:p>
    <w:p>
      <w:pPr>
        <w:ind w:left="4780" w:right="680" w:hanging="161"/>
        <w:spacing w:after="0" w:line="275" w:lineRule="auto"/>
        <w:tabs>
          <w:tab w:leader="none" w:pos="4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not issued or delivered as a result of the net settlement of an outstanding stock appreciation right or stock option, or</w:t>
      </w:r>
    </w:p>
    <w:p>
      <w:pPr>
        <w:spacing w:after="0" w:line="38" w:lineRule="exact"/>
        <w:rPr>
          <w:rFonts w:ascii="Times New Roman" w:cs="Times New Roman" w:eastAsia="Times New Roman" w:hAnsi="Times New Roman"/>
          <w:sz w:val="18"/>
          <w:szCs w:val="18"/>
          <w:color w:val="auto"/>
        </w:rPr>
      </w:pPr>
    </w:p>
    <w:p>
      <w:pPr>
        <w:ind w:left="4780" w:right="420" w:hanging="161"/>
        <w:spacing w:after="0" w:line="275" w:lineRule="auto"/>
        <w:tabs>
          <w:tab w:leader="none" w:pos="4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used to pay the exercise price or withholding taxes related to an outstanding stock appreciation right or stock option award.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Available for Issuance Under the 2013 Incentive Plan 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Outstanding Common Stock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All Equity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rPr>
          <w:sz w:val="20"/>
          <w:szCs w:val="20"/>
          <w:color w:val="auto"/>
        </w:rPr>
      </w:pPr>
      <w:r>
        <w:rPr>
          <w:rFonts w:ascii="Times New Roman" w:cs="Times New Roman" w:eastAsia="Times New Roman" w:hAnsi="Times New Roman"/>
          <w:sz w:val="18"/>
          <w:szCs w:val="18"/>
          <w:color w:val="auto"/>
        </w:rPr>
        <w:t>Compensation Plans excluding the 2013 Incentive Plan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(including shares issuable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options) as a Percentage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Stock Options Outstanding</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42,059,486</w:t>
            </w: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Weighted Average Exercise Price</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$67.77</w:t>
            </w: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Weighted Average Term </w:t>
            </w:r>
            <w:r>
              <w:rPr>
                <w:rFonts w:ascii="Times New Roman" w:cs="Times New Roman" w:eastAsia="Times New Roman" w:hAnsi="Times New Roman"/>
                <w:sz w:val="18"/>
                <w:szCs w:val="18"/>
                <w:color w:val="auto"/>
              </w:rPr>
              <w:t>(in years)</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6.65</w:t>
            </w:r>
          </w:p>
        </w:tc>
      </w:tr>
      <w:tr>
        <w:trPr>
          <w:trHeight w:val="31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Number of Full-Value Awards Outstanding:</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3,564,230</w:t>
            </w:r>
          </w:p>
        </w:tc>
      </w:tr>
      <w:tr>
        <w:trPr>
          <w:trHeight w:val="29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Remaining for Future Grant</w:t>
            </w:r>
          </w:p>
        </w:tc>
        <w:tc>
          <w:tcPr>
            <w:tcW w:w="7280" w:type="dxa"/>
            <w:vAlign w:val="bottom"/>
          </w:tcPr>
          <w:p>
            <w:pPr>
              <w:spacing w:after="0"/>
              <w:rPr>
                <w:sz w:val="24"/>
                <w:szCs w:val="24"/>
                <w:color w:val="auto"/>
              </w:rPr>
            </w:pP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2005 Stock Incentive Plan</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120,080</w:t>
            </w: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2008 Stock Incentive Plan</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531,369</w:t>
            </w: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2010 Stock Incentive Plan</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10,645,966</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as of December 31, 2012:</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1,328,255,773</w:t>
            </w:r>
          </w:p>
        </w:tc>
      </w:tr>
      <w:tr>
        <w:trPr>
          <w:trHeight w:val="5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Not Permitted:</w:t>
            </w:r>
          </w:p>
        </w:tc>
        <w:tc>
          <w:tcPr>
            <w:tcW w:w="7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 Granting of stock options or stock appreciation rights at a price below the fair market value on</w:t>
            </w:r>
          </w:p>
        </w:tc>
      </w:tr>
    </w:tbl>
    <w:p>
      <w:pPr>
        <w:ind w:left="4780"/>
        <w:spacing w:after="0"/>
        <w:rPr>
          <w:sz w:val="20"/>
          <w:szCs w:val="20"/>
          <w:color w:val="auto"/>
        </w:rPr>
      </w:pPr>
      <w:r>
        <w:rPr>
          <w:rFonts w:ascii="Times New Roman" w:cs="Times New Roman" w:eastAsia="Times New Roman" w:hAnsi="Times New Roman"/>
          <w:sz w:val="18"/>
          <w:szCs w:val="18"/>
          <w:color w:val="auto"/>
        </w:rPr>
        <w:t>the grant date;</w:t>
      </w:r>
    </w:p>
    <w:p>
      <w:pPr>
        <w:spacing w:after="0" w:line="78" w:lineRule="exact"/>
        <w:rPr>
          <w:sz w:val="20"/>
          <w:szCs w:val="20"/>
          <w:color w:val="auto"/>
        </w:rPr>
      </w:pPr>
    </w:p>
    <w:p>
      <w:pPr>
        <w:ind w:left="5620" w:right="620" w:hanging="1006"/>
        <w:spacing w:after="0" w:line="447" w:lineRule="auto"/>
        <w:rPr>
          <w:sz w:val="20"/>
          <w:szCs w:val="20"/>
          <w:color w:val="auto"/>
        </w:rPr>
      </w:pPr>
      <w:r>
        <w:rPr>
          <w:rFonts w:ascii="Times New Roman" w:cs="Times New Roman" w:eastAsia="Times New Roman" w:hAnsi="Times New Roman"/>
          <w:sz w:val="18"/>
          <w:szCs w:val="18"/>
          <w:color w:val="auto"/>
        </w:rPr>
        <w:t>• Repricing, or reducing the exercise price of a stock option or stock appreciation right; 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780" w:right="120" w:hanging="161"/>
        <w:spacing w:after="0" w:line="275" w:lineRule="auto"/>
        <w:tabs>
          <w:tab w:leader="none" w:pos="4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Substituting a new option or stock appreciation right grant with an exercise price lower than the exercise price of an outstanding option or stock appreciation right grant;</w:t>
      </w:r>
    </w:p>
    <w:p>
      <w:pPr>
        <w:spacing w:after="0" w:line="38" w:lineRule="exact"/>
        <w:rPr>
          <w:rFonts w:ascii="Times New Roman" w:cs="Times New Roman" w:eastAsia="Times New Roman" w:hAnsi="Times New Roman"/>
          <w:sz w:val="18"/>
          <w:szCs w:val="18"/>
          <w:color w:val="auto"/>
        </w:rPr>
      </w:pPr>
    </w:p>
    <w:p>
      <w:pPr>
        <w:ind w:left="4780" w:hanging="161"/>
        <w:spacing w:after="0"/>
        <w:tabs>
          <w:tab w:leader="none" w:pos="4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Reload grants; or</w:t>
      </w:r>
    </w:p>
    <w:p>
      <w:pPr>
        <w:spacing w:after="0" w:line="90" w:lineRule="exact"/>
        <w:rPr>
          <w:rFonts w:ascii="Times New Roman" w:cs="Times New Roman" w:eastAsia="Times New Roman" w:hAnsi="Times New Roman"/>
          <w:sz w:val="18"/>
          <w:szCs w:val="18"/>
          <w:color w:val="auto"/>
        </w:rPr>
      </w:pPr>
    </w:p>
    <w:p>
      <w:pPr>
        <w:ind w:left="4780" w:right="40" w:hanging="161"/>
        <w:spacing w:after="0" w:line="275" w:lineRule="auto"/>
        <w:tabs>
          <w:tab w:leader="none" w:pos="4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awards under the 2013 Incentive Plan with respect to more than 1,000,000 shares to any one participant during any year.</w:t>
      </w:r>
    </w:p>
    <w:p>
      <w:pPr>
        <w:spacing w:after="0" w:line="116" w:lineRule="exact"/>
        <w:rPr>
          <w:sz w:val="20"/>
          <w:szCs w:val="20"/>
          <w:color w:val="auto"/>
        </w:rPr>
      </w:pPr>
    </w:p>
    <w:p>
      <w:pPr>
        <w:jc w:val="right"/>
        <w:ind w:right="1036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96" w:lineRule="exact"/>
        <w:rPr>
          <w:sz w:val="20"/>
          <w:szCs w:val="20"/>
          <w:color w:val="auto"/>
        </w:rPr>
      </w:pPr>
    </w:p>
    <w:p>
      <w:pPr>
        <w:jc w:val="right"/>
        <w:ind w:right="10400"/>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17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will determine at the time of grant when each stock option will vest. The Compensation Committee’s current practice is to grant options that vest in five equal annual installments beginning on the first anniversary of the grant date, except where local conditions dictate a different vesting schedule.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73"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exercise price of stock options granted under the 2013 Incentive Plan may not be less than the fair market value (the mean between the high and low sales prices on the New York Stock Exchange on the grant date) of the common stock on the date of grant. As of February 20, 2013, the mean between the high and low sales prices of Schlumberger common stock on the New York Stock Exchange was $79.33 per share.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Term</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option term may not be longer than 10 years.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purchase price to be paid upon exercise of a stock option may be paid, subject to the rules established by the Compensation Committee, as follows:</w:t>
      </w:r>
    </w:p>
    <w:p>
      <w:pPr>
        <w:spacing w:after="0" w:line="113" w:lineRule="exact"/>
        <w:rPr>
          <w:sz w:val="20"/>
          <w:szCs w:val="20"/>
          <w:color w:val="auto"/>
        </w:rPr>
      </w:pPr>
    </w:p>
    <w:p>
      <w:pPr>
        <w:ind w:left="780" w:hanging="326"/>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certified check;</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tender or delivery of shares of our common stock with a fair market value at the time of exercise equal to the total option price;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combination of the preceding methods.</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Stock options also may be exercised through “cashless exercise” procedures approved by the Compensation Committee involving a broker or dealer approved by the Compensation Committee. Schlumberger may require, prior to issuing common stock under the 2013 Incentive Plan, that the participant remit an amount in cash, or authorize withholding of common stock in connection with the option exercise, sufficient to satisfy tax withholding requirements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173"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2013 Incentive Plan grants the Compensation Committee broad discretion to designate the treatment of stock options following an option holder’s termination of employment with Schlumberger or any of its subsidiaries. However, the Compensation Committee currently expects that the consequences of termination 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employment on outstanding stock options will be consistent with past stock options awards. The following table and paragraph following the table summarize the Compensation Committee’s past practice with regards to treatment of stock options in the event an option holder’s employment terminates.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Reason for Termination of Employment</w:t>
            </w: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Post-Employment Exercise Period</w:t>
            </w:r>
          </w:p>
        </w:tc>
      </w:tr>
      <w:tr>
        <w:trPr>
          <w:trHeight w:val="175"/>
        </w:trPr>
        <w:tc>
          <w:tcPr>
            <w:tcW w:w="24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1"/>
              </w:rPr>
              <w:t>Voluntary termination or termination</w:t>
            </w:r>
          </w:p>
        </w:tc>
        <w:tc>
          <w:tcPr>
            <w:tcW w:w="2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by the Company or</w:t>
            </w:r>
          </w:p>
        </w:tc>
        <w:tc>
          <w:tcPr>
            <w:tcW w:w="27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No additional vesting.</w:t>
            </w:r>
          </w:p>
        </w:tc>
        <w:tc>
          <w:tcPr>
            <w:tcW w:w="240" w:type="dxa"/>
            <w:vAlign w:val="bottom"/>
          </w:tcPr>
          <w:p>
            <w:pPr>
              <w:spacing w:after="0"/>
              <w:rPr>
                <w:sz w:val="15"/>
                <w:szCs w:val="15"/>
                <w:color w:val="auto"/>
              </w:rPr>
            </w:pPr>
          </w:p>
        </w:tc>
        <w:tc>
          <w:tcPr>
            <w:tcW w:w="3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Exercisable (to the extent exercisable at termination) at</w:t>
            </w:r>
          </w:p>
        </w:tc>
      </w:tr>
      <w:tr>
        <w:trPr>
          <w:trHeight w:val="24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subsidiary other than for cause</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any time within three months after termination.</w:t>
            </w:r>
          </w:p>
        </w:tc>
      </w:tr>
      <w:tr>
        <w:trPr>
          <w:trHeight w:val="3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by the Company or any subsidiary for cause</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28"/>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immediately.</w:t>
            </w:r>
          </w:p>
        </w:tc>
        <w:tc>
          <w:tcPr>
            <w:tcW w:w="3980" w:type="dxa"/>
            <w:vAlign w:val="bottom"/>
          </w:tcPr>
          <w:p>
            <w:pPr>
              <w:spacing w:after="0"/>
              <w:rPr>
                <w:sz w:val="19"/>
                <w:szCs w:val="19"/>
                <w:color w:val="auto"/>
              </w:rPr>
            </w:pPr>
          </w:p>
        </w:tc>
      </w:tr>
      <w:tr>
        <w:trPr>
          <w:trHeight w:val="32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Disability during employment</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vesting.</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w w:val="97"/>
              </w:rPr>
              <w:t>after termination by disability (as defined in the relevant</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w w:val="97"/>
              </w:rPr>
              <w:t>award agreement, and which may not be the same as the</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definition used for other benefit plans) or during the</w:t>
            </w:r>
          </w:p>
        </w:tc>
      </w:tr>
      <w:tr>
        <w:trPr>
          <w:trHeight w:val="228"/>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the option period, whichever is shorter.</w:t>
            </w:r>
          </w:p>
        </w:tc>
      </w:tr>
      <w:tr>
        <w:trPr>
          <w:trHeight w:val="3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additional vesting.</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Exercisable (to the extent exercisable at termination) at</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any time during the 60-month period after termination</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by retirement (as defined in the relevant award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which may not be the same as the</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definition used for other benefit plans) or during the</w:t>
            </w:r>
          </w:p>
        </w:tc>
      </w:tr>
      <w:tr>
        <w:trPr>
          <w:trHeight w:val="228"/>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the option period, whichever is shorter.</w:t>
            </w:r>
          </w:p>
        </w:tc>
      </w:tr>
      <w:tr>
        <w:trPr>
          <w:trHeight w:val="3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Death during employment</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vesting.</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w w:val="97"/>
              </w:rPr>
              <w:t>after termination by death or during the remainder of the</w:t>
            </w:r>
          </w:p>
        </w:tc>
      </w:tr>
      <w:tr>
        <w:trPr>
          <w:trHeight w:val="228"/>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 period, whichever is shorter.</w:t>
            </w:r>
          </w:p>
        </w:tc>
      </w:tr>
    </w:tbl>
    <w:p>
      <w:pPr>
        <w:spacing w:after="0" w:line="6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w:t>
      </w:r>
    </w:p>
    <w:p>
      <w:pPr>
        <w:spacing w:after="0" w:line="39" w:lineRule="exact"/>
        <w:rPr>
          <w:sz w:val="20"/>
          <w:szCs w:val="20"/>
          <w:color w:val="auto"/>
        </w:rPr>
      </w:pPr>
    </w:p>
    <w:p>
      <w:pPr>
        <w:ind w:left="780" w:hanging="326"/>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months following the date of the optionee’s termination of employment,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original term.</w:t>
      </w:r>
    </w:p>
    <w:p>
      <w:pPr>
        <w:spacing w:after="0" w:line="9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Death or disability following termination of employment will not result in any additional vesting, so that the option will be exercisable to the extent provided in the matrix above based on the circumstances of the optionee’s termination of employment.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2013 Incentive Plan must have a grant price per share that is not less than the fair market value of a share of common stock on the date of grant and a term of no more than 10 years.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maximum of 7.5 million shares may be the subject of stock awards, such as restricted stock or restricted stock unit awards. The terms, conditions and limitations applicable to grants of restricted stock and restricted stock units will be determined by our Compensation Committee. Restricted stock and restricted stock units will be subject to a restriction period totaling at least three years from the grant date (the vesting, lapse, or termination of which may be no more rapid in combination than pro rata over three years), except that the Compensation Committee may provide for earlier vesting upon a change of control or termination of employment by reason of death, disability or retirement. Furthermore, up to 1.75 million shares of stock may be issued as restricted stock or restricted stock units having a restriction period of three years or less.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Awards</w:t>
      </w:r>
    </w:p>
    <w:p>
      <w:pPr>
        <w:spacing w:after="0" w:line="17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Awards may also be in the form of grants denominated in cash. The terms, conditions and limitations applicable to any cash awards granted pursuant to the 2013 Incentive Plan will be determined by the Compensation Committee.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75"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will be determined by the Compensation Committee.</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2013 Incentive Plan permits, but does not require, the Compensation Committee to structure any performance award made to a named executive officer as performance-based compensation. At the discretion of the Compensation Committee, certain awards under the 2013 Incentive Plan may be intended to qualify as performance-based compensation under Section 162(m) of the Code. Section 162(m) of the Code generally limits the deductibility for federal income tax purposes of annual compensation paid to a company’s executive officers to $1 million per covered executive in a taxable year. The Compensation Committee and the Board of Directors may take deductibility and nondeductibility of compensation into account but retain the discretion to authorize the payment of potentially nondeductible amounts.</w:t>
      </w:r>
    </w:p>
    <w:p>
      <w:pPr>
        <w:spacing w:after="0" w:line="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making qualified performance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pacing w:after="0" w:line="51" w:lineRule="exact"/>
        <w:rPr>
          <w:sz w:val="20"/>
          <w:szCs w:val="20"/>
          <w:color w:val="auto"/>
        </w:rPr>
      </w:pPr>
    </w:p>
    <w:p>
      <w:pPr>
        <w:ind w:left="780" w:right="440" w:hanging="326"/>
        <w:spacing w:after="0" w:line="275"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38"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measures (which include costs of goods sold, selling, finding and development costs, general and administrative expenses and overhead costs);</w:t>
      </w:r>
    </w:p>
    <w:p>
      <w:pPr>
        <w:spacing w:after="0" w:line="38"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measures (which include productivity, operating income, funds from operations, cash from operations, after-tax operating income, market share, margin and sales volumes);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measures (which include net cash flow from operating activities and working capital);</w:t>
      </w:r>
    </w:p>
    <w:p>
      <w:pPr>
        <w:spacing w:after="0" w:line="90"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(which include earnings before or after the effect of certain items such as interest, taxes, depreciation and amortization, and free cash flow);</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measures (which include debt-to-equity ratio and net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measures (which include market share, stock price, growth measures, total shareholder return and market capitalization measures);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(which include return on equity, return on capital employed, return on assets and return on invested capital);</w:t>
      </w:r>
    </w:p>
    <w:p>
      <w:pPr>
        <w:spacing w:after="0" w:line="8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relating to ethics, Quality, safety, the environment and diversity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w:t>
      </w:r>
    </w:p>
    <w:p>
      <w:pPr>
        <w:spacing w:after="0" w:line="9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relating to acquisitions, dispositions or customer satisfaction.</w:t>
      </w:r>
    </w:p>
    <w:p>
      <w:pPr>
        <w:spacing w:after="0" w:line="9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award agreement may provide that an employee granted an award may forfeit his or her right to such award or be required to return common stock or cash received as a result of the exercise or vesting of an award if such holder engages in “detrimental activity” (as defined by the Compensation Committee in the award agreement under the 2013 Incentive Plan) during or following termination of employment. Under Schlumberger’s current standard terms for stock options grants, forfeiture may occur due to detrimental activity within one year after termination of employment (or five years after termination of employment in the event of retirement or disability).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73"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Unless otherwise determined by the Compensation Committee in an award agreement, no award will be assignable or otherwise transferable. Any attempted assignment of an award will be void.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will administer the 2013 Incentive Plan. The Compensation Committee has full power and authority to:</w:t>
      </w:r>
    </w:p>
    <w:p>
      <w:pPr>
        <w:spacing w:after="0" w:line="90" w:lineRule="exact"/>
        <w:rPr>
          <w:sz w:val="20"/>
          <w:szCs w:val="20"/>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to be granted awards;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of awards to be made;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when awards are to be granted and any conditions that must be satisfied before an award is granted;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objectives and conditions for earning awards;</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award agreements (which shall not be inconsistent with the 2013 Incentive Plan) and which parties must sign each award agreement;</w:t>
      </w:r>
    </w:p>
    <w:p>
      <w:pPr>
        <w:spacing w:after="0" w:line="38"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conditions for earning an award have been met and whether a performance award will be paid at the end of an applicable performance period;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2013 Incentive Plan, to modify the terms of awards made under the 2013 Incentive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if, when and under what conditions payment of all or any part of an award may be deferred;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amount or payment of an award should be reduced or eliminated;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guidelines and/or procedures for the payment or exercise of awards; and</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may correct any defect or supply any omission or reconcile any inconsistency in the 2013 Incentive Plan or in any award in the manner and to the extent the Compensation Committee deems necessary or desirable to further the purposes of the 2013 Incentive Plan or to avoid unanticipated consequences or address unanticipated events (including any temporary closure of a stock</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exchange on which the Schlumberger’s common stock is traded, disruption of communications or natural catastrophe) deemed by the Compensation Committee to be inconsistent with the purposes of the 2013 Incentive Plan or any award agreement, provided that no such action shall be taken absent stockholder approval to the extent required by the 2013 Incentive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5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Except with respect to matters related to awards to executive officers or other awards intended to qualify as qualified performance-based compensation under Section 162(m), the Compensation Committee may delegate to the Chief Executive Officer and to other senior officers of Schlumberger or to such other committee of the Board of Directors its duties under the 2013 Incentive Plan pursuant to such conditions or limitations as the Compensation Committee may establish.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or Termination</w:t>
      </w:r>
    </w:p>
    <w:p>
      <w:pPr>
        <w:spacing w:after="0" w:line="17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or the Compensation Committee may amend, modify, suspend or terminate the 2013 Incentive Plan for the purpose of addressing any changes in legal requirements or for any other lawful purpose, except that</w:t>
      </w:r>
    </w:p>
    <w:p>
      <w:pPr>
        <w:spacing w:after="0" w:line="39" w:lineRule="exact"/>
        <w:rPr>
          <w:sz w:val="20"/>
          <w:szCs w:val="20"/>
          <w:color w:val="auto"/>
        </w:rPr>
      </w:pPr>
    </w:p>
    <w:p>
      <w:pPr>
        <w:ind w:left="780" w:right="180" w:hanging="326"/>
        <w:spacing w:after="0" w:line="275"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that would adversely affect the rights of any participant under any award previously granted to such participant may be made without the consent of such participant, and</w:t>
      </w:r>
    </w:p>
    <w:p>
      <w:pPr>
        <w:spacing w:after="0" w:line="38" w:lineRule="exact"/>
        <w:rPr>
          <w:rFonts w:ascii="Times New Roman" w:cs="Times New Roman" w:eastAsia="Times New Roman" w:hAnsi="Times New Roman"/>
          <w:sz w:val="18"/>
          <w:szCs w:val="18"/>
          <w:color w:val="auto"/>
        </w:rPr>
      </w:pPr>
    </w:p>
    <w:p>
      <w:pPr>
        <w:ind w:left="780" w:right="680" w:hanging="326"/>
        <w:spacing w:after="0" w:line="275"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will be effective prior to its approval by the stockholders of Schlumberger to the extent such approval is otherwise required by applicable law or the requirements of any exchange on which the common stock is listed.</w:t>
      </w:r>
    </w:p>
    <w:p>
      <w:pPr>
        <w:spacing w:after="0" w:line="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Additionally, no stock option or stock appreciation right may be repriced, replaced, regranted through cancellation or modified without stockholder approval (except in connection with a change in Schlumberger’s capitalization) if the effect would be to reduce the exercise price for the shares underlying such stock option or stock appreciation right.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2013 Incentive Plan and the 2013 Incentive Plan limits in the number of shares subject to awards granted to an individual participant in any calendar year will be proportionally adjusted and the number of shares of common stock with respect to which outstanding awards or other property subject to an outstanding award granted under the Incentive Plan will:</w:t>
      </w:r>
    </w:p>
    <w:p>
      <w:pPr>
        <w:spacing w:after="0" w:line="58" w:lineRule="exact"/>
        <w:rPr>
          <w:sz w:val="20"/>
          <w:szCs w:val="20"/>
          <w:color w:val="auto"/>
        </w:rPr>
      </w:pPr>
    </w:p>
    <w:p>
      <w:pPr>
        <w:ind w:left="780" w:right="160" w:hanging="326"/>
        <w:spacing w:after="0" w:line="275"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38"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39"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In the event of any corporate merger, consolidation, acquisition of property or stock, separation, spinoff, reorganization or liquidation, the Board of Directors may make certain adjustments to awards as it deems equitable, including, providing for the substitution of a new award (or other arrangement) or the assumption of the award, prior to the transaction providing for the acceleration of the vesting and exercisability of or the lapse of restrictions with respect to the award, and cancelling any outstanding award in exchange for cash in an amount deemed by the Board to be equal to the fair market value of the award.</w:t>
      </w:r>
    </w:p>
    <w:p>
      <w:pPr>
        <w:spacing w:after="0" w:line="2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Consistent with past practice, we currently expect that any award agreement documenting an award under the 2013 Incentive Plan will not contain a contractual right to an automatic acceleration upon a change in control.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Rather, we expect that any acceleration of vesting of an award in connection with a transaction would be made only where (i) a transaction results in a change in control of Schlumberger and (ii) in connection with such transaction the outstanding awards are not assumed by Schlumberger’s successor.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73"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following discussion of tax consequences relates only to U.S. federal income tax matters. The tax consequences of participating in the 2013 Incentive Plan may vary according to country of participation. Also, the tax consequences of participating in the 2013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 and Stock Appreciation Rights</w:t>
      </w:r>
    </w:p>
    <w:p>
      <w:pPr>
        <w:spacing w:after="0" w:line="173"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Some of the options issued under the 2013 Incentive Plan are intended to constitute “incentive stock options” within the meaning of Section 422 of the Code, while other options granted under the 2013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3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58"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Participants will not realize taxable income upon the grant of a stock appreciation right. Upon the exercise of a stock appreciation right, the participant will recognize ordinary income (subject to withholding by Schlumberger)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Subject to the limitations discussed below, Schlumberger will be entitled to a deduction for U.S. federal income tax purposes that corresponds as to timing and amount with the compensation income recognized by the participant under the foregoing rules.</w:t>
      </w:r>
    </w:p>
    <w:p>
      <w:pPr>
        <w:spacing w:after="0" w:line="58"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appreciation right,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participant generally will not have taxable income upon the grant of stock awards, such as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58"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Tax Code Limitations on Deductibility</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Section 162(m) of the Code provides that certain compensation received in any year by a “covered employee” in excess of $1 million is non-deductible by Schlumberger for federal income tax purposes. Section 162(m) provides an exception, however, for “qualified performance-based compensation.” The Compensation Committee may determine to designate awards granted to “covered employees” as qualified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Code Section 409A</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Section 409A of the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Schlumberger intends to structure awards under the 2013 Incentive Plan in a manner that is designed to be exempt from or comply with Section 409A.</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Code Section 457A</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Section 457A of the Code has significantly changed the rules applicable to deferred compensation paid to U.S. persons by certain foreign corporations and other entities. We expect that stock options, stock-settled stock appreciation rights, restricted stock and restricted stock units granted under the 2013 Incentive Plan will be exempt from Section 457A. However, stock appreciation rights that may be settled in cash may be subject to Section 457A, as well as cash awards or stock units that are not paid within one year after vesting.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Section 457A requires that any compensation paid under a deferred compensation plan of a nonqualified entity must be included in the participant’s income at the time such amounts are no longer subject to a substantial risk of 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Schlumberger currently intends to grant awards that are exempt from Section 457A.</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table below sets forth the following information as of the end of December 31, 2012 for all equity compensation plans approved and not approved by our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6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00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(c)</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remaining</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gridSpan w:val="2"/>
          </w:tcPr>
          <w:p>
            <w:pPr>
              <w:jc w:val="center"/>
              <w:ind w:right="17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 for future issuance</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gridSpan w:val="2"/>
          </w:tcPr>
          <w:p>
            <w:pPr>
              <w:jc w:val="center"/>
              <w:ind w:right="17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300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equity compensation</w:t>
            </w:r>
          </w:p>
        </w:tc>
      </w:tr>
      <w:tr>
        <w:trPr>
          <w:trHeight w:val="13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gridSpan w:val="2"/>
          </w:tcPr>
          <w:p>
            <w:pPr>
              <w:jc w:val="center"/>
              <w:ind w:right="17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outstanding options, warrants</w:t>
            </w:r>
          </w:p>
        </w:tc>
        <w:tc>
          <w:tcPr>
            <w:tcW w:w="3000" w:type="dxa"/>
            <w:vAlign w:val="bottom"/>
            <w:gridSpan w:val="2"/>
          </w:tcPr>
          <w:p>
            <w:pPr>
              <w:jc w:val="center"/>
              <w:ind w:right="126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price of such outstanding</w:t>
            </w:r>
          </w:p>
        </w:tc>
        <w:tc>
          <w:tcPr>
            <w:tcW w:w="19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plans (excluding securities</w:t>
            </w:r>
          </w:p>
        </w:tc>
      </w:tr>
      <w:tr>
        <w:trPr>
          <w:trHeight w:val="176"/>
        </w:trPr>
        <w:tc>
          <w:tcPr>
            <w:tcW w:w="20" w:type="dxa"/>
            <w:vAlign w:val="bottom"/>
          </w:tcPr>
          <w:p>
            <w:pPr>
              <w:spacing w:after="0"/>
              <w:rPr>
                <w:sz w:val="15"/>
                <w:szCs w:val="15"/>
                <w:color w:val="auto"/>
              </w:rPr>
            </w:pPr>
          </w:p>
        </w:tc>
        <w:tc>
          <w:tcPr>
            <w:tcW w:w="30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46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3000" w:type="dxa"/>
            <w:vAlign w:val="bottom"/>
            <w:gridSpan w:val="2"/>
          </w:tcPr>
          <w:p>
            <w:pPr>
              <w:jc w:val="right"/>
              <w:ind w:right="1240"/>
              <w:spacing w:after="0" w:line="176" w:lineRule="exact"/>
              <w:rPr>
                <w:sz w:val="20"/>
                <w:szCs w:val="20"/>
                <w:color w:val="auto"/>
              </w:rPr>
            </w:pPr>
            <w:r>
              <w:rPr>
                <w:rFonts w:ascii="Times New Roman" w:cs="Times New Roman" w:eastAsia="Times New Roman" w:hAnsi="Times New Roman"/>
                <w:sz w:val="13"/>
                <w:szCs w:val="13"/>
                <w:b w:val="1"/>
                <w:bCs w:val="1"/>
                <w:color w:val="auto"/>
              </w:rPr>
              <w:t>options, warrants and rights</w:t>
            </w:r>
            <w:r>
              <w:rPr>
                <w:rFonts w:ascii="Times New Roman" w:cs="Times New Roman" w:eastAsia="Times New Roman" w:hAnsi="Times New Roman"/>
                <w:sz w:val="20"/>
                <w:szCs w:val="20"/>
                <w:b w:val="1"/>
                <w:bCs w:val="1"/>
                <w:color w:val="auto"/>
                <w:vertAlign w:val="superscript"/>
              </w:rPr>
              <w:t>(1)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reflected in column (a))</w:t>
            </w:r>
          </w:p>
        </w:tc>
      </w:tr>
      <w:tr>
        <w:trPr>
          <w:trHeight w:val="195"/>
        </w:trPr>
        <w:tc>
          <w:tcPr>
            <w:tcW w:w="20" w:type="dxa"/>
            <w:vAlign w:val="bottom"/>
          </w:tcPr>
          <w:p>
            <w:pPr>
              <w:spacing w:after="0"/>
              <w:rPr>
                <w:sz w:val="16"/>
                <w:szCs w:val="16"/>
                <w:color w:val="auto"/>
              </w:rPr>
            </w:pPr>
          </w:p>
        </w:tc>
        <w:tc>
          <w:tcPr>
            <w:tcW w:w="2320" w:type="dxa"/>
            <w:vAlign w:val="bottom"/>
            <w:tcBorders>
              <w:top w:val="single" w:sz="8" w:color="auto"/>
            </w:tcBorders>
            <w:shd w:val="clear" w:color="auto" w:fill="D8D8D8"/>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w:t>
            </w:r>
          </w:p>
        </w:tc>
        <w:tc>
          <w:tcPr>
            <w:tcW w:w="700" w:type="dxa"/>
            <w:vAlign w:val="bottom"/>
            <w:tcBorders>
              <w:top w:val="single" w:sz="8" w:color="D8D8D8"/>
            </w:tcBorders>
            <w:shd w:val="clear" w:color="auto" w:fill="D8D8D8"/>
          </w:tcPr>
          <w:p>
            <w:pPr>
              <w:spacing w:after="0"/>
              <w:rPr>
                <w:sz w:val="16"/>
                <w:szCs w:val="16"/>
                <w:color w:val="auto"/>
              </w:rPr>
            </w:pPr>
          </w:p>
        </w:tc>
        <w:tc>
          <w:tcPr>
            <w:tcW w:w="1740" w:type="dxa"/>
            <w:vAlign w:val="bottom"/>
            <w:tcBorders>
              <w:top w:val="single" w:sz="8" w:color="auto"/>
            </w:tcBorders>
            <w:shd w:val="clear" w:color="auto" w:fill="D8D8D8"/>
          </w:tcPr>
          <w:p>
            <w:pPr>
              <w:spacing w:after="0"/>
              <w:rPr>
                <w:sz w:val="16"/>
                <w:szCs w:val="16"/>
                <w:color w:val="auto"/>
              </w:rPr>
            </w:pPr>
          </w:p>
        </w:tc>
        <w:tc>
          <w:tcPr>
            <w:tcW w:w="1720" w:type="dxa"/>
            <w:vAlign w:val="bottom"/>
            <w:tcBorders>
              <w:top w:val="single" w:sz="8" w:color="D8D8D8"/>
            </w:tcBorders>
            <w:shd w:val="clear" w:color="auto" w:fill="D8D8D8"/>
          </w:tcPr>
          <w:p>
            <w:pPr>
              <w:spacing w:after="0"/>
              <w:rPr>
                <w:sz w:val="16"/>
                <w:szCs w:val="16"/>
                <w:color w:val="auto"/>
              </w:rPr>
            </w:pPr>
          </w:p>
        </w:tc>
        <w:tc>
          <w:tcPr>
            <w:tcW w:w="1760" w:type="dxa"/>
            <w:vAlign w:val="bottom"/>
            <w:tcBorders>
              <w:top w:val="single" w:sz="8" w:color="auto"/>
            </w:tcBorders>
            <w:shd w:val="clear" w:color="auto" w:fill="D8D8D8"/>
          </w:tcPr>
          <w:p>
            <w:pPr>
              <w:spacing w:after="0"/>
              <w:rPr>
                <w:sz w:val="16"/>
                <w:szCs w:val="16"/>
                <w:color w:val="auto"/>
              </w:rPr>
            </w:pPr>
          </w:p>
        </w:tc>
        <w:tc>
          <w:tcPr>
            <w:tcW w:w="1240" w:type="dxa"/>
            <w:vAlign w:val="bottom"/>
            <w:tcBorders>
              <w:top w:val="single" w:sz="8" w:color="D8D8D8"/>
            </w:tcBorders>
            <w:shd w:val="clear" w:color="auto" w:fill="D8D8D8"/>
          </w:tcPr>
          <w:p>
            <w:pPr>
              <w:spacing w:after="0"/>
              <w:rPr>
                <w:sz w:val="16"/>
                <w:szCs w:val="16"/>
                <w:color w:val="auto"/>
              </w:rPr>
            </w:pPr>
          </w:p>
        </w:tc>
        <w:tc>
          <w:tcPr>
            <w:tcW w:w="1820" w:type="dxa"/>
            <w:vAlign w:val="bottom"/>
            <w:tcBorders>
              <w:top w:val="single" w:sz="8" w:color="auto"/>
            </w:tcBorders>
            <w:shd w:val="clear" w:color="auto" w:fill="D8D8D8"/>
          </w:tcPr>
          <w:p>
            <w:pPr>
              <w:spacing w:after="0"/>
              <w:rPr>
                <w:sz w:val="16"/>
                <w:szCs w:val="16"/>
                <w:color w:val="auto"/>
              </w:rPr>
            </w:pPr>
          </w:p>
        </w:tc>
        <w:tc>
          <w:tcPr>
            <w:tcW w:w="100" w:type="dxa"/>
            <w:vAlign w:val="bottom"/>
            <w:tcBorders>
              <w:top w:val="single" w:sz="8" w:color="D8D8D8"/>
            </w:tcBorders>
            <w:shd w:val="clear" w:color="auto" w:fill="D8D8D8"/>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D8D8D8"/>
          </w:tcPr>
          <w:p>
            <w:pPr>
              <w:ind w:left="20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45,625,916</w:t>
            </w:r>
            <w:r>
              <w:rPr>
                <w:rFonts w:ascii="Times New Roman" w:cs="Times New Roman" w:eastAsia="Times New Roman" w:hAnsi="Times New Roman"/>
                <w:sz w:val="11"/>
                <w:szCs w:val="11"/>
                <w:color w:val="auto"/>
              </w:rPr>
              <w:t>(2)</w:t>
            </w:r>
          </w:p>
        </w:tc>
        <w:tc>
          <w:tcPr>
            <w:tcW w:w="1720" w:type="dxa"/>
            <w:vAlign w:val="bottom"/>
            <w:shd w:val="clear" w:color="auto" w:fill="D8D8D8"/>
          </w:tcPr>
          <w:p>
            <w:pPr>
              <w:spacing w:after="0"/>
              <w:rPr>
                <w:sz w:val="20"/>
                <w:szCs w:val="20"/>
                <w:color w:val="auto"/>
              </w:rPr>
            </w:pPr>
          </w:p>
        </w:tc>
        <w:tc>
          <w:tcPr>
            <w:tcW w:w="3000" w:type="dxa"/>
            <w:vAlign w:val="bottom"/>
            <w:gridSpan w:val="2"/>
            <w:shd w:val="clear" w:color="auto" w:fill="D8D8D8"/>
          </w:tcPr>
          <w:p>
            <w:pPr>
              <w:jc w:val="right"/>
              <w:ind w:right="1240"/>
              <w:spacing w:after="0"/>
              <w:rPr>
                <w:sz w:val="20"/>
                <w:szCs w:val="20"/>
                <w:color w:val="auto"/>
              </w:rPr>
            </w:pPr>
            <w:r>
              <w:rPr>
                <w:rFonts w:ascii="Times New Roman" w:cs="Times New Roman" w:eastAsia="Times New Roman" w:hAnsi="Times New Roman"/>
                <w:sz w:val="18"/>
                <w:szCs w:val="18"/>
                <w:color w:val="auto"/>
              </w:rPr>
              <w:t>$63.93</w:t>
            </w:r>
          </w:p>
        </w:tc>
        <w:tc>
          <w:tcPr>
            <w:tcW w:w="192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11,297,415</w:t>
            </w:r>
            <w:r>
              <w:rPr>
                <w:rFonts w:ascii="Times New Roman" w:cs="Times New Roman" w:eastAsia="Times New Roman" w:hAnsi="Times New Roman"/>
                <w:sz w:val="11"/>
                <w:szCs w:val="11"/>
                <w:color w:val="auto"/>
              </w:rPr>
              <w:t>(3)</w:t>
            </w: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346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color w:val="auto"/>
              </w:rPr>
              <w:t>N/A</w:t>
            </w:r>
          </w:p>
        </w:tc>
        <w:tc>
          <w:tcPr>
            <w:tcW w:w="300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45,625,916</w:t>
            </w:r>
            <w:r>
              <w:rPr>
                <w:rFonts w:ascii="Times New Roman" w:cs="Times New Roman" w:eastAsia="Times New Roman" w:hAnsi="Times New Roman"/>
                <w:sz w:val="11"/>
                <w:szCs w:val="11"/>
                <w:color w:val="auto"/>
              </w:rPr>
              <w:t>(2)</w:t>
            </w:r>
          </w:p>
        </w:tc>
        <w:tc>
          <w:tcPr>
            <w:tcW w:w="1720" w:type="dxa"/>
            <w:vAlign w:val="bottom"/>
            <w:shd w:val="clear" w:color="auto" w:fill="D8D8D8"/>
          </w:tcPr>
          <w:p>
            <w:pPr>
              <w:spacing w:after="0"/>
              <w:rPr>
                <w:sz w:val="18"/>
                <w:szCs w:val="18"/>
                <w:color w:val="auto"/>
              </w:rPr>
            </w:pPr>
          </w:p>
        </w:tc>
        <w:tc>
          <w:tcPr>
            <w:tcW w:w="17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40" w:type="dxa"/>
            <w:vAlign w:val="bottom"/>
            <w:shd w:val="clear" w:color="auto" w:fill="D8D8D8"/>
          </w:tcPr>
          <w:p>
            <w:pPr>
              <w:spacing w:after="0"/>
              <w:rPr>
                <w:sz w:val="18"/>
                <w:szCs w:val="18"/>
                <w:color w:val="auto"/>
              </w:rPr>
            </w:pPr>
          </w:p>
        </w:tc>
        <w:tc>
          <w:tcPr>
            <w:tcW w:w="182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11,297,415</w:t>
            </w:r>
            <w:r>
              <w:rPr>
                <w:rFonts w:ascii="Times New Roman" w:cs="Times New Roman" w:eastAsia="Times New Roman" w:hAnsi="Times New Roman"/>
                <w:sz w:val="11"/>
                <w:szCs w:val="11"/>
                <w:color w:val="auto"/>
              </w:rPr>
              <w:t>(3)</w:t>
            </w:r>
          </w:p>
        </w:tc>
        <w:tc>
          <w:tcPr>
            <w:tcW w:w="100" w:type="dxa"/>
            <w:vAlign w:val="bottom"/>
            <w:shd w:val="clear" w:color="auto" w:fill="D8D8D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hanging="451"/>
        <w:spacing w:after="0"/>
        <w:tabs>
          <w:tab w:leader="none" w:pos="5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price does not take into account the shares issuable upon vesting of outstanding restricted stock units, which have no exercise price.</w:t>
      </w:r>
    </w:p>
    <w:p>
      <w:pPr>
        <w:spacing w:after="0" w:line="99" w:lineRule="exact"/>
        <w:rPr>
          <w:rFonts w:ascii="Times New Roman" w:cs="Times New Roman" w:eastAsia="Times New Roman" w:hAnsi="Times New Roman"/>
          <w:sz w:val="16"/>
          <w:szCs w:val="16"/>
          <w:color w:val="auto"/>
        </w:rPr>
      </w:pPr>
    </w:p>
    <w:p>
      <w:pPr>
        <w:ind w:left="500" w:hanging="451"/>
        <w:spacing w:after="0"/>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172,254 shares of common stock issuable upon the exercise of outstanding stock options assumed in the acquisition of Smith.</w:t>
      </w:r>
    </w:p>
    <w:p>
      <w:pPr>
        <w:spacing w:after="0" w:line="90"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179,687 shares of common stock issuable under Schlumberger’s 2004 Stock and Deferral Plan for Non-Employee Directors.</w:t>
      </w:r>
    </w:p>
    <w:p>
      <w:pPr>
        <w:spacing w:after="0" w:line="90"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Equity compensation plans approved by Schlumberger stockholders include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the Schlumberger 1998 Stock Option Plan, as amended; and the Schlumberger 1994 Stock Option Plan, as amended.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6. APPROVAL OF THE AMENDMENT AND RESTATEMENT OF THE SCHLUMBERGER DISCOUNTED STOCK PURCHASE PLAN</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requesting that our stockholders vote in favor of approving an amendment and restatement of the Schlumberger Discounted Stock Purchase Plan (as amended, the “DSPP”), that would increase the number of shares available for purchase under the DSPP by 22,000,000 shares. The proposed amendment and restatement of the DSPP was approved by the Board as of January 1, 2013, subject to approval by our stockholders. No other changes are being made to the DSPP.</w:t>
      </w:r>
    </w:p>
    <w:p>
      <w:pPr>
        <w:spacing w:after="0" w:line="5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DSPP was originally approved by the Board and our stockholders in 1988. In 1998 and in 2010, the DSPP was amended and restated with the approval of our stockholders. The DSPP was amended and restated in 2010 to increase the number of shares authorized for issuance under the DSPP by 10,000,000 and to update the DSPP to reflect changes to U.S. tax laws. The following summary of certain major features of the DSPP is subject to the specific provisions contained in the full text of the DSPP, which is attached to this proxy statement as Appendix B.</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 xml:space="preserve">A majority of the votes cast is required for approval of the amendment and restatement of the Discounted Stock Purchase Plan, provided that the total votes cast on the proposal represents over 50% of all shares entitled to vote on this Item. </w:t>
      </w:r>
      <w:r>
        <w:rPr>
          <w:rFonts w:ascii="Times New Roman" w:cs="Times New Roman" w:eastAsia="Times New Roman" w:hAnsi="Times New Roman"/>
          <w:sz w:val="16"/>
          <w:szCs w:val="16"/>
          <w:i w:val="1"/>
          <w:iCs w:val="1"/>
          <w:color w:val="auto"/>
        </w:rPr>
        <w:t>Brokers do not have discretion to vote on this proposal without your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instruction. If you do not 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DSPP and Proposed Amendment and Restatement</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DSPP is designed to encourage and assist all employees of Schlumberger and its subsidiaries to acquire an equity interest in Schlumberger through the purchase of common stock. The proposed amendment and restatement is designed to allow an additional 22,000,000 shares to be granted pursuant to the DSPP, which will insure that a sufficient number of shares will be available under the DSPP for future purchase periods. A total of zero shares currently remain available for purchase under the DSPP; during 2012, a total of 4,290,058 shares were purchased under the DSPP. If the proposed amendment and restatement is approved, an aggregate of 22,000,000 shares will be available for purchase under the DSPP.</w:t>
      </w:r>
    </w:p>
    <w:p>
      <w:pPr>
        <w:spacing w:after="0" w:line="58" w:lineRule="exact"/>
        <w:rPr>
          <w:sz w:val="20"/>
          <w:szCs w:val="20"/>
          <w:color w:val="auto"/>
        </w:rPr>
      </w:pPr>
    </w:p>
    <w:p>
      <w:pPr>
        <w:ind w:right="960" w:firstLine="456"/>
        <w:spacing w:after="0" w:line="438" w:lineRule="auto"/>
        <w:rPr>
          <w:sz w:val="20"/>
          <w:szCs w:val="20"/>
          <w:color w:val="auto"/>
        </w:rPr>
      </w:pPr>
      <w:r>
        <w:rPr>
          <w:rFonts w:ascii="Times New Roman" w:cs="Times New Roman" w:eastAsia="Times New Roman" w:hAnsi="Times New Roman"/>
          <w:sz w:val="18"/>
          <w:szCs w:val="18"/>
          <w:color w:val="auto"/>
        </w:rPr>
        <w:t xml:space="preserve">The DSPP is intended to constitute an “employee stock purchase plan” under Section 423 of the Internal Revenue Code of 1986 (the “Code”). </w:t>
      </w:r>
      <w:r>
        <w:rPr>
          <w:rFonts w:ascii="Times New Roman" w:cs="Times New Roman" w:eastAsia="Times New Roman" w:hAnsi="Times New Roman"/>
          <w:sz w:val="18"/>
          <w:szCs w:val="18"/>
          <w:b w:val="1"/>
          <w:bCs w:val="1"/>
          <w:color w:val="auto"/>
        </w:rPr>
        <w:t>Administration</w:t>
      </w:r>
    </w:p>
    <w:p>
      <w:pPr>
        <w:spacing w:after="0" w:line="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DSPP is administered by a committee of at least three persons appointed by the Board (the “DSPP Committee”). The DSPP Committee has the full power and authority to:</w:t>
      </w:r>
    </w:p>
    <w:p>
      <w:pPr>
        <w:spacing w:after="0" w:line="39" w:lineRule="exact"/>
        <w:rPr>
          <w:sz w:val="20"/>
          <w:szCs w:val="20"/>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and compensate agents for the purpose of administering the accounts of participating employees;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DSPP;</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all questions of eligibility;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 the amount and determine the manner and time of payment of all benefits.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Terms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key provisions of the DSPP Plan.</w:t>
      </w:r>
    </w:p>
    <w:p>
      <w:pPr>
        <w:sectPr>
          <w:pgSz w:w="11900" w:h="16838" w:orient="portrait"/>
          <w:cols w:equalWidth="0" w:num="1">
            <w:col w:w="11400"/>
          </w:cols>
          <w:pgMar w:left="240" w:top="455" w:right="25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All employees of Schlumberger (including officers) and its subsidiaries (connected to Schlumberger by at least a 50% ownership</w:t>
      </w:r>
    </w:p>
    <w:p>
      <w:pPr>
        <w:spacing w:after="0" w:line="106" w:lineRule="exact"/>
        <w:rPr>
          <w:sz w:val="20"/>
          <w:szCs w:val="20"/>
          <w:color w:val="auto"/>
        </w:rPr>
      </w:pPr>
    </w:p>
    <w:p>
      <w:pPr>
        <w:sectPr>
          <w:pgSz w:w="11900" w:h="16838" w:orient="portrait"/>
          <w:cols w:equalWidth="0" w:num="2">
            <w:col w:w="3620" w:space="720"/>
            <w:col w:w="706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Shares Available for Issuance Under the DSPP: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 of 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chain) are eligible to participate in the DSPP, except as described below under “Ineligible Participants.” As of January 1, 2013, there were approximately 95,000 employees who were eligible to participate in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-960755</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following employees are not eligible to participate in the DSPP (unless otherwise required by applicable law):</w:t>
      </w:r>
    </w:p>
    <w:p>
      <w:pPr>
        <w:spacing w:after="0" w:line="39" w:lineRule="exact"/>
        <w:rPr>
          <w:sz w:val="20"/>
          <w:szCs w:val="20"/>
          <w:color w:val="auto"/>
        </w:rPr>
      </w:pPr>
    </w:p>
    <w:p>
      <w:pPr>
        <w:ind w:left="440" w:right="40" w:hanging="161"/>
        <w:spacing w:after="0" w:line="310" w:lineRule="auto"/>
        <w:tabs>
          <w:tab w:leader="none" w:pos="4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who would, immediately upon enrollment in the DSPP, own, directly or indirectly, or hold options or rights to acquire, an aggregate of 5% or more of the total combined voting power or value of all outstanding shares of all classes of our stock or our subsidiaries’ stock;</w:t>
      </w:r>
    </w:p>
    <w:p>
      <w:pPr>
        <w:spacing w:after="0" w:line="16" w:lineRule="exact"/>
        <w:rPr>
          <w:rFonts w:ascii="Times New Roman" w:cs="Times New Roman" w:eastAsia="Times New Roman" w:hAnsi="Times New Roman"/>
          <w:sz w:val="16"/>
          <w:szCs w:val="16"/>
          <w:color w:val="auto"/>
        </w:rPr>
      </w:pPr>
    </w:p>
    <w:p>
      <w:pPr>
        <w:ind w:left="440" w:right="120" w:hanging="161"/>
        <w:spacing w:after="0" w:line="275" w:lineRule="auto"/>
        <w:tabs>
          <w:tab w:leader="none" w:pos="4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customarily employed by us less than twenty hours per week or less than five months in any calendar year; and</w:t>
      </w:r>
    </w:p>
    <w:p>
      <w:pPr>
        <w:spacing w:after="0" w:line="38" w:lineRule="exact"/>
        <w:rPr>
          <w:rFonts w:ascii="Times New Roman" w:cs="Times New Roman" w:eastAsia="Times New Roman" w:hAnsi="Times New Roman"/>
          <w:sz w:val="18"/>
          <w:szCs w:val="18"/>
          <w:color w:val="auto"/>
        </w:rPr>
      </w:pPr>
    </w:p>
    <w:p>
      <w:pPr>
        <w:ind w:left="440" w:right="160" w:hanging="161"/>
        <w:spacing w:after="0" w:line="275" w:lineRule="auto"/>
        <w:tabs>
          <w:tab w:leader="none" w:pos="4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prohibited by the laws and regulations of the nation of their residence or employment from participating in the DSPP as determined by the DSPP Committee.</w:t>
      </w:r>
    </w:p>
    <w:p>
      <w:pPr>
        <w:spacing w:after="0" w:line="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Zero shares currently remain available for purchase under the DSPP. If the proposed amendment and restatement is approved, an additional 22,000,000 shares would be newly approved for purchase, and an aggregate of 22,000,000 shares will be available for purchase under the DSPP. As of February 20, 2013, the mean between the high and low sales prices of Schlumberger common stock on the New York Stock Exchange was $79.33 per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two purchase periods each calendar year: January 1 to June 30 and July 1 to December 31.</w:t>
      </w:r>
    </w:p>
    <w:p>
      <w:pPr>
        <w:spacing w:after="0" w:line="127"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cost to a participant for shares of our common stock purchased during a purchase period is equal to 92.5% of the lower of:</w:t>
      </w:r>
    </w:p>
    <w:p>
      <w:pPr>
        <w:spacing w:after="0" w:line="39" w:lineRule="exact"/>
        <w:rPr>
          <w:sz w:val="20"/>
          <w:szCs w:val="20"/>
          <w:color w:val="auto"/>
        </w:rPr>
      </w:pPr>
    </w:p>
    <w:p>
      <w:pPr>
        <w:ind w:left="440" w:right="20" w:hanging="161"/>
        <w:spacing w:after="0" w:line="275" w:lineRule="auto"/>
        <w:tabs>
          <w:tab w:leader="none" w:pos="4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our common stock on the grant date (the first trading day of a purchase period or such other trading day determined by the DSPP Committee); and</w:t>
      </w:r>
    </w:p>
    <w:p>
      <w:pPr>
        <w:spacing w:after="0" w:line="38" w:lineRule="exact"/>
        <w:rPr>
          <w:rFonts w:ascii="Times New Roman" w:cs="Times New Roman" w:eastAsia="Times New Roman" w:hAnsi="Times New Roman"/>
          <w:sz w:val="18"/>
          <w:szCs w:val="18"/>
          <w:color w:val="auto"/>
        </w:rPr>
      </w:pPr>
    </w:p>
    <w:p>
      <w:pPr>
        <w:ind w:left="440" w:right="280" w:hanging="161"/>
        <w:spacing w:after="0" w:line="334" w:lineRule="auto"/>
        <w:tabs>
          <w:tab w:leader="none" w:pos="4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a share of our common stock on the purchase date (the last trading day of a purchase period or such other trading day determined by the DSPP Committee).</w:t>
      </w:r>
    </w:p>
    <w:p>
      <w:pPr>
        <w:spacing w:after="0" w:line="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“Fair market value” is determined by averaging the highest and lowest composite sale prices per share of our common stock on the New York Stock Exchange on a date.</w:t>
      </w:r>
    </w:p>
    <w:p>
      <w:pPr>
        <w:spacing w:after="0" w:line="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DSPP participant may make contributions through payroll deductions from one to ten percent of his or her eligible compensation. A participant’s contributions, together with interest on such contributions and dividends on shares held in the DSPP, where applicable, are used to purchase shares of common stock at the end of each purchase period.</w:t>
      </w:r>
    </w:p>
    <w:p>
      <w:pPr>
        <w:spacing w:after="0" w:line="5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 participant’s contributions during a purchase period exceed $11,562.50, or if the purchase of shares with such allocations would exceed the share limitations discussed above under “Shares Available for Issuance Under the DSPP,” such excess amounts will be refunded to the participant as soon as administratively feasible.</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2">
            <w:col w:w="3620" w:space="720"/>
            <w:col w:w="708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Maximum Number of Shares: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Withdrawal of Shares: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Termination of Rights to Participate in the DSPP: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and Termination of the DSPP: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 participant may not purchase shares of our common stock under the DSPP having a fair market value in excess of $25,000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-831850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On the first trading day of a purchase period, the maximum number of shares that may be purchased by a participant in that purchase period will be determined by dividing $12,500 by the fair market value of a share on that date.</w:t>
      </w:r>
    </w:p>
    <w:p>
      <w:pPr>
        <w:spacing w:after="0" w:line="5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 participant may elect to withdraw previously purchased shares held in his or her account at any time (without withdrawing from the DSPP).</w:t>
      </w:r>
    </w:p>
    <w:p>
      <w:pPr>
        <w:spacing w:after="0" w:line="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right to participate in the DSPP terminates immediately when a participant ceases to be employed by us for any reason (including death, unpaid disability or when the participant’s employer ceases to be a subsidiary) or the participant otherwise becomes ineligible or withdraws his or her contributions from the DSPP.</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limited exceptions, the Board may amend or terminate the DSPP at any time. No amendment will be effective unless within one year after it is adopted by the Board it is approved by the holders of a majority of the votes cast at a meeting if such amendment would otherwise cause the rights granted under the DSPP to purchase shares of our common stock to fail to meet the requirements of Section 423 of the Code. Section 423 currently requires stockholder approval of a plan amendment that would (1) change the number of shares subject to the DSPP, or (2) change the class of employees eligible to participate in the DSPP.</w:t>
      </w:r>
    </w:p>
    <w:p>
      <w:pPr>
        <w:spacing w:after="0" w:line="139" w:lineRule="exact"/>
        <w:rPr>
          <w:sz w:val="20"/>
          <w:szCs w:val="20"/>
          <w:color w:val="auto"/>
        </w:rPr>
      </w:pPr>
    </w:p>
    <w:p>
      <w:pPr>
        <w:sectPr>
          <w:pgSz w:w="11900" w:h="16838" w:orient="portrait"/>
          <w:cols w:equalWidth="0" w:num="2">
            <w:col w:w="3620" w:space="720"/>
            <w:col w:w="7060"/>
          </w:cols>
          <w:pgMar w:left="240" w:top="455" w:right="2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to Schlumberger and to Participants</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5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5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51" w:lineRule="exact"/>
        <w:rPr>
          <w:sz w:val="20"/>
          <w:szCs w:val="20"/>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common stock on the date of disposition over the price paid for the common stock;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Enrollment Date multiplied by the original 7.5% discount.</w:t>
      </w:r>
    </w:p>
    <w:p>
      <w:pPr>
        <w:spacing w:after="0" w:line="9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If the participant disposes of the common stock within two years after the Enrollment Date or within one year after the Exercise Date, he or she will recognize ordinary income equal to the fair market value of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7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2012 by our Chief Executive Officer, the other named executive officers, executive officers as a group and all employees as a group, other than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65"/>
        </w:trPr>
        <w:tc>
          <w:tcPr>
            <w:tcW w:w="9120" w:type="dxa"/>
            <w:vAlign w:val="bottom"/>
            <w:gridSpan w:val="2"/>
            <w:vMerge w:val="continue"/>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8"/>
                <w:szCs w:val="18"/>
                <w:color w:val="auto"/>
              </w:rPr>
              <w:t>P. Kibsgaard</w:t>
            </w:r>
          </w:p>
        </w:tc>
        <w:tc>
          <w:tcPr>
            <w:tcW w:w="220" w:type="dxa"/>
            <w:vAlign w:val="bottom"/>
            <w:tcBorders>
              <w:top w:val="single" w:sz="8" w:color="D8D8D8"/>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S. Pai</w:t>
            </w:r>
          </w:p>
        </w:tc>
        <w:tc>
          <w:tcPr>
            <w:tcW w:w="10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 Oestdahl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 Belani</w:t>
            </w:r>
          </w:p>
        </w:tc>
        <w:tc>
          <w:tcPr>
            <w:tcW w:w="10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245,504</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8"/>
                <w:szCs w:val="18"/>
                <w:color w:val="auto"/>
              </w:rPr>
              <w:t>All employees as a group, excluding executive officers</w:t>
            </w:r>
          </w:p>
        </w:tc>
        <w:tc>
          <w:tcPr>
            <w:tcW w:w="10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257,600,971</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8"/>
                <w:szCs w:val="18"/>
                <w:color w:val="auto"/>
              </w:rPr>
              <w:t>4,284,834</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OWNERSHIP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by Certain Beneficial Owners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2012 with respect to persons known by the Company to be the beneficial owners of more than 5% of the Company’s common stock. This information is reported by such persons in their Schedule 13D and 13G filings with the SEC. For each entity included in the table below, percentage ownership is calculated by dividing the number of shares beneficially owned by such entity by the 1,331,426,622 shares of common stock outstanding on January 31, 2013.</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42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Beneficial Ownership of</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620" w:type="dxa"/>
            <w:vAlign w:val="bottom"/>
            <w:gridSpan w:val="2"/>
          </w:tcPr>
          <w:p>
            <w:pPr>
              <w:jc w:val="center"/>
              <w:ind w:right="7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20" w:type="dxa"/>
            <w:vAlign w:val="bottom"/>
            <w:gridSpan w:val="2"/>
            <w:vMerge w:val="continue"/>
          </w:tcPr>
          <w:p>
            <w:pPr>
              <w:spacing w:after="0"/>
              <w:rPr>
                <w:sz w:val="14"/>
                <w:szCs w:val="14"/>
                <w:color w:val="auto"/>
              </w:rPr>
            </w:pPr>
          </w:p>
        </w:tc>
        <w:tc>
          <w:tcPr>
            <w:tcW w:w="1620" w:type="dxa"/>
            <w:vAlign w:val="bottom"/>
            <w:gridSpan w:val="2"/>
          </w:tcPr>
          <w:p>
            <w:pPr>
              <w:jc w:val="center"/>
              <w:ind w:right="7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tcPr>
          <w:p>
            <w:pPr>
              <w:jc w:val="right"/>
              <w:ind w:right="152"/>
              <w:spacing w:after="0" w:line="152"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BlackRock, Inc.</w:t>
            </w:r>
          </w:p>
        </w:tc>
        <w:tc>
          <w:tcPr>
            <w:tcW w:w="6860" w:type="dxa"/>
            <w:vAlign w:val="bottom"/>
          </w:tcPr>
          <w:p>
            <w:pPr>
              <w:jc w:val="right"/>
              <w:ind w:right="6684"/>
              <w:spacing w:after="0"/>
              <w:rPr>
                <w:sz w:val="20"/>
                <w:szCs w:val="20"/>
                <w:color w:val="auto"/>
              </w:rPr>
            </w:pPr>
            <w:r>
              <w:rPr>
                <w:rFonts w:ascii="Times New Roman" w:cs="Times New Roman" w:eastAsia="Times New Roman" w:hAnsi="Times New Roman"/>
                <w:sz w:val="11"/>
                <w:szCs w:val="11"/>
                <w:color w:val="auto"/>
                <w:w w:val="77"/>
              </w:rPr>
              <w:t>(1)</w:t>
            </w:r>
          </w:p>
        </w:tc>
        <w:tc>
          <w:tcPr>
            <w:tcW w:w="8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77,375,926</w:t>
            </w:r>
          </w:p>
        </w:tc>
        <w:tc>
          <w:tcPr>
            <w:tcW w:w="780" w:type="dxa"/>
            <w:vAlign w:val="bottom"/>
          </w:tcPr>
          <w:p>
            <w:pPr>
              <w:spacing w:after="0"/>
              <w:rPr>
                <w:sz w:val="15"/>
                <w:szCs w:val="15"/>
                <w:color w:val="auto"/>
              </w:rPr>
            </w:pPr>
          </w:p>
        </w:tc>
        <w:tc>
          <w:tcPr>
            <w:tcW w:w="6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 East 52nd Street</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975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30" w:lineRule="exact"/>
        <w:rPr>
          <w:sz w:val="20"/>
          <w:szCs w:val="20"/>
          <w:color w:val="auto"/>
        </w:rPr>
      </w:pPr>
    </w:p>
    <w:p>
      <w:pPr>
        <w:ind w:left="500" w:right="420" w:hanging="451"/>
        <w:spacing w:after="0" w:line="275"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Statement on Schedule 13G/A filed on February 11, 2013. Such filing indicates that BlackRock Inc. has sole voting power and sole investment power with respect to 77,375,926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by Management</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known to Schlumberger with respect to beneficial ownership of Schlumberger common stock as of January 31, 2013 by (i) each director and director nominee, (ii) each of the named executive officers and (iii) all directors and executive officers as a group.</w:t>
      </w:r>
    </w:p>
    <w:p>
      <w:pPr>
        <w:spacing w:after="0" w:line="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generally includes voting or investment power with respect to securities. Except as indicated in the footnotes to the following table, to Schlumberger’s knowledge the persons named in the table below have sole voting and investment power with respect to all shares of Schlumberger common stock beneficially owned. None of the shares are subject to any pledge.</w:t>
      </w:r>
    </w:p>
    <w:p>
      <w:pPr>
        <w:spacing w:after="0" w:line="13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person or group as of January 31, 2013 includes shares of common stock that such person or group has the right to acquire within 60 days of January 31, 2013, including upon the exercise of options to purchase common stock or the vesting of restricted stock units. References to options in the footnotes to the table below include only options outstanding as of January 31, 2013 that are currently exercisable or that become exercisable within 60 days of January 31, 2013, and references to any restricted stock units in the footnotes to the table below include only restricted stock units outstanding as of January 31, 2013 are currently vested or that vest within 60 days of January 31, 2013.</w:t>
      </w:r>
    </w:p>
    <w:p>
      <w:pPr>
        <w:spacing w:after="0" w:line="58"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For each individual and group included in the table below, percentage ownership is calculated by dividing the number of shares beneficially owned by such person or group by the sum of the 1,331,426,622 shares of common stock outstanding on January 31, 2013, plus the number of shares of common stock that such person or group had the right to acquire on or within 60 days after January 31, 2013.</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0" w:firstLine="456"/>
        <w:spacing w:after="0" w:line="339" w:lineRule="auto"/>
        <w:rPr>
          <w:sz w:val="20"/>
          <w:szCs w:val="20"/>
          <w:color w:val="auto"/>
        </w:rPr>
      </w:pPr>
      <w:r>
        <w:rPr>
          <w:rFonts w:ascii="Times New Roman" w:cs="Times New Roman" w:eastAsia="Times New Roman" w:hAnsi="Times New Roman"/>
          <w:sz w:val="16"/>
          <w:szCs w:val="16"/>
          <w:color w:val="auto"/>
        </w:rPr>
        <w:t>As of January 31, 2013, no director, director nominee or named executive officer owned more than 1% of the outstanding shares of Schlumberger’s common stock. All directors and executive officers as a group owned less than 1% of the outstanding shares of our common stock at January 31, 2013.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tcBorders>
              <w:bottom w:val="single" w:sz="8" w:color="D8D8D8"/>
            </w:tcBorders>
          </w:tcPr>
          <w:p>
            <w:pPr>
              <w:spacing w:after="0"/>
              <w:rPr>
                <w:sz w:val="15"/>
                <w:szCs w:val="15"/>
                <w:color w:val="auto"/>
              </w:rPr>
            </w:pPr>
          </w:p>
        </w:tc>
        <w:tc>
          <w:tcPr>
            <w:tcW w:w="11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Simon Ayat</w:t>
            </w:r>
          </w:p>
        </w:tc>
        <w:tc>
          <w:tcPr>
            <w:tcW w:w="580" w:type="dxa"/>
            <w:vAlign w:val="bottom"/>
            <w:shd w:val="clear" w:color="auto" w:fill="D8D8D8"/>
          </w:tcPr>
          <w:p>
            <w:pPr>
              <w:spacing w:after="0"/>
              <w:rPr>
                <w:sz w:val="18"/>
                <w:szCs w:val="18"/>
                <w:color w:val="auto"/>
              </w:rPr>
            </w:pPr>
          </w:p>
        </w:tc>
        <w:tc>
          <w:tcPr>
            <w:tcW w:w="1140" w:type="dxa"/>
            <w:vAlign w:val="bottom"/>
            <w:shd w:val="clear" w:color="auto" w:fill="D8D8D8"/>
          </w:tcPr>
          <w:p>
            <w:pPr>
              <w:jc w:val="right"/>
              <w:ind w:right="242"/>
              <w:spacing w:after="0"/>
              <w:rPr>
                <w:sz w:val="20"/>
                <w:szCs w:val="20"/>
                <w:color w:val="auto"/>
              </w:rPr>
            </w:pPr>
            <w:r>
              <w:rPr>
                <w:rFonts w:ascii="Times New Roman" w:cs="Times New Roman" w:eastAsia="Times New Roman" w:hAnsi="Times New Roman"/>
                <w:sz w:val="18"/>
                <w:szCs w:val="18"/>
                <w:color w:val="auto"/>
              </w:rPr>
              <w:t>612,227</w:t>
            </w:r>
            <w:r>
              <w:rPr>
                <w:rFonts w:ascii="Times New Roman" w:cs="Times New Roman" w:eastAsia="Times New Roman" w:hAnsi="Times New Roman"/>
                <w:sz w:val="11"/>
                <w:szCs w:val="11"/>
                <w:color w:val="auto"/>
              </w:rPr>
              <w:t>(1)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Ashok Belani</w:t>
            </w:r>
          </w:p>
        </w:tc>
        <w:tc>
          <w:tcPr>
            <w:tcW w:w="17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443,492</w:t>
            </w:r>
            <w:r>
              <w:rPr>
                <w:rFonts w:ascii="Times New Roman" w:cs="Times New Roman" w:eastAsia="Times New Roman" w:hAnsi="Times New Roman"/>
                <w:sz w:val="11"/>
                <w:szCs w:val="11"/>
                <w:color w:val="auto"/>
              </w:rPr>
              <w:t>(2)</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Peter L.S. Currie</w:t>
            </w:r>
          </w:p>
        </w:tc>
        <w:tc>
          <w:tcPr>
            <w:tcW w:w="1720" w:type="dxa"/>
            <w:vAlign w:val="bottom"/>
            <w:gridSpan w:val="2"/>
            <w:shd w:val="clear" w:color="auto" w:fill="D8D8D8"/>
          </w:tcPr>
          <w:p>
            <w:pPr>
              <w:jc w:val="right"/>
              <w:ind w:right="362"/>
              <w:spacing w:after="0"/>
              <w:rPr>
                <w:sz w:val="20"/>
                <w:szCs w:val="20"/>
                <w:color w:val="auto"/>
              </w:rPr>
            </w:pPr>
            <w:r>
              <w:rPr>
                <w:rFonts w:ascii="Times New Roman" w:cs="Times New Roman" w:eastAsia="Times New Roman" w:hAnsi="Times New Roman"/>
                <w:sz w:val="18"/>
                <w:szCs w:val="18"/>
                <w:color w:val="auto"/>
              </w:rPr>
              <w:t>27,050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Tony Isaac</w:t>
            </w:r>
          </w:p>
        </w:tc>
        <w:tc>
          <w:tcPr>
            <w:tcW w:w="17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21,000</w:t>
            </w:r>
            <w:r>
              <w:rPr>
                <w:rFonts w:ascii="Times New Roman" w:cs="Times New Roman" w:eastAsia="Times New Roman" w:hAnsi="Times New Roman"/>
                <w:sz w:val="11"/>
                <w:szCs w:val="11"/>
                <w:color w:val="auto"/>
              </w:rPr>
              <w:t>(3)</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K. Vaman Kamath</w:t>
            </w:r>
          </w:p>
        </w:tc>
        <w:tc>
          <w:tcPr>
            <w:tcW w:w="1720" w:type="dxa"/>
            <w:vAlign w:val="bottom"/>
            <w:gridSpan w:val="2"/>
            <w:shd w:val="clear" w:color="auto" w:fill="D8D8D8"/>
          </w:tcPr>
          <w:p>
            <w:pPr>
              <w:jc w:val="right"/>
              <w:ind w:right="362"/>
              <w:spacing w:after="0"/>
              <w:rPr>
                <w:sz w:val="20"/>
                <w:szCs w:val="20"/>
                <w:color w:val="auto"/>
              </w:rPr>
            </w:pPr>
            <w:r>
              <w:rPr>
                <w:rFonts w:ascii="Times New Roman" w:cs="Times New Roman" w:eastAsia="Times New Roman" w:hAnsi="Times New Roman"/>
                <w:sz w:val="18"/>
                <w:szCs w:val="18"/>
                <w:color w:val="auto"/>
              </w:rPr>
              <w:t>6,750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Paal Kibsgaard</w:t>
            </w:r>
          </w:p>
        </w:tc>
        <w:tc>
          <w:tcPr>
            <w:tcW w:w="17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407,281</w:t>
            </w:r>
            <w:r>
              <w:rPr>
                <w:rFonts w:ascii="Times New Roman" w:cs="Times New Roman" w:eastAsia="Times New Roman" w:hAnsi="Times New Roman"/>
                <w:sz w:val="11"/>
                <w:szCs w:val="11"/>
                <w:color w:val="auto"/>
              </w:rPr>
              <w:t>(4)</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Nikolay Kudryavtsev</w:t>
            </w:r>
          </w:p>
        </w:tc>
        <w:tc>
          <w:tcPr>
            <w:tcW w:w="1720" w:type="dxa"/>
            <w:vAlign w:val="bottom"/>
            <w:gridSpan w:val="2"/>
            <w:shd w:val="clear" w:color="auto" w:fill="D8D8D8"/>
          </w:tcPr>
          <w:p>
            <w:pPr>
              <w:jc w:val="right"/>
              <w:ind w:right="362"/>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Adrian Lajous</w:t>
            </w:r>
          </w:p>
        </w:tc>
        <w:tc>
          <w:tcPr>
            <w:tcW w:w="17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18,732</w:t>
            </w:r>
            <w:r>
              <w:rPr>
                <w:rFonts w:ascii="Times New Roman" w:cs="Times New Roman" w:eastAsia="Times New Roman" w:hAnsi="Times New Roman"/>
                <w:sz w:val="11"/>
                <w:szCs w:val="11"/>
                <w:color w:val="auto"/>
              </w:rPr>
              <w:t>(5)</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1720" w:type="dxa"/>
            <w:vAlign w:val="bottom"/>
            <w:gridSpan w:val="2"/>
            <w:shd w:val="clear" w:color="auto" w:fill="D8D8D8"/>
          </w:tcPr>
          <w:p>
            <w:pPr>
              <w:jc w:val="right"/>
              <w:ind w:right="202"/>
              <w:spacing w:after="0"/>
              <w:rPr>
                <w:sz w:val="20"/>
                <w:szCs w:val="20"/>
                <w:color w:val="auto"/>
              </w:rPr>
            </w:pPr>
            <w:r>
              <w:rPr>
                <w:rFonts w:ascii="Times New Roman" w:cs="Times New Roman" w:eastAsia="Times New Roman" w:hAnsi="Times New Roman"/>
                <w:sz w:val="18"/>
                <w:szCs w:val="18"/>
                <w:color w:val="auto"/>
              </w:rPr>
              <w:t>32,750</w:t>
            </w:r>
            <w:r>
              <w:rPr>
                <w:rFonts w:ascii="Times New Roman" w:cs="Times New Roman" w:eastAsia="Times New Roman" w:hAnsi="Times New Roman"/>
                <w:sz w:val="11"/>
                <w:szCs w:val="11"/>
                <w:color w:val="auto"/>
              </w:rPr>
              <w:t>(6)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Elizabeth A. Moler</w:t>
            </w:r>
          </w:p>
        </w:tc>
        <w:tc>
          <w:tcPr>
            <w:tcW w:w="17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5,813</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Kjell-Erik Oestdahl</w:t>
            </w:r>
          </w:p>
        </w:tc>
        <w:tc>
          <w:tcPr>
            <w:tcW w:w="1720" w:type="dxa"/>
            <w:vAlign w:val="bottom"/>
            <w:gridSpan w:val="2"/>
            <w:shd w:val="clear" w:color="auto" w:fill="D8D8D8"/>
          </w:tcPr>
          <w:p>
            <w:pPr>
              <w:jc w:val="right"/>
              <w:ind w:right="202"/>
              <w:spacing w:after="0"/>
              <w:rPr>
                <w:sz w:val="20"/>
                <w:szCs w:val="20"/>
                <w:color w:val="auto"/>
              </w:rPr>
            </w:pPr>
            <w:r>
              <w:rPr>
                <w:rFonts w:ascii="Times New Roman" w:cs="Times New Roman" w:eastAsia="Times New Roman" w:hAnsi="Times New Roman"/>
                <w:sz w:val="18"/>
                <w:szCs w:val="18"/>
                <w:color w:val="auto"/>
              </w:rPr>
              <w:t>85,418</w:t>
            </w:r>
            <w:r>
              <w:rPr>
                <w:rFonts w:ascii="Times New Roman" w:cs="Times New Roman" w:eastAsia="Times New Roman" w:hAnsi="Times New Roman"/>
                <w:sz w:val="11"/>
                <w:szCs w:val="11"/>
                <w:color w:val="auto"/>
              </w:rPr>
              <w:t>(7)</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Lubna S. Olayan</w:t>
            </w:r>
          </w:p>
        </w:tc>
        <w:tc>
          <w:tcPr>
            <w:tcW w:w="17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Satish Pai</w:t>
            </w:r>
          </w:p>
        </w:tc>
        <w:tc>
          <w:tcPr>
            <w:tcW w:w="1720" w:type="dxa"/>
            <w:vAlign w:val="bottom"/>
            <w:gridSpan w:val="2"/>
            <w:shd w:val="clear" w:color="auto" w:fill="D8D8D8"/>
          </w:tcPr>
          <w:p>
            <w:pPr>
              <w:jc w:val="right"/>
              <w:ind w:right="242"/>
              <w:spacing w:after="0"/>
              <w:rPr>
                <w:sz w:val="20"/>
                <w:szCs w:val="20"/>
                <w:color w:val="auto"/>
              </w:rPr>
            </w:pPr>
            <w:r>
              <w:rPr>
                <w:rFonts w:ascii="Times New Roman" w:cs="Times New Roman" w:eastAsia="Times New Roman" w:hAnsi="Times New Roman"/>
                <w:sz w:val="18"/>
                <w:szCs w:val="18"/>
                <w:color w:val="auto"/>
              </w:rPr>
              <w:t>460,955</w:t>
            </w:r>
            <w:r>
              <w:rPr>
                <w:rFonts w:ascii="Times New Roman" w:cs="Times New Roman" w:eastAsia="Times New Roman" w:hAnsi="Times New Roman"/>
                <w:sz w:val="11"/>
                <w:szCs w:val="11"/>
                <w:color w:val="auto"/>
              </w:rPr>
              <w:t>(8)</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Leo Rafael Reif</w:t>
            </w:r>
          </w:p>
        </w:tc>
        <w:tc>
          <w:tcPr>
            <w:tcW w:w="17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1720" w:type="dxa"/>
            <w:vAlign w:val="bottom"/>
            <w:gridSpan w:val="2"/>
            <w:shd w:val="clear" w:color="auto" w:fill="D8D8D8"/>
          </w:tcPr>
          <w:p>
            <w:pPr>
              <w:jc w:val="right"/>
              <w:ind w:right="362"/>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Henri Seydoux</w:t>
            </w:r>
          </w:p>
        </w:tc>
        <w:tc>
          <w:tcPr>
            <w:tcW w:w="17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9700" w:type="dxa"/>
            <w:vAlign w:val="bottom"/>
            <w:shd w:val="clear" w:color="auto" w:fill="D8D8D8"/>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(27 persons)</w:t>
            </w:r>
          </w:p>
        </w:tc>
        <w:tc>
          <w:tcPr>
            <w:tcW w:w="1720" w:type="dxa"/>
            <w:vAlign w:val="bottom"/>
            <w:gridSpan w:val="2"/>
            <w:shd w:val="clear" w:color="auto" w:fill="D8D8D8"/>
          </w:tcPr>
          <w:p>
            <w:pPr>
              <w:jc w:val="right"/>
              <w:ind w:right="242"/>
              <w:spacing w:after="0"/>
              <w:rPr>
                <w:sz w:val="20"/>
                <w:szCs w:val="20"/>
                <w:color w:val="auto"/>
              </w:rPr>
            </w:pPr>
            <w:r>
              <w:rPr>
                <w:rFonts w:ascii="Times New Roman" w:cs="Times New Roman" w:eastAsia="Times New Roman" w:hAnsi="Times New Roman"/>
                <w:sz w:val="18"/>
                <w:szCs w:val="18"/>
                <w:color w:val="auto"/>
              </w:rPr>
              <w:t>3,534,054</w:t>
            </w:r>
            <w:r>
              <w:rPr>
                <w:rFonts w:ascii="Times New Roman" w:cs="Times New Roman" w:eastAsia="Times New Roman" w:hAnsi="Times New Roman"/>
                <w:sz w:val="11"/>
                <w:szCs w:val="1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80" w:hanging="437"/>
        <w:spacing w:after="0"/>
        <w:tabs>
          <w:tab w:leader="none" w:pos="5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479,600 shares.</w:t>
      </w:r>
    </w:p>
    <w:p>
      <w:pPr>
        <w:spacing w:after="0" w:line="90" w:lineRule="exact"/>
        <w:rPr>
          <w:rFonts w:ascii="Times New Roman" w:cs="Times New Roman" w:eastAsia="Times New Roman" w:hAnsi="Times New Roman"/>
          <w:sz w:val="18"/>
          <w:szCs w:val="18"/>
          <w:color w:val="auto"/>
        </w:rPr>
      </w:pPr>
    </w:p>
    <w:p>
      <w:pPr>
        <w:ind w:left="580" w:hanging="437"/>
        <w:spacing w:after="0"/>
        <w:tabs>
          <w:tab w:leader="none" w:pos="5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422,400 shares.</w:t>
      </w:r>
    </w:p>
    <w:p>
      <w:pPr>
        <w:spacing w:after="0" w:line="90" w:lineRule="exact"/>
        <w:rPr>
          <w:rFonts w:ascii="Times New Roman" w:cs="Times New Roman" w:eastAsia="Times New Roman" w:hAnsi="Times New Roman"/>
          <w:sz w:val="18"/>
          <w:szCs w:val="18"/>
          <w:color w:val="auto"/>
        </w:rPr>
      </w:pPr>
    </w:p>
    <w:p>
      <w:pPr>
        <w:ind w:left="500" w:right="60" w:hanging="451"/>
        <w:spacing w:after="0" w:line="275" w:lineRule="auto"/>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held in the name of Mr. Isaac’s spouse. Excludes 5,000 shares the receipt of which Mr. Isaac has deferred under Schlumberger’s 2004 Stock and Deferral Plan for Non-Employee Directors.</w:t>
      </w:r>
    </w:p>
    <w:p>
      <w:pPr>
        <w:spacing w:after="0" w:line="38" w:lineRule="exact"/>
        <w:rPr>
          <w:rFonts w:ascii="Times New Roman" w:cs="Times New Roman" w:eastAsia="Times New Roman" w:hAnsi="Times New Roman"/>
          <w:sz w:val="18"/>
          <w:szCs w:val="18"/>
          <w:color w:val="auto"/>
        </w:rPr>
      </w:pPr>
    </w:p>
    <w:p>
      <w:pPr>
        <w:ind w:left="500" w:hanging="438"/>
        <w:spacing w:after="0"/>
        <w:tabs>
          <w:tab w:leader="none" w:pos="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327,281 shares. Includes 40,000 shares held in the name of Mr. Kibsgaard’s spouse.</w:t>
      </w:r>
    </w:p>
    <w:p>
      <w:pPr>
        <w:spacing w:after="0" w:line="90" w:lineRule="exact"/>
        <w:rPr>
          <w:sz w:val="20"/>
          <w:szCs w:val="20"/>
          <w:color w:val="auto"/>
        </w:rPr>
      </w:pPr>
    </w:p>
    <w:p>
      <w:pPr>
        <w:ind w:left="500" w:right="240" w:hanging="451"/>
        <w:spacing w:after="0" w:line="275" w:lineRule="auto"/>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held through a limited liability company in which Mr. Lajous has an indirect interest. Excludes 12,500 shares the receipt of which Mr. Lajous has deferred under Schlumberger’s 2004 Stock and Deferral Plan for Non-Employee Directors.</w:t>
      </w:r>
    </w:p>
    <w:p>
      <w:pPr>
        <w:spacing w:after="0" w:line="38" w:lineRule="exact"/>
        <w:rPr>
          <w:rFonts w:ascii="Times New Roman" w:cs="Times New Roman" w:eastAsia="Times New Roman" w:hAnsi="Times New Roman"/>
          <w:sz w:val="18"/>
          <w:szCs w:val="18"/>
          <w:color w:val="auto"/>
        </w:rPr>
      </w:pPr>
    </w:p>
    <w:p>
      <w:pPr>
        <w:ind w:left="500" w:right="720" w:hanging="451"/>
        <w:spacing w:after="0" w:line="275" w:lineRule="auto"/>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held by a limited liability company controlled by Mr. Marks. Excludes 2,000 shares the receipt of which Mr. Marks has deferred under Schlumberger’s 2004 Stock and Deferral Plan for Non-Employee Directors.</w:t>
      </w:r>
    </w:p>
    <w:p>
      <w:pPr>
        <w:spacing w:after="0" w:line="38" w:lineRule="exact"/>
        <w:rPr>
          <w:rFonts w:ascii="Times New Roman" w:cs="Times New Roman" w:eastAsia="Times New Roman" w:hAnsi="Times New Roman"/>
          <w:sz w:val="18"/>
          <w:szCs w:val="18"/>
          <w:color w:val="auto"/>
        </w:rPr>
      </w:pPr>
    </w:p>
    <w:p>
      <w:pPr>
        <w:ind w:left="540" w:hanging="451"/>
        <w:spacing w:after="0"/>
        <w:tabs>
          <w:tab w:leader="none" w:pos="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74,800 shares and 6,000 restricted stock units.</w:t>
      </w:r>
    </w:p>
    <w:p>
      <w:pPr>
        <w:spacing w:after="0" w:line="90" w:lineRule="exact"/>
        <w:rPr>
          <w:sz w:val="20"/>
          <w:szCs w:val="20"/>
          <w:color w:val="auto"/>
        </w:rPr>
      </w:pPr>
    </w:p>
    <w:p>
      <w:pPr>
        <w:ind w:left="500" w:right="360" w:hanging="451"/>
        <w:spacing w:after="0" w:line="275"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254,000 shares. Also includes 10,292 shares held by a child of Mr. Pai. Excludes 3,989 shares owned by an adult child of Mr. Pai not living in Mr. Pai’s household.</w:t>
      </w:r>
    </w:p>
    <w:p>
      <w:pPr>
        <w:spacing w:after="0" w:line="38" w:lineRule="exact"/>
        <w:rPr>
          <w:rFonts w:ascii="Times New Roman" w:cs="Times New Roman" w:eastAsia="Times New Roman" w:hAnsi="Times New Roman"/>
          <w:sz w:val="18"/>
          <w:szCs w:val="18"/>
          <w:color w:val="auto"/>
        </w:rPr>
      </w:pPr>
    </w:p>
    <w:p>
      <w:pPr>
        <w:ind w:left="500" w:right="260" w:hanging="451"/>
        <w:spacing w:after="0" w:line="275"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2,698,800 shares and 48,000 restricted stock units, and excludes 19,500 shares the receipt of which directors have deferred under Schlumberger’s 2004 Stock and Deferral Plan for Non-Employee Directors.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73"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2012, all of its executive officers and directors filed on a timely basis the reports required to be filed under Section 16(a) of the Exchange Act.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2014 Annual General Meeting</w:t>
      </w:r>
    </w:p>
    <w:p>
      <w:pPr>
        <w:spacing w:after="0" w:line="173" w:lineRule="exact"/>
        <w:rPr>
          <w:sz w:val="20"/>
          <w:szCs w:val="20"/>
          <w:color w:val="auto"/>
        </w:rPr>
      </w:pPr>
    </w:p>
    <w:p>
      <w:pPr>
        <w:ind w:right="480" w:firstLine="456"/>
        <w:spacing w:after="0" w:line="334" w:lineRule="auto"/>
        <w:rPr>
          <w:sz w:val="20"/>
          <w:szCs w:val="20"/>
          <w:color w:val="auto"/>
        </w:rPr>
      </w:pPr>
      <w:r>
        <w:rPr>
          <w:rFonts w:ascii="Times New Roman" w:cs="Times New Roman" w:eastAsia="Times New Roman" w:hAnsi="Times New Roman"/>
          <w:sz w:val="16"/>
          <w:szCs w:val="16"/>
          <w:color w:val="auto"/>
        </w:rPr>
        <w:t>In order for a stockholder proposal to be considered for inclusion in the proxy statement for the 2014 annual general meeting of stockholders, written proposals must be received by the Secretary of the Company, 5599 San Felipe, 17th Floor, Houston, Texas 77056, no later than November 1, 2013.</w:t>
      </w:r>
    </w:p>
    <w:p>
      <w:pPr>
        <w:spacing w:after="0" w:line="1" w:lineRule="exact"/>
        <w:rPr>
          <w:sz w:val="20"/>
          <w:szCs w:val="20"/>
          <w:color w:val="auto"/>
        </w:rPr>
      </w:pPr>
    </w:p>
    <w:p>
      <w:pPr>
        <w:jc w:val="both"/>
        <w:ind w:right="400" w:firstLine="456"/>
        <w:spacing w:after="0" w:line="339" w:lineRule="auto"/>
        <w:rPr>
          <w:sz w:val="20"/>
          <w:szCs w:val="20"/>
          <w:color w:val="auto"/>
        </w:rPr>
      </w:pPr>
      <w:r>
        <w:rPr>
          <w:rFonts w:ascii="Times New Roman" w:cs="Times New Roman" w:eastAsia="Times New Roman" w:hAnsi="Times New Roman"/>
          <w:sz w:val="16"/>
          <w:szCs w:val="16"/>
          <w:color w:val="auto"/>
        </w:rPr>
        <w:t>Pursuant to the rules under the Exchange Act, the Company may use discretionary authority to vote with respect to stockholder proposals presented in person at the 2014 annual general meeting of stockholders if the stockholder making the proposal has not given notice to the Company by January 15, 2014.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3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5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sign, date, and return the accompanying proxy in the enclosed envelope at your earliest convenience.</w:t>
      </w:r>
    </w:p>
    <w:p>
      <w:pPr>
        <w:spacing w:after="0" w:line="9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66675</wp:posOffset>
            </wp:positionV>
            <wp:extent cx="1106170"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Alexander C. Juden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SCHLUMBERGER 2013 OMNIBUS STOCK INCENTIVE PLAN</w:t>
      </w:r>
    </w:p>
    <w:p>
      <w:pPr>
        <w:spacing w:after="0" w:line="157" w:lineRule="exact"/>
        <w:rPr>
          <w:sz w:val="20"/>
          <w:szCs w:val="20"/>
          <w:color w:val="auto"/>
        </w:rPr>
      </w:pPr>
    </w:p>
    <w:p>
      <w:pPr>
        <w:ind w:firstLine="464"/>
        <w:spacing w:after="0" w:line="257" w:lineRule="auto"/>
        <w:tabs>
          <w:tab w:leader="none" w:pos="63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Objectives</w:t>
      </w:r>
      <w:r>
        <w:rPr>
          <w:rFonts w:ascii="Times New Roman" w:cs="Times New Roman" w:eastAsia="Times New Roman" w:hAnsi="Times New Roman"/>
          <w:sz w:val="18"/>
          <w:szCs w:val="18"/>
          <w:color w:val="auto"/>
        </w:rPr>
        <w:t>. This 2013 Schlumberger Omnibus Stock Incentive Plan (this “Plan”) was adopted by Schlumberger Limited (the “Company”)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53"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herein, the terms set forth below shall have the following respective meanings: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means the board of directors of the Company.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Award” means an Award denominated in cash.</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9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means the Common Stock, par value $0.01 per share, of the Company.</w:t>
      </w:r>
    </w:p>
    <w:p>
      <w:pPr>
        <w:spacing w:after="0" w:line="9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5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Option” means an Option that is intended to comply with the requirements set forth in Section 422 of the Code.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“Non-Qualified Option” means an Option that is not intended to comply with the requirements set forth in Section 422 of the Code.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means a right to purchase a specified number of shares of Common Stock at a specified price.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“Participant” means an Employee to whom an Award has been made under this Plan.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“Performance Award” means an award made pursuant to this Plan to a Participant, which Award is subject to the attainment of one or more Performance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w:t>
      </w:r>
    </w:p>
    <w:p>
      <w:pPr>
        <w:spacing w:after="0" w:line="7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“Performance Goal” means one or more standards established by the Committee to determine in whole or in part whether a Performance Award shall be earned.</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Stock” means any Common Stock that is restricted or subject to forfeiture provisions.</w:t>
      </w:r>
    </w:p>
    <w:p>
      <w:pPr>
        <w:spacing w:after="0" w:line="9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39"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162(m)” means Section 162(m) of the Code and any Treasury Regulations and guidance promulgated thereunder.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409A” means Section 409A of the Code and any Treasury Regulations and guidance promulgated thereunder.</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Award” means an award in the form of shares of Common Stock or units denominated in shares of Common Stock.</w:t>
      </w:r>
    </w:p>
    <w:p>
      <w:pPr>
        <w:spacing w:after="0" w:line="90"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49" w:lineRule="exact"/>
        <w:rPr>
          <w:sz w:val="20"/>
          <w:szCs w:val="20"/>
          <w:color w:val="auto"/>
        </w:rPr>
      </w:pPr>
    </w:p>
    <w:p>
      <w:pPr>
        <w:ind w:right="60" w:firstLine="464"/>
        <w:spacing w:after="0" w:line="264" w:lineRule="auto"/>
        <w:tabs>
          <w:tab w:leader="none" w:pos="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Employees of the Company or a Subsidiary are eligible for Awards under this Plan in the sole discretion of the Committee. No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46" w:lineRule="exact"/>
        <w:rPr>
          <w:rFonts w:ascii="Times New Roman" w:cs="Times New Roman" w:eastAsia="Times New Roman" w:hAnsi="Times New Roman"/>
          <w:sz w:val="18"/>
          <w:szCs w:val="18"/>
          <w:color w:val="auto"/>
        </w:rPr>
      </w:pPr>
    </w:p>
    <w:p>
      <w:pPr>
        <w:ind w:firstLine="464"/>
        <w:spacing w:after="0" w:line="259" w:lineRule="auto"/>
        <w:tabs>
          <w:tab w:leader="none" w:pos="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Available for Awards</w:t>
      </w:r>
      <w:r>
        <w:rPr>
          <w:rFonts w:ascii="Times New Roman" w:cs="Times New Roman" w:eastAsia="Times New Roman" w:hAnsi="Times New Roman"/>
          <w:sz w:val="18"/>
          <w:szCs w:val="18"/>
          <w:color w:val="auto"/>
        </w:rPr>
        <w:t>. Subject to the provisions of paragraph 13 hereof, there shall be available for Awards under this Plan granted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partly in Common Stock (including rights or options that may be exercised for or settled in Common Stock) an aggregate of 35 million shares of Common Stock. No more than 7.5 million shares of Common Stock may be the subject of Awards that are not Options or Stock Appreciation Rights. In the sole discretion of the Committee, 35 million shares of Common Stock may be granted as Incentive Options.</w:t>
      </w:r>
    </w:p>
    <w:p>
      <w:pPr>
        <w:spacing w:after="0" w:line="54" w:lineRule="exact"/>
        <w:rPr>
          <w:sz w:val="20"/>
          <w:szCs w:val="20"/>
          <w:color w:val="auto"/>
        </w:rPr>
      </w:pPr>
    </w:p>
    <w:p>
      <w:pPr>
        <w:jc w:val="both"/>
        <w:ind w:right="20" w:firstLine="464"/>
        <w:spacing w:after="0" w:line="258"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51" w:lineRule="exact"/>
        <w:rPr>
          <w:sz w:val="20"/>
          <w:szCs w:val="20"/>
          <w:color w:val="auto"/>
        </w:rPr>
      </w:pPr>
    </w:p>
    <w:p>
      <w:pPr>
        <w:ind w:right="220" w:firstLine="464"/>
        <w:spacing w:after="0" w:line="262" w:lineRule="auto"/>
        <w:tabs>
          <w:tab w:leader="none" w:pos="7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that are tendered by a Participant or withheld as full or partial payment of withholding or other taxes or as payment for the exercise or conversion price of an Option or SAR under this Plan shall not be added back to the number of shares of Common Stock available for issuance under this Plan.</w:t>
      </w:r>
    </w:p>
    <w:p>
      <w:pPr>
        <w:spacing w:after="0" w:line="51" w:lineRule="exact"/>
        <w:rPr>
          <w:rFonts w:ascii="Times New Roman" w:cs="Times New Roman" w:eastAsia="Times New Roman" w:hAnsi="Times New Roman"/>
          <w:sz w:val="18"/>
          <w:szCs w:val="18"/>
          <w:color w:val="auto"/>
        </w:rPr>
      </w:pPr>
    </w:p>
    <w:p>
      <w:pPr>
        <w:ind w:firstLine="464"/>
        <w:spacing w:after="0" w:line="256"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57" w:lineRule="exact"/>
        <w:rPr>
          <w:rFonts w:ascii="Times New Roman" w:cs="Times New Roman" w:eastAsia="Times New Roman" w:hAnsi="Times New Roman"/>
          <w:sz w:val="18"/>
          <w:szCs w:val="18"/>
          <w:color w:val="auto"/>
        </w:rPr>
      </w:pPr>
    </w:p>
    <w:p>
      <w:pPr>
        <w:ind w:right="200" w:firstLine="464"/>
        <w:spacing w:after="0" w:line="256" w:lineRule="auto"/>
        <w:tabs>
          <w:tab w:leader="none" w:pos="7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57" w:lineRule="exact"/>
        <w:rPr>
          <w:rFonts w:ascii="Times New Roman" w:cs="Times New Roman" w:eastAsia="Times New Roman" w:hAnsi="Times New Roman"/>
          <w:sz w:val="18"/>
          <w:szCs w:val="18"/>
          <w:color w:val="auto"/>
        </w:rPr>
      </w:pPr>
    </w:p>
    <w:p>
      <w:pPr>
        <w:ind w:right="40" w:firstLine="464"/>
        <w:spacing w:after="0" w:line="275"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valued by reference to Common Stock that may be settled in equivalent cash value will count as shares of Common Stock delivered to the same extent as if the Award were settled in shares of Common Stock.</w:t>
      </w:r>
    </w:p>
    <w:p>
      <w:pPr>
        <w:spacing w:after="0" w:line="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56" w:lineRule="exact"/>
        <w:rPr>
          <w:sz w:val="20"/>
          <w:szCs w:val="20"/>
          <w:color w:val="auto"/>
        </w:rPr>
      </w:pPr>
    </w:p>
    <w:p>
      <w:pPr>
        <w:ind w:left="640" w:hanging="17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60" w:firstLine="464"/>
        <w:spacing w:after="0" w:line="277" w:lineRule="auto"/>
        <w:tabs>
          <w:tab w:leader="none" w:pos="6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Committee</w:t>
      </w:r>
      <w:r>
        <w:rPr>
          <w:rFonts w:ascii="Times New Roman" w:cs="Times New Roman" w:eastAsia="Times New Roman" w:hAnsi="Times New Roman"/>
          <w:sz w:val="18"/>
          <w:szCs w:val="18"/>
          <w:color w:val="auto"/>
        </w:rPr>
        <w:t>. This Plan shall be administered by the Committee, which shall have the powers vested in it by the terms of this Plan,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to include the authority (within the limitations described in this Plan):</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to be granted Awards under this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of Awards to be made to each Participant;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when Awards are to be granted and any conditions that must be satisfied before an Award is granted;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objectives and conditions for earning Awards;</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Award Agreements (which shall not be inconsistent with this Plan) and which parties must sign each Award Agreement;</w:t>
      </w:r>
    </w:p>
    <w:p>
      <w:pPr>
        <w:spacing w:after="0" w:line="38"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conditions for earning an Award have been met and whether a Performance Award will be paid at the end of an applicable performance period;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paragraphs 7(a) and 11, to modify the terms of Awards made under this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if, when and under what conditions payment of all or any part of an Award may be deferred;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amount or payment of an Award should be reduced or eliminated;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guidelines and/or procedures for the payment or exercise of Awards; and</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shall be taken absent shareholder approval to the extent required under Section 11.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58" w:lineRule="exact"/>
        <w:rPr>
          <w:sz w:val="20"/>
          <w:szCs w:val="20"/>
          <w:color w:val="auto"/>
        </w:rPr>
      </w:pPr>
    </w:p>
    <w:p>
      <w:pPr>
        <w:jc w:val="both"/>
        <w:ind w:right="40" w:firstLine="464"/>
        <w:spacing w:after="0" w:line="312" w:lineRule="auto"/>
        <w:tabs>
          <w:tab w:leader="none" w:pos="70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Limitation of Liability</w:t>
      </w:r>
      <w:r>
        <w:rPr>
          <w:rFonts w:ascii="Times New Roman" w:cs="Times New Roman" w:eastAsia="Times New Roman" w:hAnsi="Times New Roman"/>
          <w:sz w:val="16"/>
          <w:szCs w:val="16"/>
          <w:color w:val="auto"/>
        </w:rPr>
        <w:t>. No member of the Committee or officer of the Company to whom the Committee has delegated authority in accordance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1" w:lineRule="exact"/>
        <w:rPr>
          <w:rFonts w:ascii="Times New Roman" w:cs="Times New Roman" w:eastAsia="Times New Roman" w:hAnsi="Times New Roman"/>
          <w:sz w:val="16"/>
          <w:szCs w:val="16"/>
          <w:color w:val="auto"/>
        </w:rPr>
      </w:pPr>
    </w:p>
    <w:p>
      <w:pPr>
        <w:ind w:right="120" w:firstLine="464"/>
        <w:spacing w:after="0" w:line="312" w:lineRule="auto"/>
        <w:tabs>
          <w:tab w:leader="none" w:pos="69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Prohibition on Repricing of Awards</w:t>
      </w:r>
      <w:r>
        <w:rPr>
          <w:rFonts w:ascii="Times New Roman" w:cs="Times New Roman" w:eastAsia="Times New Roman" w:hAnsi="Times New Roman"/>
          <w:sz w:val="16"/>
          <w:szCs w:val="16"/>
          <w:color w:val="auto"/>
        </w:rPr>
        <w:t>. Other than in connection with a change in the Company’s capitalization (as described in Section 13),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the exercise price of an Option or SAR is above the Fair Market Value of a share of Common Stock, the Company shall not, without shareholder approval, reduce the exercise price of such Option or SAR and shall not exchange such Option or SAR for a new Award with a lower (or no) exercise price or for cash.</w:t>
      </w:r>
    </w:p>
    <w:p>
      <w:pPr>
        <w:spacing w:after="0" w:line="12" w:lineRule="exact"/>
        <w:rPr>
          <w:sz w:val="20"/>
          <w:szCs w:val="20"/>
          <w:color w:val="auto"/>
        </w:rPr>
      </w:pPr>
    </w:p>
    <w:p>
      <w:pPr>
        <w:ind w:right="100" w:firstLine="464"/>
        <w:spacing w:after="0" w:line="264" w:lineRule="auto"/>
        <w:tabs>
          <w:tab w:leader="none" w:pos="6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 of Authority</w:t>
      </w:r>
      <w:r>
        <w:rPr>
          <w:rFonts w:ascii="Times New Roman" w:cs="Times New Roman" w:eastAsia="Times New Roman" w:hAnsi="Times New Roman"/>
          <w:sz w:val="18"/>
          <w:szCs w:val="18"/>
          <w:color w:val="auto"/>
        </w:rPr>
        <w:t>. Except with respect to matters related to Awards to Executive Officers or other Awards intended to qualify as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4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firstLine="464"/>
        <w:spacing w:after="0" w:line="288" w:lineRule="auto"/>
        <w:tabs>
          <w:tab w:leader="none" w:pos="69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 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248" w:lineRule="exact"/>
        <w:rPr>
          <w:sz w:val="20"/>
          <w:szCs w:val="20"/>
          <w:color w:val="auto"/>
        </w:rPr>
      </w:pPr>
    </w:p>
    <w:p>
      <w:pPr>
        <w:ind w:right="300" w:firstLine="464"/>
        <w:spacing w:after="0" w:line="277" w:lineRule="auto"/>
        <w:tabs>
          <w:tab w:leader="none" w:pos="6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An Award may be in the form of an Option. An Option awarded pursuant to this Plan may consist of an Incentive Option or a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and will be designated accordingly at the time of grant.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37" w:lineRule="exact"/>
        <w:rPr>
          <w:sz w:val="20"/>
          <w:szCs w:val="20"/>
          <w:color w:val="auto"/>
        </w:rPr>
      </w:pPr>
    </w:p>
    <w:p>
      <w:pPr>
        <w:jc w:val="both"/>
        <w:ind w:right="40" w:firstLine="464"/>
        <w:spacing w:after="0" w:line="264" w:lineRule="auto"/>
        <w:tabs>
          <w:tab w:leader="none" w:pos="7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An Award may be in the form of a Stock Appreciation Right. The strike price for a Stock Appreciation Right shall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Fair Market Value of the Common Stock on the date on which the Stock Appreciation Right is granted. The term of a Stock Appreciation Right shall not exceed ten years from the date of grant.</w:t>
      </w:r>
    </w:p>
    <w:p>
      <w:pPr>
        <w:spacing w:after="0" w:line="46" w:lineRule="exact"/>
        <w:rPr>
          <w:rFonts w:ascii="Times New Roman" w:cs="Times New Roman" w:eastAsia="Times New Roman" w:hAnsi="Times New Roman"/>
          <w:sz w:val="18"/>
          <w:szCs w:val="18"/>
          <w:color w:val="auto"/>
        </w:rPr>
      </w:pPr>
    </w:p>
    <w:p>
      <w:pPr>
        <w:ind w:right="100" w:firstLine="464"/>
        <w:spacing w:after="0" w:line="257" w:lineRule="auto"/>
        <w:tabs>
          <w:tab w:leader="none" w:pos="7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An Award may be in the form of a Stock Award. Any Stock Award which is not a Performance Award shall have a minimum Restriction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1.75 million shares of Common Stock shall be available for issuance as Stock Awards having a time-based Restriction Period of up to three years but not less than one year.</w:t>
      </w:r>
    </w:p>
    <w:p>
      <w:pPr>
        <w:spacing w:after="0" w:line="53"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An Award may be in the form of a Cash Award.</w:t>
      </w:r>
    </w:p>
    <w:p>
      <w:pPr>
        <w:spacing w:after="0" w:line="90" w:lineRule="exact"/>
        <w:rPr>
          <w:rFonts w:ascii="Times New Roman" w:cs="Times New Roman" w:eastAsia="Times New Roman" w:hAnsi="Times New Roman"/>
          <w:sz w:val="18"/>
          <w:szCs w:val="18"/>
          <w:color w:val="auto"/>
        </w:rPr>
      </w:pPr>
    </w:p>
    <w:p>
      <w:pPr>
        <w:ind w:firstLine="464"/>
        <w:spacing w:after="0" w:line="255" w:lineRule="auto"/>
        <w:tabs>
          <w:tab w:leader="none" w:pos="7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Without limiting the type or number of Awards that may be made under the other provisions of this Plan, an Award may be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58" w:lineRule="exact"/>
        <w:rPr>
          <w:sz w:val="20"/>
          <w:szCs w:val="20"/>
          <w:color w:val="auto"/>
        </w:rPr>
      </w:pPr>
    </w:p>
    <w:p>
      <w:pPr>
        <w:ind w:right="320" w:firstLine="464"/>
        <w:spacing w:after="0" w:line="264" w:lineRule="auto"/>
        <w:tabs>
          <w:tab w:leader="none" w:pos="7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Non-Qualified Performance Awards</w:t>
      </w:r>
      <w:r>
        <w:rPr>
          <w:rFonts w:ascii="Times New Roman" w:cs="Times New Roman" w:eastAsia="Times New Roman" w:hAnsi="Times New Roman"/>
          <w:sz w:val="18"/>
          <w:szCs w:val="18"/>
          <w:color w:val="auto"/>
        </w:rPr>
        <w:t>. Performance Awards granted to Employees that are not intended to qualify as qualified performance-based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under Section 162(m) shall be based on achievement of such Performance Goals and be subject to such terms, conditions and restrictions as the Committee or its delegate shall determine.</w:t>
      </w:r>
    </w:p>
    <w:p>
      <w:pPr>
        <w:spacing w:after="0" w:line="46" w:lineRule="exact"/>
        <w:rPr>
          <w:rFonts w:ascii="Times New Roman" w:cs="Times New Roman" w:eastAsia="Times New Roman" w:hAnsi="Times New Roman"/>
          <w:sz w:val="18"/>
          <w:szCs w:val="18"/>
          <w:color w:val="auto"/>
        </w:rPr>
      </w:pPr>
    </w:p>
    <w:p>
      <w:pPr>
        <w:ind w:right="60" w:firstLine="464"/>
        <w:spacing w:after="0" w:line="254" w:lineRule="auto"/>
        <w:tabs>
          <w:tab w:leader="none" w:pos="73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Performance Awards</w:t>
      </w:r>
      <w:r>
        <w:rPr>
          <w:rFonts w:ascii="Times New Roman" w:cs="Times New Roman" w:eastAsia="Times New Roman" w:hAnsi="Times New Roman"/>
          <w:sz w:val="18"/>
          <w:szCs w:val="18"/>
          <w:color w:val="auto"/>
        </w:rPr>
        <w:t>. Performance Awards that are intended to qualify as qualified performance-based compensation under Section 162(m)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59"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38" w:lineRule="exact"/>
        <w:rPr>
          <w:rFonts w:ascii="Times New Roman" w:cs="Times New Roman" w:eastAsia="Times New Roman" w:hAnsi="Times New Roman"/>
          <w:sz w:val="18"/>
          <w:szCs w:val="18"/>
          <w:color w:val="auto"/>
        </w:rPr>
      </w:pPr>
    </w:p>
    <w:p>
      <w:pPr>
        <w:ind w:left="780" w:right="500" w:hanging="326"/>
        <w:spacing w:after="0" w:line="275"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measures (which include costs of goods sold, selling, finding and development costs, general and administrative expenses and overhead costs);</w:t>
      </w:r>
    </w:p>
    <w:p>
      <w:pPr>
        <w:spacing w:after="0" w:line="38"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measures (which include productivity, operating income, funds from operations, cash from operations, after-tax operating income, market share, margin and sales volumes);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measures (which include net cash flow from operating activities and working capital);</w:t>
      </w:r>
    </w:p>
    <w:p>
      <w:pPr>
        <w:spacing w:after="0" w:line="90"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(which include earnings before or after the effect of certain items such as interest, taxes, depreciation and amortization, and free cash flow);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measures (which include debt-to-equity ratio and net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measures (which include market share, stock price, growth measure, total shareholder return and market capitalization measures);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(which include return on equity, return on assets and return on invested capital);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relating to compliance, safety, environmental and diversity;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relating to acquisitions, dispositions or customer satisfaction.</w:t>
      </w:r>
    </w:p>
    <w:p>
      <w:pPr>
        <w:spacing w:after="0" w:line="90"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31" w:lineRule="exact"/>
        <w:rPr>
          <w:sz w:val="20"/>
          <w:szCs w:val="20"/>
          <w:color w:val="auto"/>
        </w:rPr>
      </w:pPr>
    </w:p>
    <w:p>
      <w:pPr>
        <w:ind w:firstLine="464"/>
        <w:spacing w:after="0" w:line="255" w:lineRule="auto"/>
        <w:tabs>
          <w:tab w:leader="none" w:pos="7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58" w:lineRule="exact"/>
        <w:rPr>
          <w:rFonts w:ascii="Times New Roman" w:cs="Times New Roman" w:eastAsia="Times New Roman" w:hAnsi="Times New Roman"/>
          <w:sz w:val="18"/>
          <w:szCs w:val="18"/>
          <w:color w:val="auto"/>
        </w:rPr>
      </w:pPr>
    </w:p>
    <w:p>
      <w:pPr>
        <w:ind w:right="20" w:firstLine="464"/>
        <w:spacing w:after="0" w:line="256"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56" w:lineRule="exact"/>
        <w:rPr>
          <w:sz w:val="20"/>
          <w:szCs w:val="20"/>
          <w:color w:val="auto"/>
        </w:rPr>
      </w:pPr>
    </w:p>
    <w:p>
      <w:pPr>
        <w:ind w:left="640" w:hanging="176"/>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 Payment; Dividends; Substitution; Fractional Shares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00" w:firstLine="464"/>
        <w:spacing w:after="0" w:line="255"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Payment of Awards may be made in the form of cash or Common Stock, or a combination thereof, and may include such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54" w:lineRule="exact"/>
        <w:rPr>
          <w:rFonts w:ascii="Times New Roman" w:cs="Times New Roman" w:eastAsia="Times New Roman" w:hAnsi="Times New Roman"/>
          <w:sz w:val="18"/>
          <w:szCs w:val="18"/>
          <w:color w:val="auto"/>
        </w:rPr>
      </w:pPr>
    </w:p>
    <w:p>
      <w:pPr>
        <w:ind w:right="140" w:firstLine="464"/>
        <w:spacing w:after="0" w:line="264" w:lineRule="auto"/>
        <w:tabs>
          <w:tab w:leader="none" w:pos="7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Interest</w:t>
      </w:r>
      <w:r>
        <w:rPr>
          <w:rFonts w:ascii="Times New Roman" w:cs="Times New Roman" w:eastAsia="Times New Roman" w:hAnsi="Times New Roman"/>
          <w:sz w:val="18"/>
          <w:szCs w:val="18"/>
          <w:color w:val="auto"/>
        </w:rPr>
        <w:t>. Rights to dividends or Dividend Equivalents may be extended to and made part of any Stock Awards, subject to such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as the Committee may establish. The Committee may also establish rules and procedures for the crediting of interest on deferred cash payments and Dividend Equivalents for Stock Awards.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464"/>
        <w:spacing w:after="0" w:line="264"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shall be issued or delivered pursuant to any Award under this Plan. The Committee shall determine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Awards or other property shall be issued or paid in lieu of fractional shares, or whether fractional shares or any rights thereto shall be forfeited or otherwise eliminated.</w:t>
      </w:r>
    </w:p>
    <w:p>
      <w:pPr>
        <w:spacing w:after="0" w:line="46" w:lineRule="exact"/>
        <w:rPr>
          <w:sz w:val="20"/>
          <w:szCs w:val="20"/>
          <w:color w:val="auto"/>
        </w:rPr>
      </w:pPr>
    </w:p>
    <w:p>
      <w:pPr>
        <w:ind w:right="60" w:firstLine="464"/>
        <w:spacing w:after="0" w:line="257" w:lineRule="auto"/>
        <w:tabs>
          <w:tab w:leader="none" w:pos="63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 Exercise</w:t>
      </w:r>
      <w:r>
        <w:rPr>
          <w:rFonts w:ascii="Times New Roman" w:cs="Times New Roman" w:eastAsia="Times New Roman" w:hAnsi="Times New Roman"/>
          <w:sz w:val="18"/>
          <w:szCs w:val="18"/>
          <w:color w:val="auto"/>
        </w:rPr>
        <w:t>. The price at which shares of Common Stock may be purchased under an Option shall be paid in full at the time of exercise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if elected by the Participant, the Participant may purchase such shares by means of tendering Common Stock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53" w:lineRule="exact"/>
        <w:rPr>
          <w:rFonts w:ascii="Times New Roman" w:cs="Times New Roman" w:eastAsia="Times New Roman" w:hAnsi="Times New Roman"/>
          <w:sz w:val="18"/>
          <w:szCs w:val="18"/>
          <w:color w:val="auto"/>
        </w:rPr>
      </w:pPr>
    </w:p>
    <w:p>
      <w:pPr>
        <w:ind w:right="40" w:firstLine="464"/>
        <w:spacing w:after="0" w:line="255"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shall have the right to deduct applicable taxes from any Award payment and withhold, at the time of delivery or vesting of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58" w:lineRule="exact"/>
        <w:rPr>
          <w:rFonts w:ascii="Times New Roman" w:cs="Times New Roman" w:eastAsia="Times New Roman" w:hAnsi="Times New Roman"/>
          <w:sz w:val="18"/>
          <w:szCs w:val="18"/>
          <w:color w:val="auto"/>
        </w:rPr>
      </w:pPr>
    </w:p>
    <w:p>
      <w:pPr>
        <w:ind w:right="40" w:firstLine="464"/>
        <w:spacing w:after="0" w:line="254" w:lineRule="auto"/>
        <w:tabs>
          <w:tab w:leader="none" w:pos="71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Modification, Suspension or Termination</w:t>
      </w:r>
      <w:r>
        <w:rPr>
          <w:rFonts w:ascii="Times New Roman" w:cs="Times New Roman" w:eastAsia="Times New Roman" w:hAnsi="Times New Roman"/>
          <w:sz w:val="18"/>
          <w:szCs w:val="18"/>
          <w:color w:val="auto"/>
        </w:rPr>
        <w:t>. The Board or the Committee may amend, modify, suspend or terminate this Plan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5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Assignability</w:t>
      </w:r>
      <w:r>
        <w:rPr>
          <w:rFonts w:ascii="Times New Roman" w:cs="Times New Roman" w:eastAsia="Times New Roman" w:hAnsi="Times New Roman"/>
          <w:sz w:val="18"/>
          <w:szCs w:val="18"/>
          <w:color w:val="auto"/>
        </w:rPr>
        <w:t>. Unless otherwise determined by the Committee in the Award Agreement, no Award or any other benefit under this Plan shall be</w:t>
      </w:r>
    </w:p>
    <w:p>
      <w:pPr>
        <w:spacing w:after="0" w:line="23"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assignable or otherwise transferable. Any attempted assignment of an Award or any other benefit under this Plan in violation of this paragraph 12 shall be null and void.</w:t>
      </w:r>
    </w:p>
    <w:p>
      <w:pPr>
        <w:spacing w:after="0" w:line="4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200" w:firstLine="464"/>
        <w:spacing w:after="0" w:line="25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this Plan and Awards granted hereunder shall not affect in any way the right or power of the Company or its shareholders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57" w:lineRule="exact"/>
        <w:rPr>
          <w:rFonts w:ascii="Times New Roman" w:cs="Times New Roman" w:eastAsia="Times New Roman" w:hAnsi="Times New Roman"/>
          <w:sz w:val="18"/>
          <w:szCs w:val="18"/>
          <w:color w:val="auto"/>
        </w:rPr>
      </w:pPr>
    </w:p>
    <w:p>
      <w:pPr>
        <w:ind w:firstLine="464"/>
        <w:spacing w:after="0" w:line="258" w:lineRule="auto"/>
        <w:tabs>
          <w:tab w:leader="none" w:pos="7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55" w:lineRule="exact"/>
        <w:rPr>
          <w:rFonts w:ascii="Times New Roman" w:cs="Times New Roman" w:eastAsia="Times New Roman" w:hAnsi="Times New Roman"/>
          <w:sz w:val="18"/>
          <w:szCs w:val="18"/>
          <w:color w:val="auto"/>
        </w:rPr>
      </w:pPr>
    </w:p>
    <w:p>
      <w:pPr>
        <w:jc w:val="both"/>
        <w:ind w:right="200" w:firstLine="464"/>
        <w:spacing w:after="0" w:line="262"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55" w:lineRule="exact"/>
        <w:rPr>
          <w:sz w:val="20"/>
          <w:szCs w:val="20"/>
          <w:color w:val="auto"/>
        </w:rPr>
      </w:pPr>
    </w:p>
    <w:p>
      <w:pPr>
        <w:ind w:left="460" w:right="40" w:firstLine="443"/>
        <w:spacing w:after="0" w:line="275" w:lineRule="auto"/>
        <w:tabs>
          <w:tab w:leader="none" w:pos="1108"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38" w:lineRule="exact"/>
        <w:rPr>
          <w:rFonts w:ascii="Times New Roman" w:cs="Times New Roman" w:eastAsia="Times New Roman" w:hAnsi="Times New Roman"/>
          <w:sz w:val="18"/>
          <w:szCs w:val="18"/>
          <w:color w:val="auto"/>
        </w:rPr>
      </w:pPr>
    </w:p>
    <w:p>
      <w:pPr>
        <w:ind w:left="460" w:right="100" w:firstLine="443"/>
        <w:spacing w:after="0" w:line="275" w:lineRule="auto"/>
        <w:tabs>
          <w:tab w:leader="none" w:pos="115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38" w:lineRule="exact"/>
        <w:rPr>
          <w:rFonts w:ascii="Times New Roman" w:cs="Times New Roman" w:eastAsia="Times New Roman" w:hAnsi="Times New Roman"/>
          <w:sz w:val="18"/>
          <w:szCs w:val="18"/>
          <w:color w:val="auto"/>
        </w:rPr>
      </w:pPr>
    </w:p>
    <w:p>
      <w:pPr>
        <w:ind w:firstLine="464"/>
        <w:spacing w:after="0" w:line="253" w:lineRule="auto"/>
        <w:tabs>
          <w:tab w:leader="none" w:pos="70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62" w:lineRule="exact"/>
        <w:rPr>
          <w:rFonts w:ascii="Times New Roman" w:cs="Times New Roman" w:eastAsia="Times New Roman" w:hAnsi="Times New Roman"/>
          <w:sz w:val="18"/>
          <w:szCs w:val="18"/>
          <w:color w:val="auto"/>
        </w:rPr>
      </w:pPr>
    </w:p>
    <w:p>
      <w:pPr>
        <w:ind w:right="220" w:firstLine="464"/>
        <w:spacing w:after="0" w:line="289" w:lineRule="auto"/>
        <w:tabs>
          <w:tab w:leader="none" w:pos="695"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w:t>
      </w:r>
    </w:p>
    <w:p>
      <w:pPr>
        <w:spacing w:after="0" w:line="1" w:lineRule="exact"/>
        <w:rPr>
          <w:rFonts w:ascii="Times New Roman" w:cs="Times New Roman" w:eastAsia="Times New Roman" w:hAnsi="Times New Roman"/>
          <w:sz w:val="16"/>
          <w:szCs w:val="16"/>
          <w:color w:val="auto"/>
        </w:rPr>
      </w:pPr>
    </w:p>
    <w:p>
      <w:pPr>
        <w:ind w:firstLine="8"/>
        <w:spacing w:after="0" w:line="253" w:lineRule="auto"/>
        <w:tabs>
          <w:tab w:leader="none" w:pos="25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56" w:lineRule="exact"/>
        <w:rPr>
          <w:sz w:val="20"/>
          <w:szCs w:val="20"/>
          <w:color w:val="auto"/>
        </w:rPr>
      </w:pPr>
    </w:p>
    <w:p>
      <w:pPr>
        <w:ind w:firstLine="464"/>
        <w:spacing w:after="0" w:line="253"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w:t>
      </w:r>
      <w:r>
        <w:rPr>
          <w:rFonts w:ascii="Times New Roman" w:cs="Times New Roman" w:eastAsia="Times New Roman" w:hAnsi="Times New Roman"/>
          <w:sz w:val="18"/>
          <w:szCs w:val="18"/>
          <w:color w:val="auto"/>
        </w:rPr>
        <w:t>. No Common Stock or other form of payment shall be issued with respect to any Award unless the Company shall be satisfied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59" w:lineRule="exact"/>
        <w:rPr>
          <w:rFonts w:ascii="Times New Roman" w:cs="Times New Roman" w:eastAsia="Times New Roman" w:hAnsi="Times New Roman"/>
          <w:sz w:val="18"/>
          <w:szCs w:val="18"/>
          <w:color w:val="auto"/>
        </w:rPr>
      </w:pPr>
    </w:p>
    <w:p>
      <w:pPr>
        <w:ind w:right="360" w:firstLine="464"/>
        <w:spacing w:after="0" w:line="264"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Insofar as it provides for Awards of cash, Common Stock or rights thereto, this Plan shall be unfunded. Although bookkeeping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may be established with respect to Participants who are entitled to cash, Common Stock or rights thereto under this Plan, any such accounts shall be used merely as a bookkeeping convenience. The Company shall not be required to segregate any assets that may at any time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56" w:lineRule="exact"/>
        <w:rPr>
          <w:sz w:val="20"/>
          <w:szCs w:val="20"/>
          <w:color w:val="auto"/>
        </w:rPr>
      </w:pPr>
    </w:p>
    <w:p>
      <w:pPr>
        <w:ind w:firstLine="464"/>
        <w:spacing w:after="0" w:line="255"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This Plan is intended to provide compensation which is exempt from or which complies with Section 409A, and ambiguous provisions,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56"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w:t>
      </w:r>
    </w:p>
    <w:p>
      <w:pPr>
        <w:ind w:left="260" w:hanging="252"/>
        <w:spacing w:after="0"/>
        <w:tabs>
          <w:tab w:leader="none" w:pos="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and one day following the date of termination or (2) the date of the Participant’s death.</w:t>
      </w:r>
    </w:p>
    <w:p>
      <w:pPr>
        <w:spacing w:after="0" w:line="75" w:lineRule="exact"/>
        <w:rPr>
          <w:rFonts w:ascii="Times New Roman" w:cs="Times New Roman" w:eastAsia="Times New Roman" w:hAnsi="Times New Roman"/>
          <w:sz w:val="18"/>
          <w:szCs w:val="18"/>
          <w:color w:val="auto"/>
        </w:rPr>
      </w:pPr>
    </w:p>
    <w:p>
      <w:pPr>
        <w:jc w:val="both"/>
        <w:ind w:right="760" w:firstLine="464"/>
        <w:spacing w:after="0" w:line="334" w:lineRule="auto"/>
        <w:tabs>
          <w:tab w:leader="none" w:pos="72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Plan and all determinations made and actions taken pursuant hereto, to the extent not otherwise governed by mandatory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the Code or the securities laws of the United States, shall be governed by and construed in accordance with the laws of the State of Texas.</w:t>
      </w:r>
    </w:p>
    <w:p>
      <w:pPr>
        <w:spacing w:after="0" w:line="1" w:lineRule="exact"/>
        <w:rPr>
          <w:rFonts w:ascii="Times New Roman" w:cs="Times New Roman" w:eastAsia="Times New Roman" w:hAnsi="Times New Roman"/>
          <w:sz w:val="16"/>
          <w:szCs w:val="16"/>
          <w:color w:val="auto"/>
        </w:rPr>
      </w:pPr>
    </w:p>
    <w:p>
      <w:pPr>
        <w:jc w:val="both"/>
        <w:ind w:right="60" w:firstLine="464"/>
        <w:spacing w:after="0" w:line="264" w:lineRule="auto"/>
        <w:tabs>
          <w:tab w:leader="none" w:pos="7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Employment</w:t>
      </w:r>
      <w:r>
        <w:rPr>
          <w:rFonts w:ascii="Times New Roman" w:cs="Times New Roman" w:eastAsia="Times New Roman" w:hAnsi="Times New Roman"/>
          <w:sz w:val="18"/>
          <w:szCs w:val="18"/>
          <w:color w:val="auto"/>
        </w:rPr>
        <w:t>. Nothing in this Plan or an Award Agreement shall interfere with or limit in any way the right of the Company or a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4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obligations of the Company under this Plan with respect to Awards granted hereunder shall be binding on any successor to the</w:t>
      </w:r>
    </w:p>
    <w:p>
      <w:pPr>
        <w:spacing w:after="0" w:line="23"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48" w:lineRule="exact"/>
        <w:rPr>
          <w:rFonts w:ascii="Times New Roman" w:cs="Times New Roman" w:eastAsia="Times New Roman" w:hAnsi="Times New Roman"/>
          <w:sz w:val="18"/>
          <w:szCs w:val="18"/>
          <w:color w:val="auto"/>
        </w:rPr>
      </w:pPr>
    </w:p>
    <w:p>
      <w:pPr>
        <w:ind w:right="200" w:firstLine="464"/>
        <w:spacing w:after="0" w:line="257" w:lineRule="auto"/>
        <w:tabs>
          <w:tab w:leader="none" w:pos="7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Consequences</w:t>
      </w:r>
      <w:r>
        <w:rPr>
          <w:rFonts w:ascii="Times New Roman" w:cs="Times New Roman" w:eastAsia="Times New Roman" w:hAnsi="Times New Roman"/>
          <w:sz w:val="18"/>
          <w:szCs w:val="18"/>
          <w:color w:val="auto"/>
        </w:rPr>
        <w:t>. Nothing in this Plan or an Award Agreement shall constitute a representation by the Company to a Participant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53" w:lineRule="exact"/>
        <w:rPr>
          <w:rFonts w:ascii="Times New Roman" w:cs="Times New Roman" w:eastAsia="Times New Roman" w:hAnsi="Times New Roman"/>
          <w:sz w:val="18"/>
          <w:szCs w:val="18"/>
          <w:color w:val="auto"/>
        </w:rPr>
      </w:pPr>
    </w:p>
    <w:p>
      <w:pPr>
        <w:ind w:right="140" w:firstLine="464"/>
        <w:spacing w:after="0" w:line="264" w:lineRule="auto"/>
        <w:tabs>
          <w:tab w:leader="none" w:pos="7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Non-United States Participants</w:t>
      </w:r>
      <w:r>
        <w:rPr>
          <w:rFonts w:ascii="Times New Roman" w:cs="Times New Roman" w:eastAsia="Times New Roman" w:hAnsi="Times New Roman"/>
          <w:sz w:val="18"/>
          <w:szCs w:val="18"/>
          <w:color w:val="auto"/>
        </w:rPr>
        <w:t>. The Committee may grant awards to persons outside the United States under such terms and conditions as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may not take any actions hereunder, and no Awards shall be granted, that would violate the Securities Exchange Act of 1934, the Code, any securities law, any governing statute, or any other applicable law.</w:t>
      </w:r>
    </w:p>
    <w:p>
      <w:pPr>
        <w:spacing w:after="0" w:line="37" w:lineRule="exact"/>
        <w:rPr>
          <w:sz w:val="20"/>
          <w:szCs w:val="20"/>
          <w:color w:val="auto"/>
        </w:rPr>
      </w:pPr>
    </w:p>
    <w:p>
      <w:pPr>
        <w:ind w:firstLine="464"/>
        <w:spacing w:after="0" w:line="264" w:lineRule="auto"/>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This Plan is effective January 17, 2013, subject to its approval by the stockholders of the Company at the next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This Plan shall continue in effect for a term of ten years after the date on which the stockholders of the Company approve this Plan, unless sooner terminated by action of the Board.</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Plan to be executed by its duly authorized officer on the date first written above.</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-10160</wp:posOffset>
            </wp:positionV>
            <wp:extent cx="26479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47950"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-10160</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20"/>
          </w:cols>
          <w:pgMar w:left="24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SCHLUMBERGER DISCOUNTED STOCK PURCHASE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Amended and Restated Effective as of January 1, 2013)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Schlumberger Discounted Stock Purchase Plan (the “Plan”) is designed to encourage and assist all employees of Schlumberger Limited, a Curacao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Administration of the Plan</w:t>
      </w:r>
    </w:p>
    <w:p>
      <w:pPr>
        <w:spacing w:after="0" w:line="173" w:lineRule="exact"/>
        <w:rPr>
          <w:sz w:val="20"/>
          <w:szCs w:val="20"/>
          <w:color w:val="auto"/>
        </w:rPr>
      </w:pPr>
    </w:p>
    <w:p>
      <w:pPr>
        <w:ind w:right="240" w:firstLine="456"/>
        <w:spacing w:after="0" w:line="285" w:lineRule="auto"/>
        <w:rPr>
          <w:sz w:val="20"/>
          <w:szCs w:val="20"/>
          <w:color w:val="auto"/>
        </w:rPr>
      </w:pPr>
      <w:r>
        <w:rPr>
          <w:rFonts w:ascii="Times New Roman" w:cs="Times New Roman" w:eastAsia="Times New Roman" w:hAnsi="Times New Roman"/>
          <w:sz w:val="16"/>
          <w:szCs w:val="16"/>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w:t>
      </w:r>
    </w:p>
    <w:p>
      <w:pPr>
        <w:spacing w:after="0" w:line="3" w:lineRule="exact"/>
        <w:rPr>
          <w:sz w:val="20"/>
          <w:szCs w:val="20"/>
          <w:color w:val="auto"/>
        </w:rPr>
      </w:pPr>
    </w:p>
    <w:p>
      <w:pPr>
        <w:ind w:right="280" w:firstLine="8"/>
        <w:spacing w:after="0" w:line="261" w:lineRule="auto"/>
        <w:tabs>
          <w:tab w:leader="none" w:pos="2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or interpret the Plan; (iii) determine all questions of eligibility; and (iv) compute the amount and determine the manner and time of payment of all benefits according to the Plan hereunder.</w:t>
      </w:r>
    </w:p>
    <w:p>
      <w:pPr>
        <w:spacing w:after="0" w:line="51"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Nature and Number of Shares</w:t>
      </w:r>
    </w:p>
    <w:p>
      <w:pPr>
        <w:spacing w:after="0" w:line="173" w:lineRule="exact"/>
        <w:rPr>
          <w:sz w:val="20"/>
          <w:szCs w:val="20"/>
          <w:color w:val="auto"/>
        </w:rPr>
      </w:pPr>
    </w:p>
    <w:p>
      <w:pPr>
        <w:ind w:right="80" w:firstLine="456"/>
        <w:spacing w:after="0" w:line="285" w:lineRule="auto"/>
        <w:rPr>
          <w:sz w:val="20"/>
          <w:szCs w:val="20"/>
          <w:color w:val="auto"/>
        </w:rPr>
      </w:pPr>
      <w:r>
        <w:rPr>
          <w:rFonts w:ascii="Times New Roman" w:cs="Times New Roman" w:eastAsia="Times New Roman" w:hAnsi="Times New Roman"/>
          <w:sz w:val="16"/>
          <w:szCs w:val="16"/>
          <w:color w:val="auto"/>
        </w:rPr>
        <w:t>The Common Stock subject to issuance under the terms of the Plan shall be shares of Schlumberger Limited’s authorized but unissued shares or previously issued shares reacquired and held by Schlumberger Limited. Except as provided in Section 20 hereof, effective from and after January 17, 2013, the aggregate number of shares which may be issued under the Plan and authorized by this Plan shall not exceed 22,000,000, the sum of (i) the zero shares of Common Stock available for issuance under this Plan on January 1, 2013 after the issuance of any such shares attributable to the Purchase Period ending December 31, 2012 and</w:t>
      </w:r>
    </w:p>
    <w:p>
      <w:pPr>
        <w:spacing w:after="0" w:line="3" w:lineRule="exact"/>
        <w:rPr>
          <w:sz w:val="20"/>
          <w:szCs w:val="20"/>
          <w:color w:val="auto"/>
        </w:rPr>
      </w:pPr>
    </w:p>
    <w:p>
      <w:pPr>
        <w:ind w:firstLine="8"/>
        <w:spacing w:after="0" w:line="261" w:lineRule="auto"/>
        <w:tabs>
          <w:tab w:leader="none" w:pos="2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22,000,000 shares of Common Stock authorized as of January 17, 2013. All shares purchased under the Plan, regardless of source, shall be counted against this share limitation.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Eligibility Requirements</w:t>
      </w:r>
    </w:p>
    <w:p>
      <w:pPr>
        <w:spacing w:after="0" w:line="17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 Participation in the Plan is voluntary.</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Employees are not eligible to participate in the Plan:</w:t>
      </w:r>
    </w:p>
    <w:p>
      <w:pPr>
        <w:spacing w:after="0" w:line="90" w:lineRule="exact"/>
        <w:rPr>
          <w:sz w:val="20"/>
          <w:szCs w:val="20"/>
          <w:color w:val="auto"/>
        </w:rPr>
      </w:pPr>
    </w:p>
    <w:p>
      <w:pPr>
        <w:ind w:left="460" w:right="180" w:firstLine="443"/>
        <w:spacing w:after="0" w:line="275" w:lineRule="auto"/>
        <w:tabs>
          <w:tab w:leader="none" w:pos="11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60" w:hanging="257"/>
        <w:spacing w:after="0"/>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customarily employed by the Company less than twenty (20) hours per week or less than five (5) months in any calendar</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and</w:t>
      </w:r>
    </w:p>
    <w:p>
      <w:pPr>
        <w:spacing w:after="0" w:line="77" w:lineRule="exact"/>
        <w:rPr>
          <w:rFonts w:ascii="Times New Roman" w:cs="Times New Roman" w:eastAsia="Times New Roman" w:hAnsi="Times New Roman"/>
          <w:sz w:val="18"/>
          <w:szCs w:val="18"/>
          <w:color w:val="auto"/>
        </w:rPr>
      </w:pPr>
    </w:p>
    <w:p>
      <w:pPr>
        <w:ind w:left="460" w:right="420" w:firstLine="443"/>
        <w:spacing w:after="0" w:line="275" w:lineRule="auto"/>
        <w:tabs>
          <w:tab w:leader="none" w:pos="12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prohibited by the laws and regulations of the nation of their residence or employment from participating in the Plan as determined by the Committee.</w:t>
      </w:r>
    </w:p>
    <w:p>
      <w:pPr>
        <w:spacing w:after="0" w:line="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“Employee” shall mean any individual employed by Schlumberger Limited or any Subsidiary (as hereinafter defined). “Subsidiary” shall mean any corporation in existence as of the “Restatement Date” (as hereinafter defined) of this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Restatement Date shall automatically be deemed to be a participating Subsidiary under this Plan effective as of the following Enrollment Date unless the Committee takes action to exclude such corporation and its employees from participation 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Enrollment</w:t>
      </w:r>
    </w:p>
    <w:p>
      <w:pPr>
        <w:spacing w:after="0" w:line="17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Each eligible Employee of Schlumberger Limited or any Subsidiary as of January 1, 2013 (the “Restatement Date” herein) who is already enrolled in the Plan may enroll in the Plan as of July 1, 2013. 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enroll, an eligible Employee must complete, sign and submit the appropriate form to the Personnel Department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Method of Payment</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5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Bonuses will be included in determining the amount of the Participant’s contribution unless the Participant gives written notice to the Personnel Department at the time and in the manner directed by the Committee.</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360"/>
          </w:cols>
          <w:pgMar w:left="240" w:top="455" w:right="2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A Participant may elect to increase or decrease the rate of contribution effective as of the first day of any calendar month by giving timely written notice to the Personnel Department of the Company on the appropriate form, as determined by the Committee from time to time.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6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Crediting of Contributions, Interest and Dividends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Contributions shall be credited to a Participant’s account as soon as administratively feasible after payroll withholding. Unless otherwise prohibited by laws or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Grant of Right to Purchase Shares on Enrollment</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right to purchase shares of Common Stock under the Plan during a Purchase Period shall have the following terms:</w:t>
      </w:r>
    </w:p>
    <w:p>
      <w:pPr>
        <w:spacing w:after="0" w:line="90" w:lineRule="exact"/>
        <w:rPr>
          <w:sz w:val="20"/>
          <w:szCs w:val="20"/>
          <w:color w:val="auto"/>
        </w:rPr>
      </w:pPr>
    </w:p>
    <w:p>
      <w:pPr>
        <w:ind w:left="460" w:right="20" w:firstLine="443"/>
        <w:spacing w:after="0" w:line="262"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51" w:lineRule="exact"/>
        <w:rPr>
          <w:rFonts w:ascii="Times New Roman" w:cs="Times New Roman" w:eastAsia="Times New Roman" w:hAnsi="Times New Roman"/>
          <w:sz w:val="18"/>
          <w:szCs w:val="18"/>
          <w:color w:val="auto"/>
        </w:rPr>
      </w:pPr>
    </w:p>
    <w:p>
      <w:pPr>
        <w:ind w:left="460" w:right="400" w:firstLine="443"/>
        <w:spacing w:after="0" w:line="275" w:lineRule="auto"/>
        <w:tabs>
          <w:tab w:leader="none" w:pos="11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right to purchase shares of Common Stock during a Purchase Period extend beyond twenty-seven (27) months from the Enrollment Date;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0" w:firstLine="443"/>
        <w:spacing w:after="0" w:line="275" w:lineRule="auto"/>
        <w:tabs>
          <w:tab w:leader="none" w:pos="120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shares purchased will be made only through payroll withholding and the crediting of interest and dividends, if applicable, in accordance with Sections 6 and 7;</w:t>
      </w:r>
    </w:p>
    <w:p>
      <w:pPr>
        <w:spacing w:after="0" w:line="38"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shares will be accomplished only in accordance with Section 9;</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will be determined as provided in Section 9;</w:t>
      </w:r>
    </w:p>
    <w:p>
      <w:pPr>
        <w:spacing w:after="0" w:line="90" w:lineRule="exact"/>
        <w:rPr>
          <w:rFonts w:ascii="Times New Roman" w:cs="Times New Roman" w:eastAsia="Times New Roman" w:hAnsi="Times New Roman"/>
          <w:sz w:val="18"/>
          <w:szCs w:val="18"/>
          <w:color w:val="auto"/>
        </w:rPr>
      </w:pPr>
    </w:p>
    <w:p>
      <w:pPr>
        <w:ind w:left="460" w:right="120" w:firstLine="443"/>
        <w:spacing w:after="0" w:line="258" w:lineRule="auto"/>
        <w:tabs>
          <w:tab w:leader="none" w:pos="11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55" w:lineRule="exact"/>
        <w:rPr>
          <w:rFonts w:ascii="Times New Roman" w:cs="Times New Roman" w:eastAsia="Times New Roman" w:hAnsi="Times New Roman"/>
          <w:sz w:val="18"/>
          <w:szCs w:val="18"/>
          <w:color w:val="auto"/>
        </w:rPr>
      </w:pPr>
    </w:p>
    <w:p>
      <w:pPr>
        <w:ind w:left="460" w:right="60" w:firstLine="443"/>
        <w:spacing w:after="0" w:line="275" w:lineRule="auto"/>
        <w:tabs>
          <w:tab w:leader="none" w:pos="12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Share Limitation for a Purchase Period shall be determined as of the Grant Date (as defined in Section 9) of a Purchase Period by dividing $12,500 by the fair market value of a share of Common Stock on such Grant Date; and</w:t>
      </w:r>
    </w:p>
    <w:p>
      <w:pPr>
        <w:spacing w:after="0" w:line="38" w:lineRule="exact"/>
        <w:rPr>
          <w:rFonts w:ascii="Times New Roman" w:cs="Times New Roman" w:eastAsia="Times New Roman" w:hAnsi="Times New Roman"/>
          <w:sz w:val="18"/>
          <w:szCs w:val="18"/>
          <w:color w:val="auto"/>
        </w:rPr>
      </w:pPr>
    </w:p>
    <w:p>
      <w:pPr>
        <w:ind w:left="1300" w:hanging="397"/>
        <w:spacing w:after="0"/>
        <w:tabs>
          <w:tab w:leader="none" w:pos="13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purchase shares will in all respects be subject to the terms and conditions of the Plan, as interpreted by the Committee from time to</w:t>
      </w:r>
    </w:p>
    <w:p>
      <w:pPr>
        <w:spacing w:after="0" w:line="44"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Purchase of Shares</w:t>
      </w:r>
    </w:p>
    <w:p>
      <w:pPr>
        <w:spacing w:after="0" w:line="17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right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5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39" w:lineRule="exact"/>
        <w:rPr>
          <w:sz w:val="20"/>
          <w:szCs w:val="20"/>
          <w:color w:val="auto"/>
        </w:rPr>
      </w:pPr>
    </w:p>
    <w:p>
      <w:pPr>
        <w:ind w:left="1120" w:hanging="217"/>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Grant Date; or</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Common Stock on the Purchase Date.</w:t>
      </w:r>
    </w:p>
    <w:p>
      <w:pPr>
        <w:spacing w:after="0" w:line="9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$11,562.50 during a Purchase Period or if the purchase of shares with such allocations would exceed the Maximum Share Limitation, such excess amounts shall be refunded to the Participant as soon as administratively feasible after such excess has been determined to exist.</w:t>
      </w:r>
    </w:p>
    <w:p>
      <w:pPr>
        <w:spacing w:after="0" w:line="66"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If as of any Purchase Date the shares authorized for purchase under the Plan are exceeded, enrollments shall be reduced proportionately to eliminate the excess. Any funds that cannot be applied to the purchase of shares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due to excess enrollment shall be refunded as soon as administratively feasible, including interest determined in accordance with Section 7. The Committee in its discretion may also provide that amounts representing a fractional share of Common Stock that were withheld but not applied toward the purchase of shares in a Purchase Period may be carried over to the next Purchase Period under this Plan or any successor plan according to the regulations as set forth under Section 423 of the Code.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Withdrawal of Shares</w:t>
      </w:r>
    </w:p>
    <w:p>
      <w:pPr>
        <w:spacing w:after="0" w:line="173"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Termination of Participation</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Unpaid Leave of Absence</w:t>
      </w:r>
    </w:p>
    <w:p>
      <w:pPr>
        <w:spacing w:after="0" w:line="17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Designation of Beneficiary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Each Participant may designate one or more beneficiaries in the event of death and may, in his or her sole discretion, change such designation at any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designation shall be effective upon receipt by the local Personnel Department and shall control over any disposition by will or otherwise.</w:t>
      </w:r>
    </w:p>
    <w:p>
      <w:pPr>
        <w:spacing w:after="0" w:line="78"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Assignment</w:t>
      </w:r>
    </w:p>
    <w:p>
      <w:pPr>
        <w:spacing w:after="0" w:line="17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58"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Treatment of Non-U. S. Participants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Costs</w:t>
      </w:r>
    </w:p>
    <w:p>
      <w:pPr>
        <w:spacing w:after="0" w:line="17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All costs and expenses incurred in administering this Plan shall be paid by the Company. Any brokerage fees for the sale of shares purchased under the Plan shall be paid by the Participant.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Reports</w:t>
      </w:r>
    </w:p>
    <w:p>
      <w:pPr>
        <w:spacing w:after="0" w:line="173"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Equal Rights and Privileges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Rights as Stockholder</w:t>
      </w:r>
    </w:p>
    <w:p>
      <w:pPr>
        <w:spacing w:after="0" w:line="17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Capitalization, Dissolution, Liquidation, Merger or Asset Sale.</w:t>
      </w:r>
    </w:p>
    <w:p>
      <w:pPr>
        <w:spacing w:after="0" w:line="173" w:lineRule="exact"/>
        <w:rPr>
          <w:rFonts w:ascii="Times New Roman" w:cs="Times New Roman" w:eastAsia="Times New Roman" w:hAnsi="Times New Roman"/>
          <w:sz w:val="18"/>
          <w:szCs w:val="18"/>
          <w:b w:val="1"/>
          <w:bCs w:val="1"/>
          <w:color w:val="auto"/>
        </w:rPr>
      </w:pPr>
    </w:p>
    <w:p>
      <w:pPr>
        <w:ind w:firstLine="464"/>
        <w:spacing w:after="0" w:line="254" w:lineRule="auto"/>
        <w:tabs>
          <w:tab w:leader="none" w:pos="6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Capitalization. Subject to any required action by the stockholders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57" w:lineRule="exact"/>
        <w:rPr>
          <w:rFonts w:ascii="Times New Roman" w:cs="Times New Roman" w:eastAsia="Times New Roman" w:hAnsi="Times New Roman"/>
          <w:sz w:val="18"/>
          <w:szCs w:val="18"/>
          <w:color w:val="auto"/>
        </w:rPr>
      </w:pPr>
    </w:p>
    <w:p>
      <w:pPr>
        <w:ind w:right="20" w:firstLine="464"/>
        <w:spacing w:after="0" w:line="255" w:lineRule="auto"/>
        <w:tabs>
          <w:tab w:leader="none" w:pos="70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58" w:lineRule="exact"/>
        <w:rPr>
          <w:rFonts w:ascii="Times New Roman" w:cs="Times New Roman" w:eastAsia="Times New Roman" w:hAnsi="Times New Roman"/>
          <w:sz w:val="18"/>
          <w:szCs w:val="18"/>
          <w:color w:val="auto"/>
        </w:rPr>
      </w:pPr>
    </w:p>
    <w:p>
      <w:pPr>
        <w:ind w:right="60" w:firstLine="464"/>
        <w:spacing w:after="0" w:line="254" w:lineRule="auto"/>
        <w:tabs>
          <w:tab w:leader="none" w:pos="6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13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and Termination</w:t>
      </w:r>
    </w:p>
    <w:p>
      <w:pPr>
        <w:spacing w:after="0" w:line="17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5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Board and Stockholder Approval; Effective Date</w:t>
      </w:r>
    </w:p>
    <w:p>
      <w:pPr>
        <w:spacing w:after="0" w:line="17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This Plan was originally approved by the Board on January 28, 1988, amended and restated by the Board on January 21, 1992, 1998 and 2010. This Plan was approved by the holders of a majority of the shares of</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outstanding Common Stock of Schlumberger Limited on April 15, 1992, and the January 21, 2010 amendment and restatement of the Plan was similarly approved on April 7, 2010. This amendment and restatement approved by the Board on January 17, 2013 shall become effective as of January 1, 2013; provided, however, that the changes contained in Section 3 herein related to the increase in the number of shares which may be issued under the Plan shall not be effective unless approved by the holders of a majority of the votes cast at a meeting within the period ending January 17, 2014 (12 months after the date such increase in the number of shares which may be issued under the Plan is approved by the Board).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Governmental Approvals or Consents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Other Provisions</w:t>
      </w:r>
    </w:p>
    <w:p>
      <w:pPr>
        <w:spacing w:after="0" w:line="173"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SCHLUMBERGER LIMITED</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5599 SAN FELIPE, 17TH FLOOR</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-631190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60"/>
        <w:spacing w:after="0" w:line="225"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6"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ind w:right="540"/>
        <w:spacing w:after="0" w:line="227"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6" w:lineRule="exact"/>
        <w:rPr>
          <w:sz w:val="20"/>
          <w:szCs w:val="20"/>
          <w:color w:val="auto"/>
        </w:rPr>
      </w:pPr>
    </w:p>
    <w:p>
      <w:pPr>
        <w:ind w:right="540"/>
        <w:spacing w:after="0" w:line="227"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480"/>
          </w:cols>
          <w:pgMar w:left="240" w:top="45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504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color w:val="auto"/>
                <w:w w:val="96"/>
              </w:rPr>
              <w:t>TO VOTE, MARK BLOCKS BELOW IN BLUE OR BLACK INK AS FOLLOWS:</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M40767-P20448</w:t>
            </w:r>
          </w:p>
        </w:tc>
        <w:tc>
          <w:tcPr>
            <w:tcW w:w="31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840" w:type="dxa"/>
            <w:vAlign w:val="bottom"/>
            <w:gridSpan w:val="6"/>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31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840" w:type="dxa"/>
            <w:vAlign w:val="bottom"/>
            <w:gridSpan w:val="6"/>
            <w:vMerge w:val="continue"/>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6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tcBorders>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SCHLUMBERGER LIMITED</w:t>
            </w: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20" w:type="dxa"/>
            <w:vAlign w:val="bottom"/>
            <w:tcBorders>
              <w:left w:val="single" w:sz="8" w:color="auto"/>
            </w:tcBorders>
            <w:gridSpan w:val="3"/>
          </w:tcPr>
          <w:p>
            <w:pPr>
              <w:ind w:left="220"/>
              <w:spacing w:after="0" w:line="118" w:lineRule="exact"/>
              <w:rPr>
                <w:sz w:val="20"/>
                <w:szCs w:val="20"/>
                <w:color w:val="auto"/>
              </w:rPr>
            </w:pPr>
            <w:r>
              <w:rPr>
                <w:rFonts w:ascii="Times New Roman" w:cs="Times New Roman" w:eastAsia="Times New Roman" w:hAnsi="Times New Roman"/>
                <w:sz w:val="12"/>
                <w:szCs w:val="12"/>
                <w:b w:val="1"/>
                <w:bCs w:val="1"/>
                <w:color w:val="auto"/>
              </w:rPr>
              <w:t>The Board of Directors recommends you vote</w:t>
            </w: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42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following:</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1.  Election of Directors</w:t>
            </w:r>
          </w:p>
        </w:tc>
        <w:tc>
          <w:tcPr>
            <w:tcW w:w="4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Abstain</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40" w:type="dxa"/>
            <w:vAlign w:val="bottom"/>
          </w:tcPr>
          <w:p>
            <w:pPr>
              <w:spacing w:after="0"/>
              <w:rPr>
                <w:sz w:val="17"/>
                <w:szCs w:val="17"/>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1a.</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Peter L.S. Currie</w:t>
            </w:r>
          </w:p>
        </w:tc>
        <w:tc>
          <w:tcPr>
            <w:tcW w:w="4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6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60" w:type="dxa"/>
            <w:vAlign w:val="bottom"/>
            <w:tcBorders>
              <w:left w:val="single" w:sz="8" w:color="auto"/>
            </w:tcBorders>
          </w:tcPr>
          <w:p>
            <w:pPr>
              <w:spacing w:after="0"/>
              <w:rPr>
                <w:sz w:val="16"/>
                <w:szCs w:val="16"/>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1b.</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Tony Isaac</w:t>
            </w:r>
          </w:p>
        </w:tc>
        <w:tc>
          <w:tcPr>
            <w:tcW w:w="440" w:type="dxa"/>
            <w:vAlign w:val="bottom"/>
          </w:tcPr>
          <w:p>
            <w:pPr>
              <w:spacing w:after="0"/>
              <w:rPr>
                <w:sz w:val="16"/>
                <w:szCs w:val="16"/>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86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Abstain</w:t>
            </w:r>
          </w:p>
        </w:tc>
        <w:tc>
          <w:tcPr>
            <w:tcW w:w="0" w:type="dxa"/>
            <w:vAlign w:val="bottom"/>
          </w:tcPr>
          <w:p>
            <w:pPr>
              <w:spacing w:after="0"/>
              <w:rPr>
                <w:sz w:val="1"/>
                <w:szCs w:val="1"/>
                <w:color w:val="auto"/>
              </w:rPr>
            </w:pPr>
          </w:p>
        </w:tc>
      </w:tr>
      <w:tr>
        <w:trPr>
          <w:trHeight w:val="178"/>
        </w:trPr>
        <w:tc>
          <w:tcPr>
            <w:tcW w:w="36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following proposals:</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1c.</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 Vaman Kamath</w:t>
            </w:r>
          </w:p>
        </w:tc>
        <w:tc>
          <w:tcPr>
            <w:tcW w:w="440" w:type="dxa"/>
            <w:vAlign w:val="bottom"/>
          </w:tcPr>
          <w:p>
            <w:pPr>
              <w:spacing w:after="0"/>
              <w:rPr>
                <w:sz w:val="16"/>
                <w:szCs w:val="16"/>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2.   To approve, on an advisory basis, the Company’s executive</w:t>
            </w:r>
          </w:p>
        </w:tc>
        <w:tc>
          <w:tcPr>
            <w:tcW w:w="2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compensation.</w:t>
            </w: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60" w:type="dxa"/>
            <w:vAlign w:val="bottom"/>
            <w:tcBorders>
              <w:left w:val="single" w:sz="8" w:color="auto"/>
            </w:tcBorders>
          </w:tcPr>
          <w:p>
            <w:pPr>
              <w:spacing w:after="0"/>
              <w:rPr>
                <w:sz w:val="17"/>
                <w:szCs w:val="17"/>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1d.</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Paal Kibsgaard</w:t>
            </w:r>
          </w:p>
        </w:tc>
        <w:tc>
          <w:tcPr>
            <w:tcW w:w="440" w:type="dxa"/>
            <w:vAlign w:val="bottom"/>
          </w:tcPr>
          <w:p>
            <w:pPr>
              <w:spacing w:after="0"/>
              <w:rPr>
                <w:sz w:val="17"/>
                <w:szCs w:val="17"/>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3.   To approve the Company’s 2012 financial statements and</w:t>
            </w: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1e.</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Nikolay Kudryavtsev</w:t>
            </w:r>
          </w:p>
        </w:tc>
        <w:tc>
          <w:tcPr>
            <w:tcW w:w="440" w:type="dxa"/>
            <w:vAlign w:val="bottom"/>
          </w:tcPr>
          <w:p>
            <w:pPr>
              <w:spacing w:after="0"/>
              <w:rPr>
                <w:sz w:val="15"/>
                <w:szCs w:val="15"/>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declarations of dividends.</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tcPr>
          <w:p>
            <w:pPr>
              <w:spacing w:after="0"/>
              <w:rPr>
                <w:sz w:val="12"/>
                <w:szCs w:val="12"/>
                <w:color w:val="auto"/>
              </w:rPr>
            </w:pPr>
          </w:p>
        </w:tc>
        <w:tc>
          <w:tcPr>
            <w:tcW w:w="36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4.   To approve the appointment of the independent registered</w:t>
            </w:r>
          </w:p>
        </w:tc>
        <w:tc>
          <w:tcPr>
            <w:tcW w:w="2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1f.</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Adrian Lajous</w:t>
            </w:r>
          </w:p>
        </w:tc>
        <w:tc>
          <w:tcPr>
            <w:tcW w:w="440" w:type="dxa"/>
            <w:vAlign w:val="bottom"/>
          </w:tcPr>
          <w:p>
            <w:pPr>
              <w:spacing w:after="0"/>
              <w:rPr>
                <w:sz w:val="15"/>
                <w:szCs w:val="15"/>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public accounting firm.</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tcPr>
          <w:p>
            <w:pPr>
              <w:spacing w:after="0"/>
              <w:rPr>
                <w:sz w:val="12"/>
                <w:szCs w:val="12"/>
                <w:color w:val="auto"/>
              </w:rPr>
            </w:pPr>
          </w:p>
        </w:tc>
        <w:tc>
          <w:tcPr>
            <w:tcW w:w="36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5.   To approve the adoption of the 2013 Schlumberger</w:t>
            </w:r>
          </w:p>
        </w:tc>
        <w:tc>
          <w:tcPr>
            <w:tcW w:w="2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1g.</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Michael E. Marks</w:t>
            </w:r>
          </w:p>
        </w:tc>
        <w:tc>
          <w:tcPr>
            <w:tcW w:w="440" w:type="dxa"/>
            <w:vAlign w:val="bottom"/>
          </w:tcPr>
          <w:p>
            <w:pPr>
              <w:spacing w:after="0"/>
              <w:rPr>
                <w:sz w:val="15"/>
                <w:szCs w:val="15"/>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Omnibus Incentive Plan.</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tcPr>
          <w:p>
            <w:pPr>
              <w:spacing w:after="0"/>
              <w:rPr>
                <w:sz w:val="12"/>
                <w:szCs w:val="12"/>
                <w:color w:val="auto"/>
              </w:rPr>
            </w:pPr>
          </w:p>
        </w:tc>
        <w:tc>
          <w:tcPr>
            <w:tcW w:w="36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6.   To approve the adoption of an amendment and restatement</w:t>
            </w:r>
          </w:p>
        </w:tc>
        <w:tc>
          <w:tcPr>
            <w:tcW w:w="2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1h.</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Lubna S. Olayan</w:t>
            </w:r>
          </w:p>
        </w:tc>
        <w:tc>
          <w:tcPr>
            <w:tcW w:w="440" w:type="dxa"/>
            <w:vAlign w:val="bottom"/>
          </w:tcPr>
          <w:p>
            <w:pPr>
              <w:spacing w:after="0"/>
              <w:rPr>
                <w:sz w:val="15"/>
                <w:szCs w:val="15"/>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5"/>
                <w:szCs w:val="15"/>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of the Schlumberger Discount Stock Purchase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60" w:type="dxa"/>
            <w:vAlign w:val="bottom"/>
            <w:tcBorders>
              <w:lef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1i.</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 Rafael Reif</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1j.</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Tore I. Sandvold</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1k.</w:t>
            </w:r>
          </w:p>
        </w:tc>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Henri Seydoux</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36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0" w:type="dxa"/>
            <w:vAlign w:val="bottom"/>
            <w:tcBorders>
              <w:left w:val="single" w:sz="8" w:color="auto"/>
            </w:tcBorders>
            <w:gridSpan w:val="11"/>
          </w:tcPr>
          <w:p>
            <w:pPr>
              <w:ind w:left="220"/>
              <w:spacing w:after="0" w:line="149" w:lineRule="exact"/>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800" w:type="dxa"/>
            <w:vAlign w:val="bottom"/>
            <w:tcBorders>
              <w:left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color w:val="auto"/>
              </w:rPr>
              <w:t>should each sign personally. All holders must sign. If a corporation or partnership, please sign in full corporate or partnership name by an authorized officer.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tcPr>
          <w:p>
            <w:pPr>
              <w:spacing w:after="0"/>
              <w:rPr>
                <w:sz w:val="12"/>
                <w:szCs w:val="12"/>
                <w:color w:val="auto"/>
              </w:rPr>
            </w:pPr>
          </w:p>
        </w:tc>
        <w:tc>
          <w:tcPr>
            <w:tcW w:w="30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Borders>
              <w:left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bottom w:val="single" w:sz="8" w:color="auto"/>
            </w:tcBorders>
          </w:tcPr>
          <w:p>
            <w:pPr>
              <w:spacing w:after="0"/>
              <w:rPr>
                <w:sz w:val="13"/>
                <w:szCs w:val="13"/>
                <w:color w:val="auto"/>
              </w:rPr>
            </w:pPr>
          </w:p>
        </w:tc>
        <w:tc>
          <w:tcPr>
            <w:tcW w:w="3060" w:type="dxa"/>
            <w:vAlign w:val="bottom"/>
            <w:tcBorders>
              <w:bottom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Signature [PLEASE SIGN WITHIN BOX]</w:t>
            </w:r>
          </w:p>
        </w:tc>
        <w:tc>
          <w:tcPr>
            <w:tcW w:w="44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392"/>
              <w:spacing w:after="0" w:line="149" w:lineRule="exact"/>
              <w:rPr>
                <w:sz w:val="20"/>
                <w:szCs w:val="20"/>
                <w:color w:val="auto"/>
              </w:rPr>
            </w:pPr>
            <w:r>
              <w:rPr>
                <w:rFonts w:ascii="Times New Roman" w:cs="Times New Roman" w:eastAsia="Times New Roman" w:hAnsi="Times New Roman"/>
                <w:sz w:val="14"/>
                <w:szCs w:val="14"/>
                <w:color w:val="auto"/>
              </w:rPr>
              <w:t>Signature (Joint Owners)</w:t>
            </w: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w w:val="98"/>
              </w:rPr>
              <w:t>Date</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-3738245</wp:posOffset>
            </wp:positionV>
            <wp:extent cx="72466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2466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4"/>
          <w:szCs w:val="14"/>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63765" cy="2941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SCHLUMBERGER LIMITED (SCHLUMBERGER N.V.)</w:t>
      </w: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Proxy Solicitation on Behalf of the Board of Directors</w:t>
      </w: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Annual General Meeting of Stockholders</w:t>
      </w:r>
    </w:p>
    <w:p>
      <w:pPr>
        <w:spacing w:after="0" w:line="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April 10, 2013</w:t>
      </w:r>
    </w:p>
    <w:p>
      <w:pPr>
        <w:spacing w:after="0" w:line="222" w:lineRule="exact"/>
        <w:rPr>
          <w:sz w:val="20"/>
          <w:szCs w:val="20"/>
          <w:color w:val="auto"/>
        </w:rPr>
      </w:pPr>
    </w:p>
    <w:p>
      <w:pPr>
        <w:ind w:left="340" w:right="220"/>
        <w:spacing w:after="0" w:line="296" w:lineRule="auto"/>
        <w:rPr>
          <w:sz w:val="20"/>
          <w:szCs w:val="20"/>
          <w:color w:val="auto"/>
        </w:rPr>
      </w:pPr>
      <w:r>
        <w:rPr>
          <w:rFonts w:ascii="Times New Roman" w:cs="Times New Roman" w:eastAsia="Times New Roman" w:hAnsi="Times New Roman"/>
          <w:sz w:val="16"/>
          <w:szCs w:val="16"/>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Curaçao on April 10, 2013, at 10:30 a.m. Curaçao time and any adjournment or postponement thereof.</w:t>
      </w:r>
    </w:p>
    <w:p>
      <w:pPr>
        <w:spacing w:after="0" w:line="146" w:lineRule="exact"/>
        <w:rPr>
          <w:sz w:val="20"/>
          <w:szCs w:val="20"/>
          <w:color w:val="auto"/>
        </w:rPr>
      </w:pPr>
    </w:p>
    <w:p>
      <w:pPr>
        <w:ind w:left="340" w:firstLine="432"/>
        <w:spacing w:after="0" w:line="302" w:lineRule="auto"/>
        <w:rPr>
          <w:sz w:val="20"/>
          <w:szCs w:val="20"/>
          <w:color w:val="auto"/>
        </w:rPr>
      </w:pPr>
      <w:r>
        <w:rPr>
          <w:rFonts w:ascii="Times New Roman" w:cs="Times New Roman" w:eastAsia="Times New Roman" w:hAnsi="Times New Roman"/>
          <w:sz w:val="16"/>
          <w:szCs w:val="16"/>
          <w:b w:val="1"/>
          <w:bCs w:val="1"/>
          <w:color w:val="auto"/>
        </w:rPr>
        <w:t>THIS PROXY, WHEN PROPERLY EXECUTED, WILL BE VOTED IN THE MANNER DIRECTED BY THE UNDERSIGNED. IF NO SUCH DIRECTIONS ARE MADE, THIS PROXY WILL BE VOTED FOR THE ELECTION OF EACH OF THE NOMINEES LISTED IN ITEM 1 AND FOR ITEMS 2, 3, 4, 5 AND 6. IF ANY OTHER MATTERS PROPERLY COME BEFORE THE ANNUAL GENERAL MEETING OF STOCKHOLDERS, THE PERSONS NAMED IN THIS PROXY WILL VOTE ON SUCH MATTERS IN THEIR DISCRETION.</w:t>
      </w:r>
    </w:p>
    <w:sectPr>
      <w:pgSz w:w="11900" w:h="16838" w:orient="portrait"/>
      <w:cols w:equalWidth="0" w:num="1">
        <w:col w:w="11240"/>
      </w:cols>
      <w:pgMar w:left="240" w:top="4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lvl w:ilvl="1">
      <w:lvlJc w:val="left"/>
      <w:lvlText w:val="(%2)"/>
      <w:numFmt w:val="decimal"/>
      <w:start w:val="1"/>
    </w:lvl>
  </w:abstractNum>
  <w:abstractNum w:abstractNumId="3">
    <w:nsid w:val="6157409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
    <w:nsid w:val="7E0C57B1"/>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5">
    <w:nsid w:val="77AE35EB"/>
    <w:multiLevelType w:val="hybridMultilevel"/>
    <w:lvl w:ilvl="0">
      <w:lvlJc w:val="left"/>
      <w:lvlText w:val="%1."/>
      <w:numFmt w:val="decimal"/>
      <w:start w:val="3"/>
    </w:lvl>
    <w:lvl w:ilvl="1">
      <w:lvlJc w:val="left"/>
      <w:lvlText w:val="%2."/>
      <w:numFmt w:val="decimal"/>
      <w:start w:val="5"/>
    </w:lvl>
    <w:lvl w:ilvl="2">
      <w:lvlJc w:val="left"/>
      <w:lvlText w:val="%3."/>
      <w:numFmt w:val="decimal"/>
      <w:start w:val="5"/>
    </w:lvl>
    <w:lvl w:ilvl="3">
      <w:lvlJc w:val="left"/>
      <w:lvlText w:val="%4"/>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lvl w:ilvl="1">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lvl w:ilvl="1">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lvl w:ilvl="1">
      <w:lvlJc w:val="left"/>
      <w:lvlText w:val="•"/>
      <w:numFmt w:val="bullet"/>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6"/>
    </w:lvl>
  </w:abstractNum>
  <w:abstractNum w:abstractNumId="47">
    <w:nsid w:val="100F59DC"/>
    <w:multiLevelType w:val="hybridMultilevel"/>
    <w:lvl w:ilvl="0">
      <w:lvlJc w:val="left"/>
      <w:lvlText w:val="(%1)"/>
      <w:numFmt w:val="decimal"/>
      <w:start w:val="7"/>
    </w:lvl>
    <w:lvl w:ilvl="1">
      <w:lvlJc w:val="left"/>
      <w:lvlText w:val="(%2)"/>
      <w:numFmt w:val="decimal"/>
      <w:start w:val="9"/>
    </w:lvl>
  </w:abstractNum>
  <w:abstractNum w:abstractNumId="48">
    <w:nsid w:val="7FB7E0AA"/>
    <w:multiLevelType w:val="hybridMultilevel"/>
    <w:lvl w:ilvl="0">
      <w:lvlJc w:val="left"/>
      <w:lvlText w:val="(%1)"/>
      <w:numFmt w:val="decimal"/>
      <w:start w:val="12"/>
    </w:lvl>
  </w:abstractNum>
  <w:abstractNum w:abstractNumId="49">
    <w:nsid w:val="6EB5BD4"/>
    <w:multiLevelType w:val="hybridMultilevel"/>
    <w:lvl w:ilvl="0">
      <w:lvlJc w:val="left"/>
      <w:lvlText w:val="(%1)"/>
      <w:numFmt w:val="decimal"/>
      <w:start w:val="13"/>
    </w:lvl>
    <w:lvl w:ilvl="1">
      <w:lvlJc w:val="left"/>
      <w:lvlText w:val="(%2)"/>
      <w:numFmt w:val="decimal"/>
      <w:start w:val="14"/>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decimal"/>
      <w:start w:val="2"/>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lowerRoman"/>
      <w:start w:val="1"/>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1"/>
    </w:lvl>
  </w:abstractNum>
  <w:abstractNum w:abstractNumId="60">
    <w:nsid w:val="2DF6D648"/>
    <w:multiLevelType w:val="hybridMultilevel"/>
    <w:lvl w:ilvl="0">
      <w:lvlJc w:val="left"/>
      <w:lvlText w:val="(%1)"/>
      <w:numFmt w:val="decimal"/>
      <w:start w:val="2"/>
    </w:lvl>
    <w:lvl w:ilvl="1">
      <w:lvlJc w:val="left"/>
      <w:lvlText w:val="(%2)"/>
      <w:numFmt w:val="decimal"/>
      <w:start w:val="4"/>
    </w:lvl>
  </w:abstractNum>
  <w:abstractNum w:abstractNumId="61">
    <w:nsid w:val="46B7D447"/>
    <w:multiLevelType w:val="hybridMultilevel"/>
    <w:lvl w:ilvl="0">
      <w:lvlJc w:val="left"/>
      <w:lvlText w:val="(%1)"/>
      <w:numFmt w:val="decimal"/>
      <w:start w:val="5"/>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1)"/>
      <w:numFmt w:val="decimal"/>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2">
    <w:nsid w:val="73A1821B"/>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abstractNum>
  <w:abstractNum w:abstractNumId="83">
    <w:nsid w:val="7DE67713"/>
    <w:multiLevelType w:val="hybridMultilevel"/>
    <w:lvl w:ilvl="0">
      <w:lvlJc w:val="left"/>
      <w:lvlText w:val="(%1)"/>
      <w:numFmt w:val="decimal"/>
      <w:start w:val="5"/>
    </w:lvl>
    <w:lvl w:ilvl="1">
      <w:lvlJc w:val="left"/>
      <w:lvlText w:val="(%2)"/>
      <w:numFmt w:val="decimal"/>
      <w:start w:val="7"/>
    </w:lvl>
  </w:abstractNum>
  <w:abstractNum w:abstractNumId="84">
    <w:nsid w:val="555C55B5"/>
    <w:multiLevelType w:val="hybridMultilevel"/>
    <w:lvl w:ilvl="0">
      <w:lvlJc w:val="left"/>
      <w:lvlText w:val="(%1)"/>
      <w:numFmt w:val="decimal"/>
      <w:start w:val="8"/>
    </w:lvl>
  </w:abstractNum>
  <w:abstractNum w:abstractNumId="85">
    <w:nsid w:val="3FA62ACA"/>
    <w:multiLevelType w:val="hybridMultilevel"/>
    <w:lvl w:ilvl="0">
      <w:lvlJc w:val="left"/>
      <w:lvlText w:val="%1."/>
      <w:numFmt w:val="decimal"/>
      <w:start w:val="1"/>
    </w:lvl>
  </w:abstractNum>
  <w:abstractNum w:abstractNumId="86">
    <w:nsid w:val="14FCE74E"/>
    <w:multiLevelType w:val="hybridMultilevel"/>
    <w:lvl w:ilvl="0">
      <w:lvlJc w:val="left"/>
      <w:lvlText w:val="%1."/>
      <w:numFmt w:val="decimal"/>
      <w:start w:val="3"/>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2"/>
    </w:lvl>
  </w:abstractNum>
  <w:abstractNum w:abstractNumId="89">
    <w:nsid w:val="9DAF632"/>
    <w:multiLevelType w:val="hybridMultilevel"/>
    <w:lvl w:ilvl="0">
      <w:lvlJc w:val="left"/>
      <w:lvlText w:val="%1."/>
      <w:numFmt w:val="decimal"/>
      <w:start w:val="5"/>
    </w:lvl>
  </w:abstractNum>
  <w:abstractNum w:abstractNumId="90">
    <w:nsid w:val="53299938"/>
    <w:multiLevelType w:val="hybridMultilevel"/>
    <w:lvl w:ilvl="0">
      <w:lvlJc w:val="left"/>
      <w:lvlText w:val="•"/>
      <w:numFmt w:val="bullet"/>
      <w:start w:val="1"/>
    </w:lvl>
    <w:lvl w:ilvl="1">
      <w:lvlJc w:val="left"/>
      <w:lvlText w:val="(%2)"/>
      <w:numFmt w:val="lowerLetter"/>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1)"/>
      <w:numFmt w:val="lowerLetter"/>
      <w:start w:val="2"/>
    </w:lvl>
  </w:abstractNum>
  <w:abstractNum w:abstractNumId="93">
    <w:nsid w:val="1D545C4D"/>
    <w:multiLevelType w:val="hybridMultilevel"/>
    <w:lvl w:ilvl="0">
      <w:lvlJc w:val="left"/>
      <w:lvlText w:val="%1."/>
      <w:numFmt w:val="decimal"/>
      <w:start w:val="6"/>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Roman"/>
      <w:start w:val="1"/>
    </w:lvl>
  </w:abstractNum>
  <w:abstractNum w:abstractNumId="96">
    <w:nsid w:val="2A155DBC"/>
    <w:multiLevelType w:val="hybridMultilevel"/>
    <w:lvl w:ilvl="0">
      <w:lvlJc w:val="left"/>
      <w:lvlText w:val="(%1)"/>
      <w:numFmt w:val="lowerRoman"/>
      <w:start w:val="2"/>
    </w:lvl>
  </w:abstractNum>
  <w:abstractNum w:abstractNumId="97">
    <w:nsid w:val="1D9F6E5F"/>
    <w:multiLevelType w:val="hybridMultilevel"/>
    <w:lvl w:ilvl="0">
      <w:lvlJc w:val="left"/>
      <w:lvlText w:val="•"/>
      <w:numFmt w:val="bullet"/>
      <w:start w:val="1"/>
    </w:lvl>
    <w:lvl w:ilvl="1">
      <w:lvlJc w:val="left"/>
      <w:lvlText w:val="(%2)"/>
      <w:numFmt w:val="upperLetter"/>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1)"/>
      <w:numFmt w:val="lowerLetter"/>
      <w:start w:val="2"/>
    </w:lvl>
  </w:abstractNum>
  <w:abstractNum w:abstractNumId="100">
    <w:nsid w:val="1CA0C5FA"/>
    <w:multiLevelType w:val="hybridMultilevel"/>
    <w:lvl w:ilvl="0">
      <w:lvlJc w:val="left"/>
      <w:lvlText w:val="%1."/>
      <w:numFmt w:val="decimal"/>
      <w:start w:val="8"/>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3"/>
    </w:lvl>
  </w:abstractNum>
  <w:abstractNum w:abstractNumId="103">
    <w:nsid w:val="7C58FD05"/>
    <w:multiLevelType w:val="hybridMultilevel"/>
    <w:lvl w:ilvl="0">
      <w:lvlJc w:val="left"/>
      <w:lvlText w:val="%1."/>
      <w:numFmt w:val="decimal"/>
      <w:start w:val="9"/>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6">
    <w:nsid w:val="5C10FE2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7">
    <w:nsid w:val="E7FFA2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08">
    <w:nsid w:val="3C5991AA"/>
    <w:multiLevelType w:val="hybridMultilevel"/>
    <w:lvl w:ilvl="0">
      <w:lvlJc w:val="left"/>
      <w:lvlText w:val="%1."/>
      <w:numFmt w:val="decimal"/>
      <w:start w:val="14"/>
    </w:lvl>
  </w:abstractNum>
  <w:abstractNum w:abstractNumId="109">
    <w:nsid w:val="4BD8591A"/>
    <w:multiLevelType w:val="hybridMultilevel"/>
    <w:lvl w:ilvl="0">
      <w:lvlJc w:val="left"/>
      <w:lvlText w:val="%1."/>
      <w:numFmt w:val="decimal"/>
      <w:start w:val="16"/>
    </w:lvl>
  </w:abstractNum>
  <w:abstractNum w:abstractNumId="110">
    <w:nsid w:val="78DF6A55"/>
    <w:multiLevelType w:val="hybridMultilevel"/>
    <w:lvl w:ilvl="0">
      <w:lvlJc w:val="left"/>
      <w:lvlText w:val="(%1)"/>
      <w:numFmt w:val="decimal"/>
      <w:start w:val="1"/>
    </w:lvl>
    <w:lvl w:ilvl="1">
      <w:lvlJc w:val="left"/>
      <w:lvlText w:val="%2."/>
      <w:numFmt w:val="decimal"/>
      <w:start w:val="17"/>
    </w:lvl>
  </w:abstractNum>
  <w:abstractNum w:abstractNumId="111">
    <w:nsid w:val="39B7AAA2"/>
    <w:multiLevelType w:val="hybridMultilevel"/>
    <w:lvl w:ilvl="0">
      <w:lvlJc w:val="left"/>
      <w:lvlText w:val="%1."/>
      <w:numFmt w:val="decimal"/>
      <w:start w:val="22"/>
    </w:lvl>
  </w:abstractNum>
  <w:abstractNum w:abstractNumId="112">
    <w:nsid w:val="2B0D8DBE"/>
    <w:multiLevelType w:val="hybridMultilevel"/>
    <w:lvl w:ilvl="0">
      <w:lvlJc w:val="left"/>
      <w:lvlText w:val="(%1)"/>
      <w:numFmt w:val="lowerRoman"/>
      <w:start w:val="2"/>
    </w:lvl>
  </w:abstractNum>
  <w:abstractNum w:abstractNumId="113">
    <w:nsid w:val="6C80EC70"/>
    <w:multiLevelType w:val="hybridMultilevel"/>
    <w:lvl w:ilvl="0">
      <w:lvlJc w:val="left"/>
      <w:lvlText w:val="(%1)"/>
      <w:numFmt w:val="lowerRoman"/>
      <w:start w:val="2"/>
    </w:lvl>
  </w:abstractNum>
  <w:abstractNum w:abstractNumId="114">
    <w:nsid w:val="379E21B5"/>
    <w:multiLevelType w:val="hybridMultilevel"/>
    <w:lvl w:ilvl="0">
      <w:lvlJc w:val="left"/>
      <w:lvlText w:val="(%1)"/>
      <w:numFmt w:val="lowerRoman"/>
      <w:start w:val="1"/>
    </w:lvl>
  </w:abstractNum>
  <w:abstractNum w:abstractNumId="115">
    <w:nsid w:val="69E373"/>
    <w:multiLevelType w:val="hybridMultilevel"/>
    <w:lvl w:ilvl="0">
      <w:lvlJc w:val="left"/>
      <w:lvlText w:val="(%1)"/>
      <w:numFmt w:val="lowerRoman"/>
      <w:start w:val="2"/>
    </w:lvl>
  </w:abstractNum>
  <w:abstractNum w:abstractNumId="116">
    <w:nsid w:val="2C27173B"/>
    <w:multiLevelType w:val="hybridMultilevel"/>
    <w:lvl w:ilvl="0">
      <w:lvlJc w:val="left"/>
      <w:lvlText w:val="(%1)"/>
      <w:numFmt w:val="lowerRoman"/>
      <w:start w:val="1"/>
    </w:lvl>
  </w:abstractNum>
  <w:abstractNum w:abstractNumId="117">
    <w:nsid w:val="4C9B0904"/>
    <w:multiLevelType w:val="hybridMultilevel"/>
    <w:lvl w:ilvl="0">
      <w:lvlJc w:val="left"/>
      <w:lvlText w:val="(%1)"/>
      <w:numFmt w:val="lowerRoman"/>
      <w:start w:val="3"/>
    </w:lvl>
  </w:abstractNum>
  <w:abstractNum w:abstractNumId="118">
    <w:nsid w:val="6AA7B75C"/>
    <w:multiLevelType w:val="hybridMultilevel"/>
    <w:lvl w:ilvl="0">
      <w:lvlJc w:val="left"/>
      <w:lvlText w:val="(%1)"/>
      <w:numFmt w:val="lowerRoman"/>
      <w:start w:val="1"/>
    </w:lvl>
  </w:abstractNum>
  <w:abstractNum w:abstractNumId="119">
    <w:nsid w:val="1DF029D3"/>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2019-12-05T15:36:15Z</dcterms:created>
  <dcterms:modified xsi:type="dcterms:W3CDTF">2019-12-05T15:36:15Z</dcterms:modified>
</cp:coreProperties>
</file>