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5"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QUARTERLY REPORT UNDER SECTION 13 OR 15(d)</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5"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2" w:right="1440" w:bottom="1440" w:gutter="0" w:footer="0" w:header="0"/>
        </w:sectPr>
      </w:pPr>
    </w:p>
    <w:p>
      <w:pPr>
        <w:spacing w:after="0" w:line="200" w:lineRule="exact"/>
        <w:rPr>
          <w:sz w:val="24"/>
          <w:szCs w:val="24"/>
          <w:color w:val="auto"/>
        </w:rPr>
      </w:pPr>
    </w:p>
    <w:p>
      <w:pPr>
        <w:spacing w:after="0" w:line="226" w:lineRule="exact"/>
        <w:rPr>
          <w:sz w:val="24"/>
          <w:szCs w:val="24"/>
          <w:color w:val="auto"/>
        </w:rPr>
      </w:pPr>
    </w:p>
    <w:p>
      <w:pPr>
        <w:jc w:val="center"/>
        <w:ind w:right="2020"/>
        <w:spacing w:after="0"/>
        <w:rPr>
          <w:sz w:val="20"/>
          <w:szCs w:val="20"/>
          <w:color w:val="auto"/>
        </w:rPr>
      </w:pPr>
      <w:r>
        <w:rPr>
          <w:rFonts w:ascii="Courier New" w:cs="Courier New" w:eastAsia="Courier New" w:hAnsi="Courier New"/>
          <w:sz w:val="16"/>
          <w:szCs w:val="16"/>
          <w:color w:val="auto"/>
        </w:rPr>
        <w:t>For the Quarter ended:</w:t>
      </w:r>
    </w:p>
    <w:p>
      <w:pPr>
        <w:spacing w:after="0" w:line="16" w:lineRule="exact"/>
        <w:rPr>
          <w:sz w:val="24"/>
          <w:szCs w:val="24"/>
          <w:color w:val="auto"/>
        </w:rPr>
      </w:pPr>
    </w:p>
    <w:p>
      <w:pPr>
        <w:jc w:val="center"/>
        <w:ind w:right="1800"/>
        <w:spacing w:after="0"/>
        <w:rPr>
          <w:sz w:val="20"/>
          <w:szCs w:val="20"/>
          <w:color w:val="auto"/>
        </w:rPr>
      </w:pPr>
      <w:r>
        <w:rPr>
          <w:rFonts w:ascii="Courier New" w:cs="Courier New" w:eastAsia="Courier New" w:hAnsi="Courier New"/>
          <w:sz w:val="18"/>
          <w:szCs w:val="18"/>
          <w:color w:val="auto"/>
        </w:rPr>
        <w:t>SEPTEMBER 30, 1996</w:t>
      </w:r>
    </w:p>
    <w:p>
      <w:pPr>
        <w:spacing w:after="0" w:line="4" w:lineRule="exact"/>
        <w:rPr>
          <w:sz w:val="24"/>
          <w:szCs w:val="24"/>
          <w:color w:val="auto"/>
        </w:rPr>
      </w:pPr>
    </w:p>
    <w:p>
      <w:pPr>
        <w:jc w:val="center"/>
        <w:ind w:right="18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ind w:left="740"/>
        <w:spacing w:after="0" w:line="238" w:lineRule="auto"/>
        <w:rPr>
          <w:sz w:val="20"/>
          <w:szCs w:val="20"/>
          <w:color w:val="auto"/>
        </w:rPr>
      </w:pPr>
      <w:r>
        <w:rPr>
          <w:rFonts w:ascii="Courier New" w:cs="Courier New" w:eastAsia="Courier New" w:hAnsi="Courier New"/>
          <w:sz w:val="18"/>
          <w:szCs w:val="18"/>
          <w:color w:val="auto"/>
        </w:rPr>
        <w:t>1-4601</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340" w:space="720"/>
            <w:col w:w="5159"/>
          </w:cols>
          <w:pgMar w:left="240" w:top="852"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296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144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right="1500" w:firstLine="632"/>
        <w:spacing w:after="0" w:line="237" w:lineRule="auto"/>
        <w:rPr>
          <w:sz w:val="20"/>
          <w:szCs w:val="20"/>
          <w:color w:val="auto"/>
        </w:rPr>
      </w:pPr>
      <w:r>
        <w:rPr>
          <w:rFonts w:ascii="Courier New" w:cs="Courier New" w:eastAsia="Courier New" w:hAnsi="Courier New"/>
          <w:sz w:val="18"/>
          <w:szCs w:val="18"/>
          <w:color w:val="auto"/>
        </w:rPr>
        <w:t>NETHERLANDS ANTILLES -------------------- (State or other jurisdiction 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52-0684746</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4880" w:space="720"/>
            <w:col w:w="4619"/>
          </w:cols>
          <w:pgMar w:left="240" w:top="852" w:right="1440" w:bottom="1440" w:gutter="0" w:footer="0" w:header="0"/>
          <w:type w:val="continuous"/>
        </w:sectPr>
      </w:pPr>
    </w:p>
    <w:p>
      <w:pPr>
        <w:spacing w:after="0" w:line="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277 PARK AVENUE</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NEW YORK, NEW YORK, U.S.A.</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10172</w:t>
      </w:r>
    </w:p>
    <w:p>
      <w:pPr>
        <w:spacing w:after="0" w:line="200" w:lineRule="exact"/>
        <w:rPr>
          <w:sz w:val="24"/>
          <w:szCs w:val="24"/>
          <w:color w:val="auto"/>
        </w:rPr>
      </w:pPr>
    </w:p>
    <w:p>
      <w:pPr>
        <w:sectPr>
          <w:pgSz w:w="11900" w:h="16838" w:orient="portrait"/>
          <w:cols w:equalWidth="0" w:num="2">
            <w:col w:w="5400" w:space="720"/>
            <w:col w:w="4099"/>
          </w:cols>
          <w:pgMar w:left="240" w:top="852" w:right="1440" w:bottom="1440" w:gutter="0" w:footer="0" w:header="0"/>
          <w:type w:val="continuous"/>
        </w:sectPr>
      </w:pPr>
    </w:p>
    <w:p>
      <w:pPr>
        <w:spacing w:after="0" w:line="2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42 RUE SAINT-DOMINIQUE</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PARIS, FRANCE</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6"/>
          <w:szCs w:val="16"/>
          <w:color w:val="auto"/>
        </w:rPr>
        <w:t>75007</w:t>
      </w:r>
    </w:p>
    <w:p>
      <w:pPr>
        <w:spacing w:after="0" w:line="216" w:lineRule="exact"/>
        <w:rPr>
          <w:sz w:val="24"/>
          <w:szCs w:val="24"/>
          <w:color w:val="auto"/>
        </w:rPr>
      </w:pPr>
    </w:p>
    <w:p>
      <w:pPr>
        <w:sectPr>
          <w:pgSz w:w="11900" w:h="16838" w:orient="portrait"/>
          <w:cols w:equalWidth="0" w:num="2">
            <w:col w:w="5400" w:space="720"/>
            <w:col w:w="4099"/>
          </w:cols>
          <w:pgMar w:left="240" w:top="852" w:right="1440" w:bottom="1440" w:gutter="0" w:footer="0" w:header="0"/>
          <w:type w:val="continuous"/>
        </w:sectPr>
      </w:pPr>
    </w:p>
    <w:p>
      <w:pPr>
        <w:spacing w:after="0" w:line="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LAAN VAN MEERDERVOORT 55</w:t>
      </w:r>
    </w:p>
    <w:p>
      <w:pPr>
        <w:ind w:left="320"/>
        <w:spacing w:after="0" w:line="238" w:lineRule="auto"/>
        <w:rPr>
          <w:sz w:val="20"/>
          <w:szCs w:val="20"/>
          <w:color w:val="auto"/>
        </w:rPr>
      </w:pPr>
      <w:r>
        <w:rPr>
          <w:rFonts w:ascii="Courier New" w:cs="Courier New" w:eastAsia="Courier New" w:hAnsi="Courier New"/>
          <w:sz w:val="18"/>
          <w:szCs w:val="18"/>
          <w:color w:val="auto"/>
        </w:rPr>
        <w:t>THE HAGUE,</w:t>
      </w:r>
    </w:p>
    <w:p>
      <w:pPr>
        <w:ind w:left="320"/>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(Addresses of principal executive</w:t>
      </w:r>
    </w:p>
    <w:p>
      <w:pPr>
        <w:ind w:left="640"/>
        <w:spacing w:after="0" w:line="238" w:lineRule="auto"/>
        <w:rPr>
          <w:sz w:val="20"/>
          <w:szCs w:val="20"/>
          <w:color w:val="auto"/>
        </w:rPr>
      </w:pPr>
      <w:r>
        <w:rPr>
          <w:rFonts w:ascii="Courier New" w:cs="Courier New" w:eastAsia="Courier New" w:hAnsi="Courier New"/>
          <w:sz w:val="18"/>
          <w:szCs w:val="18"/>
          <w:color w:val="auto"/>
        </w:rPr>
        <w:t>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2517 AG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Codes)</w:t>
      </w:r>
    </w:p>
    <w:p>
      <w:pPr>
        <w:spacing w:after="0" w:line="402" w:lineRule="exact"/>
        <w:rPr>
          <w:sz w:val="24"/>
          <w:szCs w:val="24"/>
          <w:color w:val="auto"/>
        </w:rPr>
      </w:pPr>
    </w:p>
    <w:p>
      <w:pPr>
        <w:sectPr>
          <w:pgSz w:w="11900" w:h="16838" w:orient="portrait"/>
          <w:cols w:equalWidth="0" w:num="2">
            <w:col w:w="5180" w:space="720"/>
            <w:col w:w="4319"/>
          </w:cols>
          <w:pgMar w:left="240" w:top="852"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Registrant's telephone number:</w:t>
      </w:r>
      <w:r>
        <w:rPr>
          <w:sz w:val="20"/>
          <w:szCs w:val="20"/>
          <w:color w:val="auto"/>
        </w:rPr>
        <w:tab/>
      </w:r>
      <w:r>
        <w:rPr>
          <w:rFonts w:ascii="Courier New" w:cs="Courier New" w:eastAsia="Courier New" w:hAnsi="Courier New"/>
          <w:sz w:val="16"/>
          <w:szCs w:val="16"/>
          <w:color w:val="auto"/>
        </w:rPr>
        <w:t>(212) 350-9400</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19"/>
          </w:cols>
          <w:pgMar w:left="240" w:top="852" w:right="1440" w:bottom="1440" w:gutter="0" w:footer="0" w:header="0"/>
          <w:type w:val="continuous"/>
        </w:sectPr>
      </w:pPr>
    </w:p>
    <w:p>
      <w:pPr>
        <w:spacing w:after="0" w:line="207"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20" w:lineRule="exact"/>
        <w:rPr>
          <w:sz w:val="24"/>
          <w:szCs w:val="24"/>
          <w:color w:val="auto"/>
        </w:rPr>
      </w:pPr>
    </w:p>
    <w:p>
      <w:pPr>
        <w:sectPr>
          <w:pgSz w:w="11900" w:h="16838" w:orient="portrait"/>
          <w:cols w:equalWidth="0" w:num="4">
            <w:col w:w="2000" w:space="440"/>
            <w:col w:w="2000" w:space="720"/>
            <w:col w:w="220" w:space="220"/>
            <w:col w:w="4619"/>
          </w:cols>
          <w:pgMar w:left="240" w:top="852"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2" w:right="1440" w:bottom="144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852" w:right="1440" w:bottom="1440" w:gutter="0" w:footer="0" w:header="0"/>
          <w:type w:val="continuous"/>
        </w:sectPr>
      </w:pP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Class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October 31, 1996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246,288,129</w:t>
      </w:r>
    </w:p>
    <w:p>
      <w:pPr>
        <w:sectPr>
          <w:pgSz w:w="11900" w:h="16838" w:orient="portrait"/>
          <w:cols w:equalWidth="0" w:num="2">
            <w:col w:w="3500" w:space="720"/>
            <w:col w:w="5999"/>
          </w:cols>
          <w:pgMar w:left="240" w:top="852"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PART I. FINANCIAL INFORMATION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 Financial Statements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SCHLUMBERGER LIMITED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77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CONSOLIDATED STATEMENT OF INCOME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gridSpan w:val="5"/>
          </w:tcPr>
          <w:p>
            <w:pPr>
              <w:jc w:val="right"/>
              <w:ind w:right="232"/>
              <w:spacing w:after="0"/>
              <w:rPr>
                <w:sz w:val="20"/>
                <w:szCs w:val="20"/>
                <w:color w:val="auto"/>
              </w:rPr>
            </w:pPr>
            <w:r>
              <w:rPr>
                <w:rFonts w:ascii="Courier New" w:cs="Courier New" w:eastAsia="Courier New" w:hAnsi="Courier New"/>
                <w:sz w:val="18"/>
                <w:szCs w:val="18"/>
                <w:color w:val="auto"/>
              </w:rPr>
              <w:t>Periods Ended September 30,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55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gridSpan w:val="3"/>
          </w:tcPr>
          <w:p>
            <w:pPr>
              <w:jc w:val="right"/>
              <w:ind w:right="812"/>
              <w:spacing w:after="0" w:line="203" w:lineRule="exact"/>
              <w:rPr>
                <w:sz w:val="20"/>
                <w:szCs w:val="20"/>
                <w:color w:val="auto"/>
              </w:rPr>
            </w:pPr>
            <w:r>
              <w:rPr>
                <w:rFonts w:ascii="Courier New" w:cs="Courier New" w:eastAsia="Courier New" w:hAnsi="Courier New"/>
                <w:sz w:val="18"/>
                <w:szCs w:val="18"/>
                <w:color w:val="auto"/>
              </w:rPr>
              <w:t>Third Quarter</w:t>
            </w:r>
          </w:p>
        </w:tc>
        <w:tc>
          <w:tcPr>
            <w:tcW w:w="160" w:type="dxa"/>
            <w:vAlign w:val="bottom"/>
          </w:tcPr>
          <w:p>
            <w:pPr>
              <w:spacing w:after="0"/>
              <w:rPr>
                <w:sz w:val="17"/>
                <w:szCs w:val="17"/>
                <w:color w:val="auto"/>
              </w:rPr>
            </w:pPr>
          </w:p>
        </w:tc>
        <w:tc>
          <w:tcPr>
            <w:tcW w:w="23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Nine Months</w:t>
            </w:r>
          </w:p>
        </w:tc>
      </w:tr>
      <w:tr>
        <w:trPr>
          <w:trHeight w:val="203"/>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1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740" w:type="dxa"/>
            <w:vAlign w:val="bottom"/>
          </w:tcPr>
          <w:p>
            <w:pPr>
              <w:spacing w:after="0"/>
              <w:rPr>
                <w:sz w:val="17"/>
                <w:szCs w:val="17"/>
                <w:color w:val="auto"/>
              </w:rPr>
            </w:pPr>
          </w:p>
        </w:tc>
        <w:tc>
          <w:tcPr>
            <w:tcW w:w="1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(DOLLARS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IN THOUSANDS)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$2,261,839</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$1,918,781</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$6,440,457</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$5,558,159</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other income</w:t>
            </w: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18,106</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22,295</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51,543</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68,354</w:t>
            </w:r>
          </w:p>
        </w:tc>
      </w:tr>
      <w:tr>
        <w:trPr>
          <w:trHeight w:val="203"/>
        </w:trPr>
        <w:tc>
          <w:tcPr>
            <w:tcW w:w="374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2,279,945</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1,941,076</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6,492,000</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5,626,513</w:t>
            </w:r>
          </w:p>
        </w:tc>
      </w:tr>
      <w:tr>
        <w:trPr>
          <w:trHeight w:val="203"/>
        </w:trPr>
        <w:tc>
          <w:tcPr>
            <w:tcW w:w="374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37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goods sold and services</w:t>
            </w: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1,751,739</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1,445,031</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4,933,339</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4,209,238</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&amp; engineering</w:t>
            </w: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111,218</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106,902</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336,757</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315,134</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Marketing</w:t>
            </w: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70,791</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70,289</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219,315</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205,640</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w:t>
            </w: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88,776</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83,814</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262,718</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257,903</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w:t>
            </w: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18,542</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20,764</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54,005</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62,762</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Unusual items</w:t>
            </w: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333,091</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333,091</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on income</w:t>
            </w:r>
          </w:p>
        </w:tc>
        <w:tc>
          <w:tcPr>
            <w:tcW w:w="4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(323,047)</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35,478</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(243,645)</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93,375</w:t>
            </w:r>
          </w:p>
        </w:tc>
      </w:tr>
      <w:tr>
        <w:trPr>
          <w:trHeight w:val="203"/>
        </w:trPr>
        <w:tc>
          <w:tcPr>
            <w:tcW w:w="374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2,051,110</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1,772,278</w:t>
            </w: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5,895,580</w:t>
            </w:r>
          </w:p>
        </w:tc>
        <w:tc>
          <w:tcPr>
            <w:tcW w:w="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5,144,052</w:t>
            </w:r>
          </w:p>
        </w:tc>
      </w:tr>
      <w:tr>
        <w:trPr>
          <w:trHeight w:val="203"/>
        </w:trPr>
        <w:tc>
          <w:tcPr>
            <w:tcW w:w="374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228,835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168,798</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596,420</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482,461</w:t>
            </w:r>
          </w:p>
        </w:tc>
      </w:tr>
      <w:tr>
        <w:trPr>
          <w:trHeight w:val="203"/>
        </w:trPr>
        <w:tc>
          <w:tcPr>
            <w:tcW w:w="374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0.93</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0.70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2.43</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2.00</w:t>
            </w:r>
          </w:p>
        </w:tc>
      </w:tr>
      <w:tr>
        <w:trPr>
          <w:trHeight w:val="203"/>
        </w:trPr>
        <w:tc>
          <w:tcPr>
            <w:tcW w:w="374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Avg. shares outstanding (thousands)</w:t>
            </w:r>
          </w:p>
        </w:tc>
        <w:tc>
          <w:tcPr>
            <w:tcW w:w="4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245,731</w:t>
            </w:r>
          </w:p>
        </w:tc>
        <w:tc>
          <w:tcPr>
            <w:tcW w:w="2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242,650</w:t>
            </w:r>
          </w:p>
        </w:tc>
        <w:tc>
          <w:tcPr>
            <w:tcW w:w="16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244,586</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242,196</w:t>
            </w:r>
          </w:p>
        </w:tc>
      </w:tr>
      <w:tr>
        <w:trPr>
          <w:trHeight w:val="203"/>
        </w:trPr>
        <w:tc>
          <w:tcPr>
            <w:tcW w:w="374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Dividends declared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0.375</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0.375</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1.125</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1.050</w:t>
            </w:r>
          </w:p>
        </w:tc>
      </w:tr>
      <w:tr>
        <w:trPr>
          <w:trHeight w:val="203"/>
        </w:trPr>
        <w:tc>
          <w:tcPr>
            <w:tcW w:w="3740" w:type="dxa"/>
            <w:vAlign w:val="bottom"/>
          </w:tcPr>
          <w:p>
            <w:pPr>
              <w:spacing w:after="0"/>
              <w:rPr>
                <w:sz w:val="17"/>
                <w:szCs w:val="17"/>
                <w:color w:val="auto"/>
              </w:rPr>
            </w:pP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SCHLUMBERGER LIMITED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(Schlumberger N.V., Incorporated in the Netherlands Antilles)</w:t>
      </w:r>
    </w:p>
    <w:tbl>
      <w:tblPr>
        <w:tblLayout w:type="fixed"/>
        <w:tblInd w:w="0" w:type="dxa"/>
        <w:tblCellMar>
          <w:top w:w="0" w:type="dxa"/>
          <w:left w:w="0" w:type="dxa"/>
          <w:bottom w:w="0" w:type="dxa"/>
          <w:right w:w="0" w:type="dxa"/>
        </w:tblCellMar>
      </w:tblPr>
      <w:tr>
        <w:trPr>
          <w:trHeight w:val="202"/>
        </w:trPr>
        <w:tc>
          <w:tcPr>
            <w:tcW w:w="5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and Subsidiary Companies</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5480" w:type="dxa"/>
            <w:vAlign w:val="bottom"/>
          </w:tcPr>
          <w:p>
            <w:pPr>
              <w:jc w:val="right"/>
              <w:spacing w:after="0"/>
              <w:rPr>
                <w:sz w:val="20"/>
                <w:szCs w:val="20"/>
                <w:color w:val="auto"/>
              </w:rPr>
            </w:pPr>
            <w:r>
              <w:rPr>
                <w:rFonts w:ascii="Courier New" w:cs="Courier New" w:eastAsia="Courier New" w:hAnsi="Courier New"/>
                <w:sz w:val="18"/>
                <w:szCs w:val="18"/>
                <w:color w:val="auto"/>
              </w:rPr>
              <w:t>CONSOLIDATED BALANCE SHEET</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48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(Unaudited)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8"/>
        </w:trPr>
        <w:tc>
          <w:tcPr>
            <w:tcW w:w="548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Sept. 30,</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4"/>
                <w:szCs w:val="24"/>
                <w:color w:val="auto"/>
              </w:rPr>
            </w:pPr>
          </w:p>
        </w:tc>
        <w:tc>
          <w:tcPr>
            <w:tcW w:w="27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(Dollars in thousands)</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short-term investments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$ 1,220,614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$1,120,533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 accounts</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(1996 - $53,297; 1995 - $58,246)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2,180,433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1,939,873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934,550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782,168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on income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196,230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216,196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181,129</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4,748,023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4,023,703</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LONG-TERM INVESTMENTS, HELD TO MATURITY</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244,861</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279,950</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9,446,086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9,108,107</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(6,244,784)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(5,989,649)</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3,201,302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3,118,458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INVESTMENT OVER NET ASSETS OF</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COMPANIES PURCHASED, less amortization</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1,176,300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1,330,490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ON INCOME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226,959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175,294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157,499</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$ 9,772,739</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$ 8,910,100</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LIABILITIES &amp; STOCKHOLDERS' EQUITY</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$ 2,048,448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$ 1,773,605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liability for taxes on income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338,126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299,841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loans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589,364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515,703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payable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92,573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91,706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due within one year</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95,910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83,417</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3,164,421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2,764,272</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613,613</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613,404</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378,226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354,830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193,924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213,577</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4,350,184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3,946,083</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805,589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737,328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retained for use in the business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6,975,122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6,654,072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(2,341,056)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(2,414,577)</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(12,806)</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5,422,555</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4,964,017</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$ 9,772,739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$ 8,910,100</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notes to consolidated financial statements</w:t>
      </w:r>
    </w:p>
    <w:p>
      <w:pPr>
        <w:sectPr>
          <w:pgSz w:w="11900" w:h="16838" w:orient="portrait"/>
          <w:cols w:equalWidth="0" w:num="1">
            <w:col w:w="10219"/>
          </w:cols>
          <w:pgMar w:left="240" w:top="717" w:right="1440" w:bottom="0" w:gutter="0" w:footer="0" w:header="0"/>
        </w:sectPr>
      </w:pPr>
    </w:p>
    <w:bookmarkStart w:id="3" w:name="page4"/>
    <w:bookmarkEnd w:id="3"/>
    <w:p>
      <w:pPr>
        <w:ind w:left="2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SCHLUMBERGER LIMITED</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97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 OF CASH FLOWS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(Dollars in thousands)</w:t>
            </w:r>
          </w:p>
        </w:tc>
      </w:tr>
      <w:tr>
        <w:trPr>
          <w:trHeight w:val="608"/>
        </w:trPr>
        <w:tc>
          <w:tcPr>
            <w:tcW w:w="5380" w:type="dxa"/>
            <w:vAlign w:val="bottom"/>
          </w:tcPr>
          <w:p>
            <w:pPr>
              <w:spacing w:after="0"/>
              <w:rPr>
                <w:sz w:val="24"/>
                <w:szCs w:val="24"/>
                <w:color w:val="auto"/>
              </w:rPr>
            </w:pPr>
          </w:p>
        </w:tc>
        <w:tc>
          <w:tcPr>
            <w:tcW w:w="25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380" w:type="dxa"/>
            <w:vAlign w:val="bottom"/>
          </w:tcPr>
          <w:p>
            <w:pPr>
              <w:spacing w:after="0"/>
              <w:rPr>
                <w:sz w:val="17"/>
                <w:szCs w:val="17"/>
                <w:color w:val="auto"/>
              </w:rPr>
            </w:pPr>
          </w:p>
        </w:tc>
        <w:tc>
          <w:tcPr>
            <w:tcW w:w="2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380" w:type="dxa"/>
            <w:vAlign w:val="bottom"/>
          </w:tcPr>
          <w:p>
            <w:pPr>
              <w:spacing w:after="0"/>
              <w:rPr>
                <w:sz w:val="17"/>
                <w:szCs w:val="17"/>
                <w:color w:val="auto"/>
              </w:rPr>
            </w:pP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$ 596,420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$ 482,461</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660,701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610,888</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of companies carried at equity,</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dividends received (Dividends: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1996 - $304 ; 1995 - $0)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2,847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(7,656)</w:t>
            </w: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Provision for losses on accounts receivable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16,460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9,055</w:t>
            </w: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adjustments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(2,398)</w:t>
            </w: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 in operating assets and liabilities: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(268,831)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(47,738)</w:t>
            </w: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(160,523)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(99,115)</w:t>
            </w: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(decrease) in accounts payable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and accrued liabilities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38,898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(96,663)</w:t>
            </w: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in estimated liability</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for taxes on 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8,827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8,665</w:t>
            </w: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 net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(59,170)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(55,986)</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831,965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801,513</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fixed assets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(768,236)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(645,937)</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Sales/retirements of fixed assets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65,774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42,501</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investments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(42,174)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108,407</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purchase of businesses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(34,263)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(87,167)</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24,368</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(782,195)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(557,828)</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(274,346)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(236,178)</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stock options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102,833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24,747</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employee stock purchase plan</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38,949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36,166</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treasury shares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(40,552)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129,472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176,750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 principal on long-term debt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(99,855)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(150,388)</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increase (decrease) in short-term debt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76,794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(60,666)</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(26,153)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(250,121)</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23,617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(6,436)</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beginning of period</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72,515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57,671</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end of period</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96,132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51,235</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notes to consolidated financial statements</w:t>
      </w:r>
    </w:p>
    <w:p>
      <w:pPr>
        <w:sectPr>
          <w:pgSz w:w="11900" w:h="16838" w:orient="portrait"/>
          <w:cols w:equalWidth="0" w:num="1">
            <w:col w:w="10219"/>
          </w:cols>
          <w:pgMar w:left="240" w:top="717" w:right="1440" w:bottom="0" w:gutter="0" w:footer="0" w:header="0"/>
        </w:sectPr>
      </w:pPr>
    </w:p>
    <w:bookmarkStart w:id="5" w:name="page6"/>
    <w:bookmarkEnd w:id="5"/>
    <w:p>
      <w:pPr>
        <w:ind w:left="2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6" w:name="page7"/>
    <w:bookmarkEnd w:id="6"/>
    <w:p>
      <w:pPr>
        <w:ind w:left="3060"/>
        <w:spacing w:after="0"/>
        <w:rPr>
          <w:sz w:val="20"/>
          <w:szCs w:val="20"/>
          <w:color w:val="auto"/>
        </w:rPr>
      </w:pPr>
      <w:r>
        <w:rPr>
          <w:rFonts w:ascii="Courier New" w:cs="Courier New" w:eastAsia="Courier New" w:hAnsi="Courier New"/>
          <w:sz w:val="18"/>
          <w:szCs w:val="18"/>
          <w:color w:val="auto"/>
        </w:rPr>
        <w:t>SCHLUMBERGER LIMITED</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99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CONSOLIDATED FINANCIAL STATEMENTS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1995 Annual Report. These policies have been consistently applied during the interim period presented in this report. The results of operations for the three and nine month periods ended September 30, 1996 are not necessarily indicative of the results of operations that may be expected for the entire year.</w:t>
      </w:r>
    </w:p>
    <w:p>
      <w:pPr>
        <w:spacing w:after="0" w:line="212"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In the third quarter, the Company recorded three unusual items which virtually offset each other and which are more fully explained in the following notes on "Unusual Items" and "Income Tax Expense".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UNUSUAL ITEMS: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announced a charge of $300 million after tax in the third quarter related primarily to the Electricity &amp; Gas and Geco-Prakla Land and Transition Zone businesses. During the quarter, the Electricity and Gas Management product lines were combined into a single business in response to the huge market and technology changes occurring in the energy supply sector. This combination will result in lower headcount, fewer manufacturing facilities and products. At Geco-Prakla, although the Land and Transition Zone businesses have improved, they are still in a loss position and accordingly, require radical changes in organization and structure, and the write-off of Land goodwill. The after tax charge of $300 million includes pre-tax charges of $112 million for severance and termination costs, other facilities' closure costs of $39 million, goodwill write-offs of $122 million, and other asset impairments/charges of $60 million.</w:t>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severance and termination costs relate to less than 5% of the worldwide workforce primarily in Europe and pertain to both manufacturing and operating personnel in about thirty locations. Most of the other facilities closure costs relate to the write down of buildings, equipment and other assets to net realizable value.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the Company recorded a charge of $58 million after tax, including a loss on the divestiture of the remaining defense-related activity, certain asset impairments and other charges. The amount is classified in cost of goods sold and services ($47 million) and taxes on income ($11 million).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 EXPENSE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 increasing profitability and strong outlook in the US, the Company recognized 50% of the US income tax benefit related to its US subsidiary's tax loss carryforward and all temporary differences as of July 1, 1996. This resulted in a credit of $360 million.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7" w:name="page8"/>
    <w:bookmarkEnd w:id="7"/>
    <w:p>
      <w:pPr>
        <w:ind w:right="2519"/>
        <w:spacing w:after="0" w:line="235" w:lineRule="auto"/>
        <w:rPr>
          <w:sz w:val="20"/>
          <w:szCs w:val="20"/>
          <w:color w:val="auto"/>
        </w:rPr>
      </w:pPr>
      <w:r>
        <w:rPr>
          <w:rFonts w:ascii="Courier New" w:cs="Courier New" w:eastAsia="Courier New" w:hAnsi="Courier New"/>
          <w:sz w:val="18"/>
          <w:szCs w:val="18"/>
          <w:color w:val="auto"/>
        </w:rPr>
        <w:t>At September 30, 1996, US deferred income taxes were $381 million and the valuation allowance was $63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and its subsidiaries operate in over 100 taxing jurisdictions.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US consolidated group has a net operating loss carryforward at September 30, 1996 of $356 million ($420 million at June 30, 1996) and net deductible temporary differences of $746 million (about the same as June 30, 1996). Significant temporary differences pertain to postretirement medical benefits, fixed assets and environmental remediation projects. Most of the tax loss carryforward will expire in the years 2002 - 2003.</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normal recurring provision for income taxes in the quarter was $59 million; effective tax rate was 21%.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accrued. However, in the opinion of management, such additional costs are not expected to be material relative to consolidated liquidity, financial position or future 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 case in Texas involving the validity of a 1988 settlement and release in connection with an incidental business venture, the trial court, in 1993, rendered a judgment notwithstanding the verdict of the jury, exonerating Schlumberger from any liability. In late 1994, a Texas Court of Appeals reversed the trial court judgment and reinstated the jury award of about $75 million against Schlumberger. The Texas Supreme Court granted the Schlumberger motion to hear the case. Oral argument was held before the Texas Supreme Court on October 11, 1995. Schlumberger and outside counsel believe the decision of the trial court was correct. Consequently, no provision has been made in the consolidated financial statements for this matter.</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1996, in a case involving a $3 million contract dispute, the trial court in Johnson County, Texas, entered judgment on jury findings adverse to Schlumberger for $23 million in damages, which has been doubled, plus attorney's fees and interest. The Company and its outside counsel believe the findings and the judgment are not supported by the evidence and law, and will appeal. Accordingly, no provision has been made in the accompanying financial statement for this matter.</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Operations.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Third Quarter 1996 Compared to Third Quarter 1995</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Third quarter net income of $229 million and earnings per share of $0.93 were 36% and 33% higher, respectively, than the same period last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revenue of $2.26 billion was 18% above third quarter 1995.</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Oilfield Services posted a 28% increase in revenue as rig count worldwide rose 9%. All businesses contributed to the 68% growth in operating income.</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Measurement &amp; Systems revenue decreased 1% compared to the same period last year, as gains in Electronic Transactions were offset by a decline in the Metering business and Automatic Test Equipment.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the third quarter, the Company recorded the following three unusual items which virtually offset each other:</w:t>
      </w:r>
    </w:p>
    <w:p>
      <w:pPr>
        <w:spacing w:after="0" w:line="208" w:lineRule="exact"/>
        <w:rPr>
          <w:sz w:val="20"/>
          <w:szCs w:val="20"/>
          <w:color w:val="auto"/>
        </w:rPr>
      </w:pPr>
    </w:p>
    <w:p>
      <w:pPr>
        <w:ind w:left="320" w:right="1999" w:hanging="207"/>
        <w:spacing w:after="0" w:line="235" w:lineRule="auto"/>
        <w:tabs>
          <w:tab w:leader="none" w:pos="4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credit of $360 million related to the recognition of a portion of the US tax loss carryforward and all temporary differences.</w:t>
      </w:r>
    </w:p>
    <w:p>
      <w:pPr>
        <w:spacing w:after="0" w:line="6" w:lineRule="exact"/>
        <w:rPr>
          <w:sz w:val="20"/>
          <w:szCs w:val="20"/>
          <w:color w:val="auto"/>
        </w:rPr>
      </w:pPr>
    </w:p>
    <w:p>
      <w:pPr>
        <w:ind w:left="320" w:right="3999" w:hanging="207"/>
        <w:spacing w:after="0" w:line="235" w:lineRule="auto"/>
        <w:tabs>
          <w:tab w:leader="none" w:pos="4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charge of $300 million after tax primarily related to Electricity &amp; Gas and Geco-Prakla.</w:t>
      </w:r>
    </w:p>
    <w:p>
      <w:pPr>
        <w:spacing w:after="0" w:line="6" w:lineRule="exact"/>
        <w:rPr>
          <w:sz w:val="20"/>
          <w:szCs w:val="20"/>
          <w:color w:val="auto"/>
        </w:rPr>
      </w:pPr>
    </w:p>
    <w:p>
      <w:pPr>
        <w:ind w:left="320" w:right="1779" w:hanging="207"/>
        <w:spacing w:after="0" w:line="236" w:lineRule="auto"/>
        <w:tabs>
          <w:tab w:leader="none" w:pos="4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charge of $58 million after tax including a loss on the divestiture of the remaining defense-related activity, certain asset impairments, and other charges.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BUSINESS REVIEW</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(Stated in</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millions)</w:t>
            </w:r>
          </w:p>
        </w:tc>
      </w:tr>
      <w:tr>
        <w:trPr>
          <w:trHeight w:val="405"/>
        </w:trPr>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4"/>
          </w:tcPr>
          <w:p>
            <w:pPr>
              <w:ind w:left="360"/>
              <w:spacing w:after="0"/>
              <w:rPr>
                <w:sz w:val="20"/>
                <w:szCs w:val="20"/>
                <w:color w:val="auto"/>
              </w:rPr>
            </w:pPr>
            <w:r>
              <w:rPr>
                <w:rFonts w:ascii="Courier New" w:cs="Courier New" w:eastAsia="Courier New" w:hAnsi="Courier New"/>
                <w:sz w:val="18"/>
                <w:szCs w:val="18"/>
                <w:color w:val="auto"/>
              </w:rPr>
              <w:t>Oilfield Services</w:t>
            </w:r>
          </w:p>
        </w:tc>
        <w:tc>
          <w:tcPr>
            <w:tcW w:w="160" w:type="dxa"/>
            <w:vAlign w:val="bottom"/>
          </w:tcPr>
          <w:p>
            <w:pPr>
              <w:spacing w:after="0"/>
              <w:rPr>
                <w:sz w:val="24"/>
                <w:szCs w:val="24"/>
                <w:color w:val="auto"/>
              </w:rPr>
            </w:pPr>
          </w:p>
        </w:tc>
        <w:tc>
          <w:tcPr>
            <w:tcW w:w="242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w w:val="96"/>
              </w:rPr>
              <w:t>Measurement &amp; Systems</w:t>
            </w: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24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260" w:type="dxa"/>
            <w:vAlign w:val="bottom"/>
          </w:tcPr>
          <w:p>
            <w:pPr>
              <w:spacing w:after="0"/>
              <w:rPr>
                <w:sz w:val="17"/>
                <w:szCs w:val="17"/>
                <w:color w:val="auto"/>
              </w:rPr>
            </w:pP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20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change</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change</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0" w:type="dxa"/>
            <w:vAlign w:val="bottom"/>
          </w:tcPr>
          <w:p>
            <w:pPr>
              <w:spacing w:after="0"/>
              <w:rPr>
                <w:sz w:val="17"/>
                <w:szCs w:val="17"/>
                <w:color w:val="auto"/>
              </w:rPr>
            </w:pP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1,606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1,256</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657</w:t>
            </w:r>
          </w:p>
        </w:tc>
        <w:tc>
          <w:tcPr>
            <w:tcW w:w="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289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172</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c>
          <w:tcPr>
            <w:tcW w:w="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r>
    </w:tbl>
    <w:p>
      <w:pPr>
        <w:spacing w:after="0" w:line="207" w:lineRule="exact"/>
        <w:rPr>
          <w:sz w:val="20"/>
          <w:szCs w:val="20"/>
          <w:color w:val="auto"/>
        </w:rPr>
      </w:pPr>
    </w:p>
    <w:p>
      <w:pPr>
        <w:ind w:left="540" w:right="2839" w:hanging="427"/>
        <w:spacing w:after="0" w:line="290"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represents income before income taxes, excluding interest expense, interest and other income and unusual items.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OILFIELD SERVICES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Operating revenue for Oilfield Services was 28% above last year. Overall, this growth results from a significant increase in our rigless activities, rapid growth in new services such as PLATFORM EXPRESS*, a jump in offshore rig dayrates and the notable contribution of our Marine seismic business. Operating income increased 68%.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America</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North America, revenue was up 26%, and represented 19% of consolidated revenue. The most notable increases were from Dowell and Geco-Prakla, which were up 24% and 54%, respectively. Operating income rose $35 million. Activity in the Gulf of Mexico continued at a high pace and significantly contributed to results. Rig count increased 12% for the quarter.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Outside North America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Outside North America, where the rig count rose 6%, revenue was up 29%, and represented 53% of consolidated revenue. Operating income rose $87 million. All businesses achieved strong growth, most significantly Geco-Prakla, Sedco Forex and GeoQuest with revenue increases of 48%, 47%, and 40%, respectively. Most geographic areas exhibited strength, with exceptionally strong activity coming from West Africa, the North Sea, Latin America and Asia.</w:t>
      </w:r>
    </w:p>
    <w:p>
      <w:pPr>
        <w:spacing w:after="0" w:line="200" w:lineRule="exact"/>
        <w:rPr>
          <w:sz w:val="20"/>
          <w:szCs w:val="20"/>
          <w:color w:val="auto"/>
        </w:rPr>
      </w:pPr>
    </w:p>
    <w:p>
      <w:pPr>
        <w:spacing w:after="0" w:line="212" w:lineRule="exact"/>
        <w:rPr>
          <w:sz w:val="20"/>
          <w:szCs w:val="20"/>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On September 16, 1996, Schlumberger and Baker Hughes Incorporated signed a letter of intent calling for the establishment of strategic alliances between several of their product lines. These agreements will enhance product offerings and improve respective access to necessary complementary technology. They will also accelerate the development of new products and services in the field of intelligent completion systems.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third quarter, oil and gas companies continued efforts to lower their finding costs by relying on technology for cost-effective solutions. This trend was confirmed by our customers' desire to exploit complex deviated wells, including horizontal, reentry and extended-reach wells. Logging-while-drilling (LWD) technologies and measurements-while-drilling (MWD) services were extensively used to provide solutions in these wellbores. For the quarter, LWD and MWD continued their remarkable progression with increases of 71% and 37%, respectively. In Argentina, a PowerPak* steerable motor and PowerPulse* MWD telemetry tool established a world record for footage drilled in a single run by drilling 15,446 feet in 12 1/4 inch hole, surpassing the old record by 2,277 feet.</w:t>
      </w:r>
    </w:p>
    <w:p>
      <w:pPr>
        <w:spacing w:after="0" w:line="21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 order to effectively maximize the production from horizontal wells, large sections of wellbore need to be perforated underbalanced (in underbalanced perforating the wellbore fluid pressure is kept below the formation pressure). Among other benefits, this procedure reduces formation damage while perforating, increasing the productivity of each well. From a customer-driven effort, a specially-designed FIV* Formation Isolation Valve tool was developed by Wireline</w:t>
      </w:r>
    </w:p>
    <w:p>
      <w:pPr>
        <w:spacing w:after="0" w:line="1" w:lineRule="exact"/>
        <w:rPr>
          <w:sz w:val="20"/>
          <w:szCs w:val="20"/>
          <w:color w:val="auto"/>
        </w:rPr>
      </w:pPr>
    </w:p>
    <w:p>
      <w:pPr>
        <w:jc w:val="both"/>
        <w:ind w:right="2099" w:firstLine="8"/>
        <w:spacing w:after="0" w:line="237"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Testing to efficiently improve both operational safety and production after underbalanced perforating is performed. In recognition of its contribution to the safety of operations, FIV technology was recently awarded the 1996 Euroil Safety Technology Award.</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use of advanced software technology, coupled with the ability to easily locate and manipulate immense amounts of stored data, is essential in reducing finding costs and maximizing reservoir production. The commercialization of the CADE Office* suite of PC-based computer-aided design, execution and evaluation software products commenced. These user-friendly engineering programs, tailored to optimize each well, will be jointly marketed by Dowell and GeoQuest, exemplifying our ability to integrate services.</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GeoQuest, which had a 67% increase in Software Products sales, released significant new versions of its GeoFrame-based products including various geological interpretation packages. IT and Data Management services soared 79% above last year with strong contributions from North America, Africa/Mediterranean, the Middle East and Latin America.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0" w:name="page11"/>
    <w:bookmarkEnd w:id="10"/>
    <w:p>
      <w:pPr>
        <w:ind w:right="1879"/>
        <w:spacing w:after="0" w:line="237" w:lineRule="auto"/>
        <w:rPr>
          <w:sz w:val="20"/>
          <w:szCs w:val="20"/>
          <w:color w:val="auto"/>
        </w:rPr>
      </w:pPr>
      <w:r>
        <w:rPr>
          <w:rFonts w:ascii="Courier New" w:cs="Courier New" w:eastAsia="Courier New" w:hAnsi="Courier New"/>
          <w:sz w:val="18"/>
          <w:szCs w:val="18"/>
          <w:color w:val="auto"/>
        </w:rPr>
        <w:t>During the quarter, the Marine Seismic division of Geco-Prakla continued its success based on strong activity, favorable weather conditions, efficiencies generated by the Monowing* multistreamer towing technology and the Trilogy* onboard data management system. Ten Marine vessels have successfully surveyed with six-streamer/dual source configurations. Aided by further introduction of the new-generation Olympus-IMS* field</w:t>
      </w:r>
    </w:p>
    <w:p>
      <w:pPr>
        <w:spacing w:after="0" w:line="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information management system, productivity has improved in Land seismic, mainly in the Middle East and Africa.</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Strong demand for offshore rigs continued during the quarter. Sedco Forex experienced increases in its dayrates, rig utilization and fleet size. The offshore rig utilization rate increased from 89% to 96%, driven by 100% and 96% utilization rates for jack-ups and semi-submersibles, respectively. Land rig utilization improved from 37% to 56%. With 50 offshore rigs and 33 land rigs, the fleet count was 83 at quarter-end, including 11 rigs which are either under charter or management contract.</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Customers' desire to outsource and use integrated services continued to accelerate. Due to our broad coverage of services and ability to manage complex integrated oilfield projects, Integrated Project Management (IPM) activities have expanded significantly. IPM currently supervises the operations of 32 drilling rigs.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MEASUREMENT &amp; SYSTEMS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Measurement &amp; Systems revenue was down 1% from last year, as strong growth at Electronic Transactions and Systems &amp; Services was more than offset by Electricity &amp; Gas Metering and soft market conditions at ATE. Orders were 8% higher reflecting robust growth at Electronic Transactions and improvement in our Metering business.</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Operating income declined 45% from last year due to weak pricing conditions in the European metering business and a postponement of product deliveries to our ATE customers.</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the third quarter, Electronic Transactions revenue was up 16% from the same period last year, reflecting strong card growth, in particular for subscriber identity module (SIM) cards in Asia and increased shipments of token cards for payphone applications in Europe and Mexico. Orders increased 20%, reflecting strong card demand. ATE revenue decreased 22% reflecting delays in capital spending by customers. Orders deteriorated 19% from the same period last year primarily due to the slowdown in semiconductor capital equipment spending in North America and Asia. Revenue in the Metering business was flat. Gains in Electricity &amp; Gas North America and South Africa were offset by decreasing volumes and prices in Germany. Water Management experienced strong growth in South America along with improved demand in Canada and Mexico. In the US, significant sales of large industrial meters along with higher services activity more than offset a slowdown of automatic meter reading projects. Metering orders were up 7%. Systems &amp; Services revenue increased 14% from the same period last year. Systems activity in North America increased significantly on higher deliveries to electric utilities, including HydroQuebec. Service activities grew strongly, most significantly in Europe. Orders increased 13%.</w:t>
      </w:r>
    </w:p>
    <w:p>
      <w:pPr>
        <w:spacing w:after="0" w:line="200" w:lineRule="exact"/>
        <w:rPr>
          <w:sz w:val="20"/>
          <w:szCs w:val="20"/>
          <w:color w:val="auto"/>
        </w:rPr>
      </w:pPr>
    </w:p>
    <w:p>
      <w:pPr>
        <w:spacing w:after="0" w:line="39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Interest and other income decreased $4 million from the third quarter of 1995 primarily due to lower investment balances as well as lower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investment returns. Gross margin, excluding the unusual items, of 24.6% was up compared with 24.2% of the same quarter last year. Research and engineering expense increased 4% from last year but decreased to 4.9% of operating revenue from 5.6% in 1995. Marketing expense was up 1% but decreased to 3.1% of operating revenue from 3.7% in 1995. General expense, expressed as a percentage of operating revenue, decreased from 4.4% to 3.9%. Interest expense decreased $2 million from the third quarter last year due to sharply lower average borrowing rates. The effective tax rate, excluding unusual items, rose to 21% compared to 17% last year due to the recording of a US tax provision following the recognition of the tax loss carryforward.</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2" w:name="page13"/>
    <w:bookmarkEnd w:id="12"/>
    <w:p>
      <w:pPr>
        <w:ind w:left="1160"/>
        <w:spacing w:after="0"/>
        <w:rPr>
          <w:sz w:val="20"/>
          <w:szCs w:val="20"/>
          <w:color w:val="auto"/>
        </w:rPr>
      </w:pPr>
      <w:r>
        <w:rPr>
          <w:rFonts w:ascii="Courier New" w:cs="Courier New" w:eastAsia="Courier New" w:hAnsi="Courier New"/>
          <w:sz w:val="18"/>
          <w:szCs w:val="18"/>
          <w:color w:val="auto"/>
        </w:rPr>
        <w:t>First Nine Months 1996 Compared to First Nine Months 1995</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Income for the first nine months of $596 million and earnings per share of $2.43 were 24% and 22% higher, respectively, than the same period last year.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revenue for the first nine months was $6.44 billion, up 16% from 1995.</w:t>
      </w: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Oilfield Services posted a 24% increase in revenue as rig count worldwide rose 6%. All businesses contributed to the 44% growth in operating income.</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Measurement &amp; Systems revenue increased 2% compared to the same period last year, as gains in Electronic Transactions were offset by a decline in the Metering business and Automatic Test Equipment.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the third quarter, the Company recorded the following three unusual items which virtually offset each other:</w:t>
      </w:r>
    </w:p>
    <w:p>
      <w:pPr>
        <w:spacing w:after="0" w:line="208" w:lineRule="exact"/>
        <w:rPr>
          <w:sz w:val="20"/>
          <w:szCs w:val="20"/>
          <w:color w:val="auto"/>
        </w:rPr>
      </w:pPr>
    </w:p>
    <w:p>
      <w:pPr>
        <w:ind w:left="320" w:right="1999" w:hanging="207"/>
        <w:spacing w:after="0" w:line="235" w:lineRule="auto"/>
        <w:tabs>
          <w:tab w:leader="none" w:pos="4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credit of $360 million related to the recognition of a portion of the US tax loss carryforward and all temporary differences.</w:t>
      </w: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charge of $300 million after tax primarily related to Electricity &amp;</w:t>
      </w:r>
    </w:p>
    <w:p>
      <w:pPr>
        <w:spacing w:after="0" w:line="207" w:lineRule="exact"/>
        <w:rPr>
          <w:sz w:val="20"/>
          <w:szCs w:val="20"/>
          <w:color w:val="auto"/>
        </w:rPr>
      </w:pPr>
    </w:p>
    <w:p>
      <w:pPr>
        <w:ind w:left="320" w:right="1779" w:hanging="207"/>
        <w:spacing w:after="0" w:line="236" w:lineRule="auto"/>
        <w:tabs>
          <w:tab w:leader="none" w:pos="4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charge of $58 million after tax including a loss on the divestiture of the remaining defense-related activity, certain asset impairments, and other charges.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BUSINESS REVIEW</w:t>
      </w:r>
    </w:p>
    <w:p>
      <w:pPr>
        <w:ind w:left="4860"/>
        <w:spacing w:after="0" w:line="238" w:lineRule="auto"/>
        <w:rPr>
          <w:sz w:val="20"/>
          <w:szCs w:val="20"/>
          <w:color w:val="auto"/>
        </w:rPr>
      </w:pPr>
      <w:r>
        <w:rPr>
          <w:rFonts w:ascii="Courier New" w:cs="Courier New" w:eastAsia="Courier New" w:hAnsi="Courier New"/>
          <w:sz w:val="18"/>
          <w:szCs w:val="18"/>
          <w:color w:val="auto"/>
        </w:rPr>
        <w:t>(Stated in millions)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Nine Months - ----------- Operating Revenue Operating Income(1)</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20"/>
        <w:spacing w:after="0"/>
        <w:tabs>
          <w:tab w:leader="none" w:pos="2940" w:val="left"/>
        </w:tabs>
        <w:rPr>
          <w:sz w:val="20"/>
          <w:szCs w:val="20"/>
          <w:color w:val="auto"/>
        </w:rPr>
      </w:pPr>
      <w:r>
        <w:rPr>
          <w:rFonts w:ascii="Courier New" w:cs="Courier New" w:eastAsia="Courier New" w:hAnsi="Courier New"/>
          <w:sz w:val="18"/>
          <w:szCs w:val="18"/>
          <w:color w:val="auto"/>
        </w:rPr>
        <w:t>Oilfield Services</w:t>
      </w:r>
      <w:r>
        <w:rPr>
          <w:sz w:val="20"/>
          <w:szCs w:val="20"/>
          <w:color w:val="auto"/>
        </w:rPr>
        <w:tab/>
      </w:r>
      <w:r>
        <w:rPr>
          <w:rFonts w:ascii="Courier New" w:cs="Courier New" w:eastAsia="Courier New" w:hAnsi="Courier New"/>
          <w:sz w:val="16"/>
          <w:szCs w:val="16"/>
          <w:color w:val="auto"/>
        </w:rPr>
        <w:t>Measurement &amp; Systems</w:t>
      </w:r>
    </w:p>
    <w:p>
      <w:pPr>
        <w:ind w:left="220"/>
        <w:spacing w:after="0" w:line="238" w:lineRule="auto"/>
        <w:tabs>
          <w:tab w:leader="none" w:pos="2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20"/>
        <w:spacing w:after="0"/>
        <w:tabs>
          <w:tab w:leader="none" w:pos="1240" w:val="left"/>
          <w:tab w:leader="none" w:pos="3040" w:val="left"/>
          <w:tab w:leader="none" w:pos="388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1995 % change</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1995 % change</w:t>
      </w:r>
    </w:p>
    <w:p>
      <w:pPr>
        <w:ind w:left="540"/>
        <w:spacing w:after="0"/>
        <w:tabs>
          <w:tab w:leader="none" w:pos="1460" w:val="left"/>
          <w:tab w:leader="none" w:pos="3260" w:val="left"/>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w:t>
      </w:r>
    </w:p>
    <w:p>
      <w:pPr>
        <w:spacing w:after="0"/>
        <w:tabs>
          <w:tab w:leader="none" w:pos="940" w:val="left"/>
          <w:tab w:leader="none" w:pos="2100" w:val="left"/>
          <w:tab w:leader="none" w:pos="2720" w:val="left"/>
          <w:tab w:leader="none" w:pos="4720" w:val="left"/>
        </w:tabs>
        <w:rPr>
          <w:sz w:val="20"/>
          <w:szCs w:val="20"/>
          <w:color w:val="auto"/>
        </w:rPr>
      </w:pPr>
      <w:r>
        <w:rPr>
          <w:rFonts w:ascii="Courier New" w:cs="Courier New" w:eastAsia="Courier New" w:hAnsi="Courier New"/>
          <w:sz w:val="18"/>
          <w:szCs w:val="18"/>
          <w:color w:val="auto"/>
        </w:rPr>
        <w:t>$ 4,403</w:t>
        <w:tab/>
        <w:t>$ 3,557</w:t>
      </w:r>
      <w:r>
        <w:rPr>
          <w:sz w:val="20"/>
          <w:szCs w:val="20"/>
          <w:color w:val="auto"/>
        </w:rPr>
        <w:tab/>
      </w: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$ 2,041 $ 2,007</w:t>
      </w:r>
      <w:r>
        <w:rPr>
          <w:sz w:val="20"/>
          <w:szCs w:val="20"/>
          <w:color w:val="auto"/>
        </w:rPr>
        <w:tab/>
      </w:r>
      <w:r>
        <w:rPr>
          <w:rFonts w:ascii="Courier New" w:cs="Courier New" w:eastAsia="Courier New" w:hAnsi="Courier New"/>
          <w:sz w:val="16"/>
          <w:szCs w:val="16"/>
          <w:color w:val="auto"/>
        </w:rPr>
        <w:t>2 %</w:t>
      </w:r>
    </w:p>
    <w:p>
      <w:pPr>
        <w:spacing w:after="0"/>
        <w:tabs>
          <w:tab w:leader="none" w:pos="400" w:val="left"/>
          <w:tab w:leader="none" w:pos="940" w:val="left"/>
          <w:tab w:leader="none" w:pos="1360" w:val="left"/>
          <w:tab w:leader="none" w:pos="2100" w:val="left"/>
          <w:tab w:leader="none" w:pos="2720" w:val="left"/>
          <w:tab w:leader="none" w:pos="3260" w:val="left"/>
          <w:tab w:leader="none" w:pos="3980" w:val="left"/>
          <w:tab w:leader="none" w:pos="4520" w:val="left"/>
        </w:tabs>
        <w:rPr>
          <w:sz w:val="20"/>
          <w:szCs w:val="20"/>
          <w:color w:val="auto"/>
        </w:rPr>
      </w:pPr>
      <w:r>
        <w:rPr>
          <w:rFonts w:ascii="Courier New" w:cs="Courier New" w:eastAsia="Courier New" w:hAnsi="Courier New"/>
          <w:sz w:val="18"/>
          <w:szCs w:val="18"/>
          <w:color w:val="auto"/>
        </w:rPr>
        <w:t>$</w:t>
        <w:tab/>
        <w:t>681</w:t>
        <w:tab/>
        <w:t>$</w:t>
      </w:r>
      <w:r>
        <w:rPr>
          <w:sz w:val="20"/>
          <w:szCs w:val="20"/>
          <w:color w:val="auto"/>
        </w:rPr>
        <w:tab/>
      </w:r>
      <w:r>
        <w:rPr>
          <w:rFonts w:ascii="Courier New" w:cs="Courier New" w:eastAsia="Courier New" w:hAnsi="Courier New"/>
          <w:sz w:val="18"/>
          <w:szCs w:val="18"/>
          <w:color w:val="auto"/>
        </w:rPr>
        <w:t>473</w:t>
      </w:r>
      <w:r>
        <w:rPr>
          <w:sz w:val="20"/>
          <w:szCs w:val="20"/>
          <w:color w:val="auto"/>
        </w:rPr>
        <w:tab/>
      </w: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83 $</w:t>
        <w:tab/>
        <w:t>107</w:t>
      </w:r>
      <w:r>
        <w:rPr>
          <w:sz w:val="20"/>
          <w:szCs w:val="20"/>
          <w:color w:val="auto"/>
        </w:rPr>
        <w:tab/>
      </w:r>
      <w:r>
        <w:rPr>
          <w:rFonts w:ascii="Courier New" w:cs="Courier New" w:eastAsia="Courier New" w:hAnsi="Courier New"/>
          <w:sz w:val="16"/>
          <w:szCs w:val="16"/>
          <w:color w:val="auto"/>
        </w:rPr>
        <w:t>(22)%</w:t>
      </w:r>
    </w:p>
    <w:p>
      <w:pPr>
        <w:spacing w:after="0" w:line="200" w:lineRule="exact"/>
        <w:rPr>
          <w:sz w:val="20"/>
          <w:szCs w:val="20"/>
          <w:color w:val="auto"/>
        </w:rPr>
      </w:pPr>
    </w:p>
    <w:p>
      <w:pPr>
        <w:sectPr>
          <w:pgSz w:w="11900" w:h="16838" w:orient="portrait"/>
          <w:cols w:equalWidth="0" w:num="2">
            <w:col w:w="2000" w:space="320"/>
            <w:col w:w="7899"/>
          </w:cols>
          <w:pgMar w:left="240" w:top="717" w:right="1440" w:bottom="1440" w:gutter="0" w:footer="0" w:header="0"/>
          <w:type w:val="continuous"/>
        </w:sectPr>
      </w:pPr>
    </w:p>
    <w:p>
      <w:pPr>
        <w:spacing w:after="0" w:line="209" w:lineRule="exact"/>
        <w:rPr>
          <w:sz w:val="20"/>
          <w:szCs w:val="20"/>
          <w:color w:val="auto"/>
        </w:rPr>
      </w:pPr>
    </w:p>
    <w:p>
      <w:pPr>
        <w:ind w:left="320" w:right="2839" w:hanging="207"/>
        <w:spacing w:after="0" w:line="290" w:lineRule="auto"/>
        <w:tabs>
          <w:tab w:leader="none" w:pos="53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represents income before income taxes, excluding interest expense, interest and other income and unusual items.</w:t>
      </w:r>
    </w:p>
    <w:p>
      <w:pPr>
        <w:spacing w:after="0" w:line="36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OILFIELD SERVICES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Operating revenue for Oilfield Services was 24% above last year. Overall, this growth results from a significant increase in our rigless activities, rapid growth in new services such as PLATFORM EXPRESS*, a jump in offshore rig dayrates and the notable contribution of our Marine seismic business. Operating income increased 44%.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America</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North America, revenue was up 17%, and represented 18% of consolidated revenue. The most notable increases were from Dowell, Wireline &amp; Testing and Geco-Prakla, which were up 14%, 11% and 28%, respectively. Operating income rose $43 million. Activity in the Gulf of Mexico continued at a high pace and significantly contributed to results. Rig count increased 7% over 1995.</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Outside North America</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Outside North America, where the rig count rose 5%, revenue was up 26%, and represented 51% of consolidated revenue. Operating income rose $176 million. All businesses achieved strong growth, most significantly Sedco Forex, Wireline</w:t>
      </w:r>
    </w:p>
    <w:p>
      <w:pPr>
        <w:spacing w:after="0" w:line="1" w:lineRule="exact"/>
        <w:rPr>
          <w:sz w:val="20"/>
          <w:szCs w:val="20"/>
          <w:color w:val="auto"/>
        </w:rPr>
      </w:pPr>
    </w:p>
    <w:p>
      <w:pPr>
        <w:ind w:right="1879" w:firstLine="8"/>
        <w:spacing w:after="0" w:line="279" w:lineRule="auto"/>
        <w:tabs>
          <w:tab w:leader="none" w:pos="21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Testing and Geco-Prakla with revenue increases of 39%, 15%, and 36%, respectively. Most geographic areas exhibited strength, with exceptionally strong activity coming from West Africa, the North Sea, Latin America and Asia.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MEASUREMENT &amp; SYSTEMS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Revenue increased 2% from last year, as strong growth at Electronic Transactions and Systems &amp; Services was largely offset by Electricity &amp; Gas Metering and soft market conditions at ATE. Orders were 2% higher as robust growth at Electronic Transactions was largely offset by soft market conditions at ATE.</w:t>
      </w:r>
    </w:p>
    <w:p>
      <w:pPr>
        <w:spacing w:after="0" w:line="182"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Operating income declined 22% from last year due to weak pricing conditions in the European metering business and a postponement of product deliveries to our ATE customers.</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Electronic Transactions revenue was up 17% from the same period last year, reflecting strong card growth, in particular for subscriber identity module (SIM) cards in Asia and increased shipments of token cards for payphone applications in Europe and Mexico. Orders increased 17%, reflecting strong card demand. ATE revenue decreased 4% reflecting delays in capital spending by customers. Orders deteriorated 14% from the same period last year primarily due to the slowdown in semiconductor capital equipment spending in North America and Asia. Revenue in the Metering business was flat as were Metering orders. Systems</w:t>
      </w:r>
    </w:p>
    <w:p>
      <w:pPr>
        <w:spacing w:after="0" w:line="1" w:lineRule="exact"/>
        <w:rPr>
          <w:sz w:val="20"/>
          <w:szCs w:val="20"/>
          <w:color w:val="auto"/>
        </w:rPr>
      </w:pPr>
    </w:p>
    <w:p>
      <w:pPr>
        <w:ind w:right="2199" w:firstLine="8"/>
        <w:spacing w:after="0" w:line="237"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revenue increased 12% from the same period last year. Systems activity in North America increased significantly on higher deliveries to electric utilities, including HydroQuebec. Service activities grew strongly, most significantly in Europe. Orders increased 9%.</w:t>
      </w:r>
    </w:p>
    <w:p>
      <w:pPr>
        <w:spacing w:after="0" w:line="200" w:lineRule="exact"/>
        <w:rPr>
          <w:sz w:val="20"/>
          <w:szCs w:val="20"/>
          <w:color w:val="auto"/>
        </w:rPr>
      </w:pP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Interest and other income decreased $17 million from the same period last year primarily due to lower investment balances as well as lower investment returns. Gross margin, excluding the unusual items, of 24.1% was flat compared with last year. Research and engineering expense increased 7% from last year but decreased to 5.2% of operating revenue from 5.7% in 1995. Marketing expense was up 7% but decreased to 3.4% of operating revenue from 3.7% in 1995. General expense, expressed as a percentage of operating revenue, decreased from 4.6% to 4.1%. Interest expense decreased $8 million from the same period last year due to sharply lower average borrowing rates. The effective tax rate, excluding unusual items, rose to 19% compared to 16% last year due to the recording of a US tax provision following the recognition of the tax loss carryforward.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of Schlumberger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4" w:name="page15"/>
    <w:bookmarkEnd w:id="14"/>
    <w:p>
      <w:pPr>
        <w:ind w:left="2740"/>
        <w:spacing w:after="0"/>
        <w:tabs>
          <w:tab w:leader="none" w:pos="37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Item 6 : Exhibits and Reports on Form 8-K</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800" w:right="2519" w:hanging="2949"/>
        <w:spacing w:after="0" w:line="236" w:lineRule="auto"/>
        <w:tabs>
          <w:tab w:leader="none" w:pos="127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Exhibit A - News Release dated September 16, 1996 headed, "Schlumberger - Baker Hughes Strategic Alliance".</w:t>
      </w:r>
    </w:p>
    <w:p>
      <w:pPr>
        <w:spacing w:after="0" w:line="209" w:lineRule="exact"/>
        <w:rPr>
          <w:sz w:val="20"/>
          <w:szCs w:val="20"/>
          <w:color w:val="auto"/>
        </w:rPr>
      </w:pPr>
    </w:p>
    <w:p>
      <w:pPr>
        <w:ind w:left="3800" w:right="2519" w:hanging="1263"/>
        <w:spacing w:after="0" w:line="236" w:lineRule="auto"/>
        <w:rPr>
          <w:sz w:val="20"/>
          <w:szCs w:val="20"/>
          <w:color w:val="auto"/>
        </w:rPr>
      </w:pPr>
      <w:r>
        <w:rPr>
          <w:rFonts w:ascii="Courier New" w:cs="Courier New" w:eastAsia="Courier New" w:hAnsi="Courier New"/>
          <w:sz w:val="18"/>
          <w:szCs w:val="18"/>
          <w:color w:val="auto"/>
        </w:rPr>
        <w:t>Exhibit B - News Release dated September 25, 1996 headed, "Schlumberger to Record Unusual Items in Third Quarter".</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Reports on Form 8-K : 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20" w:right="2319"/>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800"/>
        <w:spacing w:after="0"/>
        <w:rPr>
          <w:sz w:val="20"/>
          <w:szCs w:val="20"/>
          <w:color w:val="auto"/>
        </w:rPr>
      </w:pPr>
      <w:r>
        <w:rPr>
          <w:rFonts w:ascii="Courier New" w:cs="Courier New" w:eastAsia="Courier New" w:hAnsi="Courier New"/>
          <w:sz w:val="18"/>
          <w:szCs w:val="18"/>
          <w:color w:val="auto"/>
        </w:rPr>
        <w:t>Schlumberger Limited</w:t>
      </w:r>
    </w:p>
    <w:p>
      <w:pPr>
        <w:jc w:val="center"/>
        <w:ind w:left="80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480"/>
        <w:spacing w:after="0" w:line="235" w:lineRule="auto"/>
        <w:rPr>
          <w:sz w:val="20"/>
          <w:szCs w:val="20"/>
          <w:color w:val="auto"/>
        </w:rPr>
      </w:pPr>
      <w:r>
        <w:rPr>
          <w:rFonts w:ascii="Courier New" w:cs="Courier New" w:eastAsia="Courier New" w:hAnsi="Courier New"/>
          <w:sz w:val="18"/>
          <w:szCs w:val="18"/>
          <w:color w:val="auto"/>
        </w:rPr>
        <w:t>Date: November 14, 1996 -----------------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Arthur Lindenauer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Arthur Lindenauer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 Finance</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717" w:right="1440" w:bottom="1440" w:gutter="0" w:footer="0" w:header="0"/>
          <w:type w:val="continuous"/>
        </w:sectPr>
      </w:pPr>
    </w:p>
    <w:bookmarkStart w:id="15" w:name="page16"/>
    <w:bookmarkEnd w:id="15"/>
    <w:p>
      <w:pPr>
        <w:ind w:left="328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Page</w:t>
      </w:r>
    </w:p>
    <w:p>
      <w:pPr>
        <w:spacing w:after="0" w:line="21" w:lineRule="exact"/>
        <w:rPr>
          <w:sz w:val="20"/>
          <w:szCs w:val="20"/>
          <w:color w:val="auto"/>
        </w:rPr>
      </w:pPr>
    </w:p>
    <w:p>
      <w:pPr>
        <w:sectPr>
          <w:pgSz w:w="11900" w:h="16838" w:orient="portrait"/>
          <w:cols w:equalWidth="0" w:num="3">
            <w:col w:w="2240" w:space="720"/>
            <w:col w:w="2020" w:space="720"/>
            <w:col w:w="4519"/>
          </w:cols>
          <w:pgMar w:left="240" w:top="723" w:right="1440" w:bottom="1440" w:gutter="0" w:footer="0" w:header="0"/>
          <w:type w:val="continuous"/>
        </w:sect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Exhibit A</w:t>
      </w:r>
      <w:r>
        <w:rPr>
          <w:rFonts w:ascii="Courier New" w:cs="Courier New" w:eastAsia="Courier New" w:hAnsi="Courier New"/>
          <w:sz w:val="16"/>
          <w:szCs w:val="16"/>
          <w:color w:val="auto"/>
        </w:rPr>
        <w:t>News Release dated September 16, 1996</w:t>
      </w: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4420" w:type="dxa"/>
            <w:vAlign w:val="bottom"/>
          </w:tcPr>
          <w:p>
            <w:pPr>
              <w:ind w:left="300"/>
              <w:spacing w:after="0"/>
              <w:rPr>
                <w:sz w:val="20"/>
                <w:szCs w:val="20"/>
                <w:color w:val="auto"/>
              </w:rPr>
            </w:pPr>
            <w:r>
              <w:rPr>
                <w:rFonts w:ascii="Courier New" w:cs="Courier New" w:eastAsia="Courier New" w:hAnsi="Courier New"/>
                <w:sz w:val="18"/>
                <w:szCs w:val="18"/>
                <w:color w:val="auto"/>
              </w:rPr>
              <w:t>headed, "Schlumberger - Baker Hughes</w:t>
            </w:r>
          </w:p>
        </w:tc>
        <w:tc>
          <w:tcPr>
            <w:tcW w:w="42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4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Strategic Alliance".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Exhibit B</w:t>
            </w:r>
          </w:p>
        </w:tc>
        <w:tc>
          <w:tcPr>
            <w:tcW w:w="4420" w:type="dxa"/>
            <w:vAlign w:val="bottom"/>
          </w:tcPr>
          <w:p>
            <w:pPr>
              <w:ind w:left="300"/>
              <w:spacing w:after="0"/>
              <w:rPr>
                <w:sz w:val="20"/>
                <w:szCs w:val="20"/>
                <w:color w:val="auto"/>
              </w:rPr>
            </w:pPr>
            <w:r>
              <w:rPr>
                <w:rFonts w:ascii="Courier New" w:cs="Courier New" w:eastAsia="Courier New" w:hAnsi="Courier New"/>
                <w:sz w:val="18"/>
                <w:szCs w:val="18"/>
                <w:color w:val="auto"/>
              </w:rPr>
              <w:t>News Release dated September 25, 1996</w:t>
            </w:r>
          </w:p>
        </w:tc>
        <w:tc>
          <w:tcPr>
            <w:tcW w:w="42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4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headed, "Schlumberger to Record</w:t>
            </w:r>
          </w:p>
        </w:tc>
        <w:tc>
          <w:tcPr>
            <w:tcW w:w="42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4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Unusual Items in Third Quarter".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608"/>
        </w:trPr>
        <w:tc>
          <w:tcPr>
            <w:tcW w:w="1280" w:type="dxa"/>
            <w:vAlign w:val="bottom"/>
          </w:tcPr>
          <w:p>
            <w:pPr>
              <w:spacing w:after="0"/>
              <w:rPr>
                <w:sz w:val="24"/>
                <w:szCs w:val="24"/>
                <w:color w:val="auto"/>
              </w:rPr>
            </w:pPr>
          </w:p>
        </w:tc>
        <w:tc>
          <w:tcPr>
            <w:tcW w:w="4420" w:type="dxa"/>
            <w:vAlign w:val="bottom"/>
          </w:tcPr>
          <w:p>
            <w:pPr>
              <w:ind w:left="2740"/>
              <w:spacing w:after="0"/>
              <w:rPr>
                <w:sz w:val="20"/>
                <w:szCs w:val="20"/>
                <w:color w:val="auto"/>
              </w:rPr>
            </w:pPr>
            <w:r>
              <w:rPr>
                <w:rFonts w:ascii="Courier New" w:cs="Courier New" w:eastAsia="Courier New" w:hAnsi="Courier New"/>
                <w:sz w:val="18"/>
                <w:szCs w:val="18"/>
                <w:color w:val="auto"/>
              </w:rPr>
              <w:t>-14-</w:t>
            </w:r>
          </w:p>
        </w:tc>
        <w:tc>
          <w:tcPr>
            <w:tcW w:w="42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type w:val="continuous"/>
        </w:sectPr>
      </w:pPr>
    </w:p>
    <w:bookmarkStart w:id="16" w:name="page17"/>
    <w:bookmarkEnd w:id="16"/>
    <w:p>
      <w:pPr>
        <w:ind w:left="74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Press Release</w:t>
      </w:r>
    </w:p>
    <w:p>
      <w:pPr>
        <w:spacing w:after="0" w:line="4"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SCHLUMBERGER LIMITED.277 PARK AVENUE.NEW YORK, NY 10172.FOR FURTHER INFORMATION: SIMONE CROOK, SCHLUMBERGER LIMITED 1-212-350-9432</w:t>
      </w: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5059"/>
        <w:spacing w:after="0" w:line="290" w:lineRule="auto"/>
        <w:rPr>
          <w:sz w:val="20"/>
          <w:szCs w:val="20"/>
          <w:color w:val="auto"/>
        </w:rPr>
      </w:pPr>
      <w:r>
        <w:rPr>
          <w:rFonts w:ascii="Courier New" w:cs="Courier New" w:eastAsia="Courier New" w:hAnsi="Courier New"/>
          <w:sz w:val="16"/>
          <w:szCs w:val="16"/>
          <w:color w:val="auto"/>
        </w:rPr>
        <w:t>For Immediate Release: Monday, September 16, 1996 SCHLUMBERGER - BAKER HUGHES STRATEGIC ALLIANCE</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New York, September 16 -- Schlumberger Limited ("SLB") and Baker Hughes Incorporated ("BHI") announced today that they have signed a letter of intent calling for the establishment of strategic alliances between several of their product lines. These agreements will enhance their product offerings and improve their respective access to necessary complementary technology. They will also accelerate the development of new products.</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Subject to the execution of definitive agreements, Baker Hughes' Baker Oil Tools division will become the preferred supplier of downhole tools, completion design, equipment and related services to certain Schlumberger Oilfield Services units, particularly Integrated Project Management. Schlumberger will become the preferred supplier of coiled tubing services and of downhole monitoring devices to Baker Oil Tools. The agreements are non-exclusive.</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to the above agreements, James D. Woods, Chairman and CEO of Baker Hughes Incorporated and Victor E. Grijalva, Executive Vice President of Schlumberger Limited, stated, "We also intend to jointly develop and commercialize proprietary Intelligent Completion Systems (ICS). These systems will integrate complementary technologies from both companies providing remote reservoir monitoring and control. Our objectives are to minimize well intervention and to enhance recovery of reserves. Between the two companies, a total investment of $50 million in the development and commercialization of ICS over the next several years is anticipated."</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agreements are subject to the customary approvals, the completion of all current legal and contractual obligations as well as the approval of the Board of Directors of each company.</w:t>
      </w:r>
    </w:p>
    <w:p>
      <w:pPr>
        <w:spacing w:after="0" w:line="209"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Schlumberger is an international, worldwide leader in oilfield services, measurement &amp; systems, and telecommunications with operations in over 100 countries and 51,000 employees. Revenues exceed $7.6 billion.</w:t>
      </w:r>
    </w:p>
    <w:p>
      <w:pPr>
        <w:spacing w:after="0" w:line="1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Baker Hughes is a leading provider of products and services for the oil, gas and process industries.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41" w:right="1440" w:bottom="1440" w:gutter="0" w:footer="0" w:header="0"/>
        </w:sectPr>
      </w:pPr>
    </w:p>
    <w:bookmarkStart w:id="17" w:name="page18"/>
    <w:bookmarkEnd w:id="17"/>
    <w:p>
      <w:pPr>
        <w:ind w:left="748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Press Release</w:t>
      </w:r>
    </w:p>
    <w:p>
      <w:pPr>
        <w:spacing w:after="0" w:line="4"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SCHLUMBERGER LIMITED.277 PARK AVENUE.NEW YORK, NY 10172.FOR FURTHER INFORMATION: SIMONE CROOK, SCHLUMBERGER LIMITED 1-212-350-9432</w:t>
      </w: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4619"/>
        <w:spacing w:after="0" w:line="290" w:lineRule="auto"/>
        <w:rPr>
          <w:sz w:val="20"/>
          <w:szCs w:val="20"/>
          <w:color w:val="auto"/>
        </w:rPr>
      </w:pPr>
      <w:r>
        <w:rPr>
          <w:rFonts w:ascii="Courier New" w:cs="Courier New" w:eastAsia="Courier New" w:hAnsi="Courier New"/>
          <w:sz w:val="16"/>
          <w:szCs w:val="16"/>
          <w:color w:val="auto"/>
        </w:rPr>
        <w:t>For Immediate Release: Wednesday, September 25, 1996 SCHLUMBERGER TO RECORD UNUSUAL ITEMS IN THIRD QUARTER</w:t>
      </w:r>
    </w:p>
    <w:p>
      <w:pPr>
        <w:spacing w:after="0" w:line="170"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New York, September 25 -- Schlumberger Limited announced today that it will record unusual items in the third quarter:</w:t>
      </w:r>
    </w:p>
    <w:p>
      <w:pPr>
        <w:spacing w:after="0" w:line="208" w:lineRule="exact"/>
        <w:rPr>
          <w:sz w:val="20"/>
          <w:szCs w:val="20"/>
          <w:color w:val="auto"/>
        </w:rPr>
      </w:pPr>
    </w:p>
    <w:p>
      <w:pPr>
        <w:jc w:val="both"/>
        <w:ind w:left="540" w:right="2099" w:hanging="104"/>
        <w:spacing w:after="0" w:line="237" w:lineRule="auto"/>
        <w:rPr>
          <w:sz w:val="20"/>
          <w:szCs w:val="20"/>
          <w:color w:val="auto"/>
        </w:rPr>
      </w:pPr>
      <w:r>
        <w:rPr>
          <w:rFonts w:ascii="Courier New" w:cs="Courier New" w:eastAsia="Courier New" w:hAnsi="Courier New"/>
          <w:sz w:val="18"/>
          <w:szCs w:val="18"/>
          <w:color w:val="auto"/>
        </w:rPr>
        <w:t>-With increasing profitability and strong outlook in the US, Schlumberger will recognize a portion of the US income tax benefit related to its US subsidiary's tax loss carryforwards and all temporary differences. This will result in a credit of $360 million.</w:t>
      </w:r>
    </w:p>
    <w:p>
      <w:pPr>
        <w:spacing w:after="0" w:line="207" w:lineRule="exact"/>
        <w:rPr>
          <w:sz w:val="20"/>
          <w:szCs w:val="20"/>
          <w:color w:val="auto"/>
        </w:rPr>
      </w:pPr>
    </w:p>
    <w:p>
      <w:pPr>
        <w:ind w:left="540" w:right="1779" w:hanging="104"/>
        <w:spacing w:after="0" w:line="235" w:lineRule="auto"/>
        <w:rPr>
          <w:sz w:val="20"/>
          <w:szCs w:val="20"/>
          <w:color w:val="auto"/>
        </w:rPr>
      </w:pPr>
      <w:r>
        <w:rPr>
          <w:rFonts w:ascii="Courier New" w:cs="Courier New" w:eastAsia="Courier New" w:hAnsi="Courier New"/>
          <w:sz w:val="18"/>
          <w:szCs w:val="18"/>
          <w:color w:val="auto"/>
        </w:rPr>
        <w:t>-A charge of $300 million after tax related primarily to Electricity and Gas Management, and Geco-Prakla.</w:t>
      </w:r>
    </w:p>
    <w:p>
      <w:pPr>
        <w:spacing w:after="0" w:line="208" w:lineRule="exact"/>
        <w:rPr>
          <w:sz w:val="20"/>
          <w:szCs w:val="20"/>
          <w:color w:val="auto"/>
        </w:rPr>
      </w:pPr>
    </w:p>
    <w:p>
      <w:pPr>
        <w:ind w:left="540" w:right="1879"/>
        <w:spacing w:after="0" w:line="275" w:lineRule="auto"/>
        <w:rPr>
          <w:sz w:val="20"/>
          <w:szCs w:val="20"/>
          <w:color w:val="auto"/>
        </w:rPr>
      </w:pPr>
      <w:r>
        <w:rPr>
          <w:rFonts w:ascii="Courier New" w:cs="Courier New" w:eastAsia="Courier New" w:hAnsi="Courier New"/>
          <w:sz w:val="16"/>
          <w:szCs w:val="16"/>
          <w:color w:val="auto"/>
        </w:rPr>
        <w:t>Within the Measurement &amp; Systems business segment, the Electricity and Gas Management product lines have been combined into a single business to more efficiently serve the rapidly changing energy supply sector. This will result in lower headcount and fewer manufacturing facilities and products.</w:t>
      </w:r>
    </w:p>
    <w:p>
      <w:pPr>
        <w:spacing w:after="0" w:line="182"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Within the Oilfield Services segment, the much improved results of Geco-Prakla in the quarter are mostly due to the Marine activity. The losses in the Land and Transition Zone businesses have been reduced, but we are convinced that more radical changes, including the write-off of Land goodwill, are required to ensure the long-term financial health of these businesses.</w:t>
      </w:r>
    </w:p>
    <w:p>
      <w:pPr>
        <w:spacing w:after="0" w:line="210" w:lineRule="exact"/>
        <w:rPr>
          <w:sz w:val="20"/>
          <w:szCs w:val="20"/>
          <w:color w:val="auto"/>
        </w:rPr>
      </w:pPr>
    </w:p>
    <w:p>
      <w:pPr>
        <w:ind w:left="540" w:right="2199" w:hanging="104"/>
        <w:spacing w:after="0" w:line="236" w:lineRule="auto"/>
        <w:rPr>
          <w:sz w:val="20"/>
          <w:szCs w:val="20"/>
          <w:color w:val="auto"/>
        </w:rPr>
      </w:pPr>
      <w:r>
        <w:rPr>
          <w:rFonts w:ascii="Courier New" w:cs="Courier New" w:eastAsia="Courier New" w:hAnsi="Courier New"/>
          <w:sz w:val="18"/>
          <w:szCs w:val="18"/>
          <w:color w:val="auto"/>
        </w:rPr>
        <w:t>-In addition, Schlumberger will record a charge of $58 million after tax including a loss on the divestiture of its remaining defense-related activity, certain asset impairments, and other charges.</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Chief Financial Officer Arthur Lindenauer stated, "Over the near term these items will have no material impact on the results of Schlumberger."</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41" w:right="1440"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079"/>
        <w:spacing w:after="0" w:line="290" w:lineRule="auto"/>
        <w:rPr>
          <w:sz w:val="20"/>
          <w:szCs w:val="20"/>
          <w:color w:val="auto"/>
        </w:rPr>
      </w:pPr>
      <w:r>
        <w:rPr>
          <w:rFonts w:ascii="Courier New" w:cs="Courier New" w:eastAsia="Courier New" w:hAnsi="Courier New"/>
          <w:sz w:val="16"/>
          <w:szCs w:val="16"/>
          <w:color w:val="auto"/>
        </w:rPr>
        <w:t>THIS SCHEDULE CONTAINS SUMMARY FINANCIAL INFORMATION EXTRACTED FROM* FORM 10Q AND IS QUALIFIED IN ITS ENTIRETY BY REFERENCE TO SUCH FINANCIAL STATEMENTS.</w:t>
      </w:r>
    </w:p>
    <w:p>
      <w:pPr>
        <w:spacing w:after="0" w:line="16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8"/>
          <w:szCs w:val="18"/>
          <w:color w:val="auto"/>
        </w:rPr>
        <w:t>9-MOS</w:t>
      </w:r>
    </w:p>
    <w:p>
      <w:pPr>
        <w:jc w:val="right"/>
        <w:ind w:right="6319"/>
        <w:spacing w:after="0" w:line="238" w:lineRule="auto"/>
        <w:rPr>
          <w:sz w:val="20"/>
          <w:szCs w:val="20"/>
          <w:color w:val="auto"/>
        </w:rPr>
      </w:pPr>
      <w:r>
        <w:rPr>
          <w:rFonts w:ascii="Courier New" w:cs="Courier New" w:eastAsia="Courier New" w:hAnsi="Courier New"/>
          <w:sz w:val="18"/>
          <w:szCs w:val="18"/>
          <w:color w:val="auto"/>
        </w:rPr>
        <w:t>DEC-31-1996</w:t>
      </w:r>
    </w:p>
    <w:p>
      <w:pPr>
        <w:ind w:left="3020"/>
        <w:spacing w:after="0"/>
        <w:rPr>
          <w:sz w:val="20"/>
          <w:szCs w:val="20"/>
          <w:color w:val="auto"/>
        </w:rPr>
      </w:pPr>
      <w:r>
        <w:rPr>
          <w:rFonts w:ascii="Courier New" w:cs="Courier New" w:eastAsia="Courier New" w:hAnsi="Courier New"/>
          <w:sz w:val="18"/>
          <w:szCs w:val="18"/>
          <w:color w:val="auto"/>
        </w:rPr>
        <w:t>JAN-01-1996</w:t>
      </w:r>
    </w:p>
    <w:p>
      <w:pPr>
        <w:ind w:left="3240"/>
        <w:spacing w:after="0" w:line="237" w:lineRule="auto"/>
        <w:rPr>
          <w:sz w:val="20"/>
          <w:szCs w:val="20"/>
          <w:color w:val="auto"/>
        </w:rPr>
      </w:pPr>
      <w:r>
        <w:rPr>
          <w:rFonts w:ascii="Courier New" w:cs="Courier New" w:eastAsia="Courier New" w:hAnsi="Courier New"/>
          <w:sz w:val="18"/>
          <w:szCs w:val="18"/>
          <w:color w:val="auto"/>
        </w:rPr>
        <w:t>SEP-30-1996</w:t>
      </w:r>
    </w:p>
    <w:p>
      <w:pPr>
        <w:ind w:left="4080"/>
        <w:spacing w:after="0" w:line="238" w:lineRule="auto"/>
        <w:rPr>
          <w:sz w:val="20"/>
          <w:szCs w:val="20"/>
          <w:color w:val="auto"/>
        </w:rPr>
      </w:pPr>
      <w:r>
        <w:rPr>
          <w:rFonts w:ascii="Courier New" w:cs="Courier New" w:eastAsia="Courier New" w:hAnsi="Courier New"/>
          <w:sz w:val="18"/>
          <w:szCs w:val="18"/>
          <w:color w:val="auto"/>
        </w:rPr>
        <w:t>1,220,614</w:t>
      </w:r>
    </w:p>
    <w:p>
      <w:pPr>
        <w:ind w:left="4280"/>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2,233,730</w:t>
      </w:r>
    </w:p>
    <w:p>
      <w:pPr>
        <w:ind w:left="3660"/>
        <w:spacing w:after="0"/>
        <w:rPr>
          <w:sz w:val="20"/>
          <w:szCs w:val="20"/>
          <w:color w:val="auto"/>
        </w:rPr>
      </w:pPr>
      <w:r>
        <w:rPr>
          <w:rFonts w:ascii="Courier New" w:cs="Courier New" w:eastAsia="Courier New" w:hAnsi="Courier New"/>
          <w:sz w:val="18"/>
          <w:szCs w:val="18"/>
          <w:color w:val="auto"/>
        </w:rPr>
        <w:t>(53,297)</w:t>
      </w:r>
    </w:p>
    <w:p>
      <w:pPr>
        <w:ind w:left="3760"/>
        <w:spacing w:after="0" w:line="237" w:lineRule="auto"/>
        <w:rPr>
          <w:sz w:val="20"/>
          <w:szCs w:val="20"/>
          <w:color w:val="auto"/>
        </w:rPr>
      </w:pPr>
      <w:r>
        <w:rPr>
          <w:rFonts w:ascii="Courier New" w:cs="Courier New" w:eastAsia="Courier New" w:hAnsi="Courier New"/>
          <w:sz w:val="18"/>
          <w:szCs w:val="18"/>
          <w:color w:val="auto"/>
        </w:rPr>
        <w:t>934,550</w:t>
      </w:r>
    </w:p>
    <w:p>
      <w:pPr>
        <w:ind w:left="3020"/>
        <w:spacing w:after="0"/>
        <w:rPr>
          <w:sz w:val="20"/>
          <w:szCs w:val="20"/>
          <w:color w:val="auto"/>
        </w:rPr>
      </w:pPr>
      <w:r>
        <w:rPr>
          <w:rFonts w:ascii="Courier New" w:cs="Courier New" w:eastAsia="Courier New" w:hAnsi="Courier New"/>
          <w:sz w:val="18"/>
          <w:szCs w:val="18"/>
          <w:color w:val="auto"/>
        </w:rPr>
        <w:t>4,748,023</w:t>
      </w:r>
    </w:p>
    <w:p>
      <w:pPr>
        <w:ind w:left="4080"/>
        <w:spacing w:after="0" w:line="237" w:lineRule="auto"/>
        <w:rPr>
          <w:sz w:val="20"/>
          <w:szCs w:val="20"/>
          <w:color w:val="auto"/>
        </w:rPr>
      </w:pPr>
      <w:r>
        <w:rPr>
          <w:rFonts w:ascii="Courier New" w:cs="Courier New" w:eastAsia="Courier New" w:hAnsi="Courier New"/>
          <w:sz w:val="18"/>
          <w:szCs w:val="18"/>
          <w:color w:val="auto"/>
        </w:rPr>
        <w:t>9,446,086</w:t>
      </w:r>
    </w:p>
    <w:p>
      <w:pPr>
        <w:ind w:left="3120"/>
        <w:spacing w:after="0" w:line="238" w:lineRule="auto"/>
        <w:rPr>
          <w:sz w:val="20"/>
          <w:szCs w:val="20"/>
          <w:color w:val="auto"/>
        </w:rPr>
      </w:pPr>
      <w:r>
        <w:rPr>
          <w:rFonts w:ascii="Courier New" w:cs="Courier New" w:eastAsia="Courier New" w:hAnsi="Courier New"/>
          <w:sz w:val="18"/>
          <w:szCs w:val="18"/>
          <w:color w:val="auto"/>
        </w:rPr>
        <w:t>(6,244,784)</w:t>
      </w:r>
    </w:p>
    <w:p>
      <w:pPr>
        <w:ind w:left="3240"/>
        <w:spacing w:after="0"/>
        <w:rPr>
          <w:sz w:val="20"/>
          <w:szCs w:val="20"/>
          <w:color w:val="auto"/>
        </w:rPr>
      </w:pPr>
      <w:r>
        <w:rPr>
          <w:rFonts w:ascii="Courier New" w:cs="Courier New" w:eastAsia="Courier New" w:hAnsi="Courier New"/>
          <w:sz w:val="18"/>
          <w:szCs w:val="18"/>
          <w:color w:val="auto"/>
        </w:rPr>
        <w:t>9,772,739</w:t>
      </w:r>
    </w:p>
    <w:p>
      <w:pPr>
        <w:ind w:left="2500"/>
        <w:spacing w:after="0" w:line="237" w:lineRule="auto"/>
        <w:rPr>
          <w:sz w:val="20"/>
          <w:szCs w:val="20"/>
          <w:color w:val="auto"/>
        </w:rPr>
      </w:pPr>
      <w:r>
        <w:rPr>
          <w:rFonts w:ascii="Courier New" w:cs="Courier New" w:eastAsia="Courier New" w:hAnsi="Courier New"/>
          <w:sz w:val="18"/>
          <w:szCs w:val="18"/>
          <w:color w:val="auto"/>
        </w:rPr>
        <w:t>3,164,421</w:t>
      </w:r>
    </w:p>
    <w:p>
      <w:pPr>
        <w:jc w:val="center"/>
        <w:ind w:right="45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805,589</w:t>
      </w:r>
    </w:p>
    <w:p>
      <w:pPr>
        <w:ind w:left="3660"/>
        <w:spacing w:after="0" w:line="238" w:lineRule="auto"/>
        <w:rPr>
          <w:sz w:val="20"/>
          <w:szCs w:val="20"/>
          <w:color w:val="auto"/>
        </w:rPr>
      </w:pPr>
      <w:r>
        <w:rPr>
          <w:rFonts w:ascii="Courier New" w:cs="Courier New" w:eastAsia="Courier New" w:hAnsi="Courier New"/>
          <w:sz w:val="18"/>
          <w:szCs w:val="18"/>
          <w:color w:val="auto"/>
        </w:rPr>
        <w:t>4,616,966</w:t>
      </w:r>
    </w:p>
    <w:p>
      <w:pPr>
        <w:ind w:left="1760"/>
        <w:spacing w:after="0"/>
        <w:rPr>
          <w:sz w:val="20"/>
          <w:szCs w:val="20"/>
          <w:color w:val="auto"/>
        </w:rPr>
      </w:pPr>
      <w:r>
        <w:rPr>
          <w:rFonts w:ascii="Courier New" w:cs="Courier New" w:eastAsia="Courier New" w:hAnsi="Courier New"/>
          <w:sz w:val="18"/>
          <w:szCs w:val="18"/>
          <w:color w:val="auto"/>
        </w:rPr>
        <w:t>9,772,739</w:t>
      </w:r>
    </w:p>
    <w:p>
      <w:pPr>
        <w:ind w:left="3980"/>
        <w:spacing w:after="0" w:line="237" w:lineRule="auto"/>
        <w:rPr>
          <w:sz w:val="20"/>
          <w:szCs w:val="20"/>
          <w:color w:val="auto"/>
        </w:rPr>
      </w:pPr>
      <w:r>
        <w:rPr>
          <w:rFonts w:ascii="Courier New" w:cs="Courier New" w:eastAsia="Courier New" w:hAnsi="Courier New"/>
          <w:sz w:val="18"/>
          <w:szCs w:val="18"/>
          <w:color w:val="auto"/>
        </w:rPr>
        <w:t>1,796,677</w:t>
      </w:r>
    </w:p>
    <w:p>
      <w:pPr>
        <w:ind w:left="3020"/>
        <w:spacing w:after="0"/>
        <w:rPr>
          <w:sz w:val="20"/>
          <w:szCs w:val="20"/>
          <w:color w:val="auto"/>
        </w:rPr>
      </w:pPr>
      <w:r>
        <w:rPr>
          <w:rFonts w:ascii="Courier New" w:cs="Courier New" w:eastAsia="Courier New" w:hAnsi="Courier New"/>
          <w:sz w:val="18"/>
          <w:szCs w:val="18"/>
          <w:color w:val="auto"/>
        </w:rPr>
        <w:t>6,492,000</w:t>
      </w:r>
    </w:p>
    <w:p>
      <w:pPr>
        <w:ind w:left="4180"/>
        <w:spacing w:after="0" w:line="237" w:lineRule="auto"/>
        <w:rPr>
          <w:sz w:val="20"/>
          <w:szCs w:val="20"/>
          <w:color w:val="auto"/>
        </w:rPr>
      </w:pPr>
      <w:r>
        <w:rPr>
          <w:rFonts w:ascii="Courier New" w:cs="Courier New" w:eastAsia="Courier New" w:hAnsi="Courier New"/>
          <w:sz w:val="18"/>
          <w:szCs w:val="18"/>
          <w:color w:val="auto"/>
        </w:rPr>
        <w:t>1,271,306</w:t>
      </w:r>
    </w:p>
    <w:p>
      <w:pPr>
        <w:ind w:left="3340"/>
        <w:spacing w:after="0"/>
        <w:rPr>
          <w:sz w:val="20"/>
          <w:szCs w:val="20"/>
          <w:color w:val="auto"/>
        </w:rPr>
      </w:pPr>
      <w:r>
        <w:rPr>
          <w:rFonts w:ascii="Courier New" w:cs="Courier New" w:eastAsia="Courier New" w:hAnsi="Courier New"/>
          <w:sz w:val="18"/>
          <w:szCs w:val="18"/>
          <w:color w:val="auto"/>
        </w:rPr>
        <w:t>4,933,339</w:t>
      </w:r>
    </w:p>
    <w:p>
      <w:pPr>
        <w:ind w:left="3020"/>
        <w:spacing w:after="0" w:line="237" w:lineRule="auto"/>
        <w:rPr>
          <w:sz w:val="20"/>
          <w:szCs w:val="20"/>
          <w:color w:val="auto"/>
        </w:rPr>
      </w:pPr>
      <w:r>
        <w:rPr>
          <w:rFonts w:ascii="Courier New" w:cs="Courier New" w:eastAsia="Courier New" w:hAnsi="Courier New"/>
          <w:sz w:val="18"/>
          <w:szCs w:val="18"/>
          <w:color w:val="auto"/>
        </w:rPr>
        <w:t>1,151,881</w:t>
      </w:r>
    </w:p>
    <w:p>
      <w:pPr>
        <w:ind w:left="3340"/>
        <w:spacing w:after="0"/>
        <w:rPr>
          <w:sz w:val="20"/>
          <w:szCs w:val="20"/>
          <w:color w:val="auto"/>
        </w:rPr>
      </w:pPr>
      <w:r>
        <w:rPr>
          <w:rFonts w:ascii="Courier New" w:cs="Courier New" w:eastAsia="Courier New" w:hAnsi="Courier New"/>
          <w:sz w:val="18"/>
          <w:szCs w:val="18"/>
          <w:color w:val="auto"/>
        </w:rPr>
        <w:t>16,460</w:t>
      </w:r>
    </w:p>
    <w:p>
      <w:pPr>
        <w:ind w:left="3120"/>
        <w:spacing w:after="0" w:line="237" w:lineRule="auto"/>
        <w:rPr>
          <w:sz w:val="20"/>
          <w:szCs w:val="20"/>
          <w:color w:val="auto"/>
        </w:rPr>
      </w:pPr>
      <w:r>
        <w:rPr>
          <w:rFonts w:ascii="Courier New" w:cs="Courier New" w:eastAsia="Courier New" w:hAnsi="Courier New"/>
          <w:sz w:val="18"/>
          <w:szCs w:val="18"/>
          <w:color w:val="auto"/>
        </w:rPr>
        <w:t>54,005</w:t>
      </w:r>
    </w:p>
    <w:p>
      <w:pPr>
        <w:ind w:left="3340"/>
        <w:spacing w:after="0" w:line="238" w:lineRule="auto"/>
        <w:rPr>
          <w:sz w:val="20"/>
          <w:szCs w:val="20"/>
          <w:color w:val="auto"/>
        </w:rPr>
      </w:pPr>
      <w:r>
        <w:rPr>
          <w:rFonts w:ascii="Courier New" w:cs="Courier New" w:eastAsia="Courier New" w:hAnsi="Courier New"/>
          <w:sz w:val="18"/>
          <w:szCs w:val="18"/>
          <w:color w:val="auto"/>
        </w:rPr>
        <w:t>352,775</w:t>
      </w:r>
    </w:p>
    <w:p>
      <w:pPr>
        <w:ind w:left="3540"/>
        <w:spacing w:after="0"/>
        <w:rPr>
          <w:sz w:val="20"/>
          <w:szCs w:val="20"/>
          <w:color w:val="auto"/>
        </w:rPr>
      </w:pPr>
      <w:r>
        <w:rPr>
          <w:rFonts w:ascii="Courier New" w:cs="Courier New" w:eastAsia="Courier New" w:hAnsi="Courier New"/>
          <w:sz w:val="18"/>
          <w:szCs w:val="18"/>
          <w:color w:val="auto"/>
        </w:rPr>
        <w:t>(243,645)</w:t>
      </w:r>
    </w:p>
    <w:p>
      <w:pPr>
        <w:ind w:left="2920"/>
        <w:spacing w:after="0" w:line="237" w:lineRule="auto"/>
        <w:rPr>
          <w:sz w:val="20"/>
          <w:szCs w:val="20"/>
          <w:color w:val="auto"/>
        </w:rPr>
      </w:pPr>
      <w:r>
        <w:rPr>
          <w:rFonts w:ascii="Courier New" w:cs="Courier New" w:eastAsia="Courier New" w:hAnsi="Courier New"/>
          <w:sz w:val="18"/>
          <w:szCs w:val="18"/>
          <w:color w:val="auto"/>
        </w:rPr>
        <w:t>596,420</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596,420</w:t>
      </w:r>
    </w:p>
    <w:p>
      <w:pPr>
        <w:ind w:left="3860"/>
        <w:spacing w:after="0" w:line="238" w:lineRule="auto"/>
        <w:rPr>
          <w:sz w:val="20"/>
          <w:szCs w:val="20"/>
          <w:color w:val="auto"/>
        </w:rPr>
      </w:pPr>
      <w:r>
        <w:rPr>
          <w:rFonts w:ascii="Courier New" w:cs="Courier New" w:eastAsia="Courier New" w:hAnsi="Courier New"/>
          <w:sz w:val="18"/>
          <w:szCs w:val="18"/>
          <w:color w:val="auto"/>
        </w:rPr>
        <w:t>2.43</w:t>
      </w:r>
    </w:p>
    <w:p>
      <w:pPr>
        <w:ind w:left="3860"/>
        <w:spacing w:after="0"/>
        <w:rPr>
          <w:sz w:val="20"/>
          <w:szCs w:val="20"/>
          <w:color w:val="auto"/>
        </w:rPr>
      </w:pPr>
      <w:r>
        <w:rPr>
          <w:rFonts w:ascii="Courier New" w:cs="Courier New" w:eastAsia="Courier New" w:hAnsi="Courier New"/>
          <w:sz w:val="18"/>
          <w:szCs w:val="18"/>
          <w:color w:val="auto"/>
        </w:rPr>
        <w:t>2.43</w:t>
      </w:r>
    </w:p>
    <w:sectPr>
      <w:pgSz w:w="11900" w:h="16838" w:orient="portrait"/>
      <w:cols w:equalWidth="0" w:num="1">
        <w:col w:w="10179"/>
      </w:cols>
      <w:pgMar w:left="2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amp;"/>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amp;"/>
      <w:numFmt w:val="bullet"/>
      <w:start w:val="1"/>
    </w:lvl>
  </w:abstractNum>
  <w:abstractNum w:abstractNumId="11">
    <w:nsid w:val="3352255A"/>
    <w:multiLevelType w:val="hybridMultilevel"/>
    <w:lvl w:ilvl="0">
      <w:lvlJc w:val="left"/>
      <w:lvlText w:val="&amp;"/>
      <w:numFmt w:val="bullet"/>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2019-12-13T06:30:45Z</dcterms:created>
  <dcterms:modified xsi:type="dcterms:W3CDTF">2019-12-13T06:30:45Z</dcterms:modified>
</cp:coreProperties>
</file>