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854614d425.htm"/>
      <w:bookmarkStart w:id="1" w:name="ksd854614d425"/>
      <w:bookmarkStart w:id="2" w:name="d854614d425.htm"/>
      <w:bookmarkStart w:id="3" w:name="ksd854614d425"/>
      <w:bookmarkEnd w:id="2"/>
      <w:bookmarkEnd w:id="3"/>
    </w:p>
    <w:tbl>
      <w:tblPr>
        <w:tblW w:w="5000" w:type="pct"/>
        <w:jc w:val="center"/>
        <w:tblInd w:w="0" w:type="dxa"/>
        <w:tblLayout w:type="fixed"/>
        <w:tblCellMar>
          <w:top w:w="0" w:type="dxa"/>
          <w:left w:w="0" w:type="dxa"/>
          <w:bottom w:w="0" w:type="dxa"/>
          <w:right w:w="0" w:type="dxa"/>
        </w:tblCellMar>
      </w:tblPr>
      <w:tblGrid>
        <w:gridCol w:w="3190"/>
        <w:gridCol w:w="121"/>
        <w:gridCol w:w="2405"/>
        <w:gridCol w:w="121"/>
        <w:gridCol w:w="4368"/>
      </w:tblGrid>
      <w:tr>
        <w:trPr/>
        <w:tc>
          <w:tcPr>
            <w:tcW w:w="31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8"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bottom"/>
          </w:tcPr>
          <w:p>
            <w:pPr>
              <w:pStyle w:val="TableContents"/>
              <w:bidi w:val="0"/>
              <w:spacing w:before="0" w:after="283"/>
              <w:jc w:val="left"/>
              <w:rPr/>
            </w:pPr>
            <w:r>
              <w:rPr/>
              <w:drawing>
                <wp:inline distT="0" distB="0" distL="0" distR="0">
                  <wp:extent cx="155257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9525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8" w:type="dxa"/>
            <w:tcBorders/>
          </w:tcPr>
          <w:p>
            <w:pPr>
              <w:pStyle w:val="TableContents"/>
              <w:bidi w:val="0"/>
              <w:spacing w:before="0" w:after="0"/>
              <w:jc w:val="left"/>
              <w:rPr>
                <w:rFonts w:ascii="ARIAL" w:hAnsi="ARIAL"/>
                <w:sz w:val="20"/>
              </w:rPr>
            </w:pPr>
            <w:r>
              <w:rPr>
                <w:rFonts w:ascii="ARIAL" w:hAnsi="ARIAL"/>
                <w:sz w:val="20"/>
              </w:rPr>
              <w:t>Filed by Schlumberger N.V.</w:t>
            </w:r>
          </w:p>
          <w:p>
            <w:pPr>
              <w:pStyle w:val="TableContents"/>
              <w:bidi w:val="0"/>
              <w:spacing w:before="0" w:after="0"/>
              <w:jc w:val="left"/>
              <w:rPr>
                <w:rFonts w:ascii="ARIAL" w:hAnsi="ARIAL"/>
                <w:sz w:val="20"/>
              </w:rPr>
            </w:pPr>
            <w:r>
              <w:rPr>
                <w:rFonts w:ascii="ARIAL" w:hAnsi="ARIAL"/>
                <w:sz w:val="20"/>
              </w:rPr>
              <w:t>pursuant to Rule 425 under the Securities Act of 1933</w:t>
            </w:r>
          </w:p>
          <w:p>
            <w:pPr>
              <w:pStyle w:val="TableContents"/>
              <w:bidi w:val="0"/>
              <w:spacing w:before="0" w:after="0"/>
              <w:jc w:val="left"/>
              <w:rPr>
                <w:rFonts w:ascii="ARIAL" w:hAnsi="ARIAL"/>
                <w:sz w:val="20"/>
              </w:rPr>
            </w:pPr>
            <w:r>
              <w:rPr>
                <w:rFonts w:ascii="ARIAL" w:hAnsi="ARIAL"/>
                <w:sz w:val="20"/>
              </w:rPr>
              <w:t>and deemed filed pursuant to Rule 14a-12</w:t>
            </w:r>
          </w:p>
          <w:p>
            <w:pPr>
              <w:pStyle w:val="TableContents"/>
              <w:bidi w:val="0"/>
              <w:spacing w:before="0" w:after="0"/>
              <w:jc w:val="left"/>
              <w:rPr>
                <w:rFonts w:ascii="ARIAL" w:hAnsi="ARIAL"/>
                <w:sz w:val="20"/>
              </w:rPr>
            </w:pPr>
            <w:r>
              <w:rPr>
                <w:rFonts w:ascii="ARIAL" w:hAnsi="ARIAL"/>
                <w:sz w:val="20"/>
              </w:rPr>
              <w:t>under the Securities Exchange Act of 1934</w:t>
            </w:r>
          </w:p>
          <w:p>
            <w:pPr>
              <w:pStyle w:val="TableContents"/>
              <w:bidi w:val="0"/>
              <w:spacing w:before="0" w:after="0"/>
              <w:jc w:val="left"/>
              <w:rPr>
                <w:rFonts w:ascii="ARIAL" w:hAnsi="ARIAL"/>
                <w:sz w:val="20"/>
              </w:rPr>
            </w:pPr>
            <w:r>
              <w:rPr>
                <w:rFonts w:ascii="ARIAL" w:hAnsi="ARIAL"/>
                <w:sz w:val="20"/>
              </w:rPr>
              <w:t>Subject Company: ChampionX Corporation</w:t>
            </w:r>
          </w:p>
          <w:p>
            <w:pPr>
              <w:pStyle w:val="TableContents"/>
              <w:bidi w:val="0"/>
              <w:spacing w:before="0" w:after="0"/>
              <w:jc w:val="left"/>
              <w:rPr>
                <w:rFonts w:ascii="ARIAL" w:hAnsi="ARIAL"/>
                <w:sz w:val="20"/>
              </w:rPr>
            </w:pPr>
            <w:r>
              <w:rPr>
                <w:rFonts w:ascii="ARIAL" w:hAnsi="ARIAL"/>
                <w:sz w:val="20"/>
              </w:rPr>
              <w:t>Filers SEC File No.: 001-38441</w:t>
            </w:r>
          </w:p>
          <w:p>
            <w:pPr>
              <w:pStyle w:val="TableContents"/>
              <w:bidi w:val="0"/>
              <w:spacing w:before="0" w:after="20"/>
              <w:jc w:val="left"/>
              <w:rPr>
                <w:rFonts w:ascii="ARIAL" w:hAnsi="ARIAL"/>
                <w:sz w:val="20"/>
              </w:rPr>
            </w:pPr>
            <w:r>
              <w:rPr>
                <w:rFonts w:ascii="ARIAL" w:hAnsi="ARIAL"/>
                <w:sz w:val="20"/>
              </w:rPr>
              <w:t>Date: October 18, 2024</w:t>
            </w:r>
          </w:p>
        </w:tc>
      </w:tr>
    </w:tbl>
    <w:p>
      <w:pPr>
        <w:pStyle w:val="TextBody"/>
        <w:bidi w:val="0"/>
        <w:spacing w:before="400" w:after="0"/>
        <w:jc w:val="left"/>
        <w:rPr>
          <w:rFonts w:ascii="ARIAL" w:hAnsi="ARIAL"/>
          <w:b/>
          <w:sz w:val="26"/>
        </w:rPr>
      </w:pPr>
      <w:r>
        <w:rPr>
          <w:rFonts w:ascii="ARIAL" w:hAnsi="ARIAL"/>
          <w:b/>
          <w:sz w:val="26"/>
        </w:rPr>
        <w:t xml:space="preserve">SLB Third Quarter 2024 Results Prepared Remarks </w:t>
      </w:r>
    </w:p>
    <w:p>
      <w:pPr>
        <w:pStyle w:val="TextBody"/>
        <w:bidi w:val="0"/>
        <w:spacing w:before="240" w:after="0"/>
        <w:jc w:val="left"/>
        <w:rPr>
          <w:rFonts w:ascii="ARIAL" w:hAnsi="ARIAL"/>
          <w:sz w:val="26"/>
        </w:rPr>
      </w:pPr>
      <w:r>
        <w:rPr>
          <w:rFonts w:ascii="ARIAL" w:hAnsi="ARIAL"/>
          <w:b/>
          <w:sz w:val="26"/>
        </w:rPr>
        <w:t>James R. McDonald</w:t>
      </w:r>
      <w:r>
        <w:rPr>
          <w:rFonts w:ascii="ARIAL" w:hAnsi="ARIAL"/>
          <w:i/>
          <w:sz w:val="26"/>
        </w:rPr>
        <w:t>SVP</w:t>
      </w:r>
      <w:r>
        <w:rPr>
          <w:rFonts w:ascii="ARIAL" w:hAnsi="ARIAL"/>
          <w:sz w:val="26"/>
        </w:rPr>
        <w:t xml:space="preserve"> </w:t>
      </w:r>
      <w:r>
        <w:rPr>
          <w:rFonts w:ascii="ARIAL" w:hAnsi="ARIAL"/>
          <w:i/>
          <w:sz w:val="26"/>
        </w:rPr>
        <w:t>of Investor Relations and Industry Affairs</w:t>
      </w:r>
      <w:r>
        <w:rPr>
          <w:rFonts w:ascii="ARIAL" w:hAnsi="ARIAL"/>
          <w:sz w:val="26"/>
        </w:rPr>
        <w:t xml:space="preserve"> </w:t>
      </w:r>
    </w:p>
    <w:p>
      <w:pPr>
        <w:pStyle w:val="TextBody"/>
        <w:bidi w:val="0"/>
        <w:spacing w:before="240" w:after="0"/>
        <w:jc w:val="left"/>
        <w:rPr>
          <w:rFonts w:ascii="ARIAL" w:hAnsi="ARIAL"/>
          <w:sz w:val="22"/>
        </w:rPr>
      </w:pPr>
      <w:r>
        <w:rPr>
          <w:rFonts w:ascii="ARIAL" w:hAnsi="ARIAL"/>
          <w:sz w:val="22"/>
        </w:rPr>
        <w:t xml:space="preserve">Thank you, Leah. </w:t>
      </w:r>
    </w:p>
    <w:p>
      <w:pPr>
        <w:pStyle w:val="TextBody"/>
        <w:bidi w:val="0"/>
        <w:spacing w:before="240" w:after="0"/>
        <w:jc w:val="left"/>
        <w:rPr>
          <w:rFonts w:ascii="ARIAL" w:hAnsi="ARIAL"/>
          <w:sz w:val="22"/>
        </w:rPr>
      </w:pPr>
      <w:r>
        <w:rPr>
          <w:rFonts w:ascii="ARIAL" w:hAnsi="ARIAL"/>
          <w:sz w:val="22"/>
        </w:rPr>
        <w:t xml:space="preserve">Good morning, and welcome to the SLB, Third Quarter 2024, Earnings Conference Call. </w:t>
      </w:r>
    </w:p>
    <w:p>
      <w:pPr>
        <w:pStyle w:val="TextBody"/>
        <w:bidi w:val="0"/>
        <w:spacing w:before="240" w:after="0"/>
        <w:jc w:val="left"/>
        <w:rPr>
          <w:rFonts w:ascii="ARIAL" w:hAnsi="ARIAL"/>
          <w:sz w:val="22"/>
        </w:rPr>
      </w:pPr>
      <w:r>
        <w:rPr>
          <w:rFonts w:ascii="ARIAL" w:hAnsi="ARIAL"/>
          <w:sz w:val="22"/>
        </w:rPr>
        <w:t xml:space="preserve">Todays call is being hosted from New York, following our Board meeting held earlier this week. </w:t>
      </w:r>
    </w:p>
    <w:p>
      <w:pPr>
        <w:pStyle w:val="TextBody"/>
        <w:bidi w:val="0"/>
        <w:spacing w:before="240" w:after="0"/>
        <w:jc w:val="left"/>
        <w:rPr>
          <w:rFonts w:ascii="ARIAL" w:hAnsi="ARIAL"/>
          <w:sz w:val="22"/>
        </w:rPr>
      </w:pPr>
      <w:r>
        <w:rPr>
          <w:rFonts w:ascii="ARIAL" w:hAnsi="ARIAL"/>
          <w:sz w:val="22"/>
        </w:rPr>
        <w:t xml:space="preserve">Joining us on the call are Olivier Le Peuch, Chief Executive Officer, and Stephane Biguet, Chief Financial Officer. </w:t>
      </w:r>
    </w:p>
    <w:p>
      <w:pPr>
        <w:pStyle w:val="TextBody"/>
        <w:bidi w:val="0"/>
        <w:spacing w:before="240" w:after="0"/>
        <w:jc w:val="left"/>
        <w:rPr>
          <w:rFonts w:ascii="ARIAL" w:hAnsi="ARIAL"/>
          <w:sz w:val="22"/>
        </w:rPr>
      </w:pPr>
      <w:r>
        <w:rPr>
          <w:rFonts w:ascii="ARIAL" w:hAnsi="ARIAL"/>
          <w:sz w:val="22"/>
        </w:rPr>
        <w:t xml:space="preserve">Before we begin, I would like to remind all participants that some of the statements we will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 </w:t>
      </w:r>
    </w:p>
    <w:p>
      <w:pPr>
        <w:pStyle w:val="TextBody"/>
        <w:bidi w:val="0"/>
        <w:spacing w:before="240" w:after="0"/>
        <w:jc w:val="left"/>
        <w:rPr>
          <w:rFonts w:ascii="ARIAL" w:hAnsi="ARIAL"/>
          <w:sz w:val="22"/>
        </w:rPr>
      </w:pPr>
      <w:r>
        <w:rPr>
          <w:rFonts w:ascii="ARIAL" w:hAnsi="ARIAL"/>
          <w:sz w:val="22"/>
        </w:rPr>
        <w:t xml:space="preserve">Our comments today also include non-GAAP financial measures. Additional details and reconciliations to the most directly comparable GAAP financial measures can be found in our third-quarter press release, which is on our website. </w:t>
      </w:r>
    </w:p>
    <w:p>
      <w:pPr>
        <w:pStyle w:val="TextBody"/>
        <w:bidi w:val="0"/>
        <w:spacing w:before="240" w:after="0"/>
        <w:jc w:val="left"/>
        <w:rPr>
          <w:rFonts w:ascii="ARIAL" w:hAnsi="ARIAL"/>
          <w:sz w:val="22"/>
        </w:rPr>
      </w:pPr>
      <w:r>
        <w:rPr>
          <w:rFonts w:ascii="ARIAL" w:hAnsi="ARIAL"/>
          <w:sz w:val="22"/>
        </w:rPr>
        <w:t xml:space="preserve">And finally, in conjunction with our proposed acquisition, SLB and ChampionX have filed materials with the SEC, including a registration statement with a proxy statement and prospectuses. These materials can be found on the SECs website or from the parties websites. </w:t>
      </w:r>
    </w:p>
    <w:p>
      <w:pPr>
        <w:pStyle w:val="TextBody"/>
        <w:bidi w:val="0"/>
        <w:spacing w:before="240" w:after="0"/>
        <w:jc w:val="left"/>
        <w:rPr>
          <w:rFonts w:ascii="ARIAL" w:hAnsi="ARIAL"/>
          <w:sz w:val="22"/>
        </w:rPr>
      </w:pPr>
      <w:r>
        <w:rPr>
          <w:rFonts w:ascii="ARIAL" w:hAnsi="ARIAL"/>
          <w:sz w:val="22"/>
        </w:rPr>
        <w:t xml:space="preserve">With that, I will turn the call over to Olivier.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7"/>
        </w:rPr>
      </w:pPr>
      <w:r>
        <w:rPr>
          <w:rFonts w:ascii="ARIAL" w:hAnsi="ARIAL"/>
          <w:b/>
          <w:sz w:val="27"/>
        </w:rPr>
        <w:t>Olivier Le Peuch</w:t>
      </w:r>
      <w:r>
        <w:rPr>
          <w:rFonts w:ascii="ARIAL" w:hAnsi="ARIAL"/>
          <w:i/>
          <w:sz w:val="27"/>
        </w:rPr>
        <w:t>CEO</w:t>
      </w:r>
      <w:r>
        <w:rPr>
          <w:rFonts w:ascii="ARIAL" w:hAnsi="ARIAL"/>
          <w:sz w:val="27"/>
        </w:rPr>
        <w:t xml:space="preserve"> </w:t>
      </w:r>
    </w:p>
    <w:p>
      <w:pPr>
        <w:pStyle w:val="TextBody"/>
        <w:bidi w:val="0"/>
        <w:spacing w:before="240" w:after="0"/>
        <w:jc w:val="left"/>
        <w:rPr>
          <w:rFonts w:ascii="ARIAL" w:hAnsi="ARIAL"/>
          <w:sz w:val="22"/>
        </w:rPr>
      </w:pPr>
      <w:r>
        <w:rPr>
          <w:rFonts w:ascii="ARIAL" w:hAnsi="ARIAL"/>
          <w:sz w:val="22"/>
        </w:rPr>
        <w:t xml:space="preserve">Thank you, James. Ladies and gentlemen, thank you for joining us this morning. </w:t>
      </w:r>
    </w:p>
    <w:p>
      <w:pPr>
        <w:pStyle w:val="TextBody"/>
        <w:bidi w:val="0"/>
        <w:spacing w:before="240" w:after="0"/>
        <w:jc w:val="left"/>
        <w:rPr>
          <w:rFonts w:ascii="ARIAL" w:hAnsi="ARIAL"/>
          <w:sz w:val="22"/>
        </w:rPr>
      </w:pPr>
      <w:r>
        <w:rPr>
          <w:rFonts w:ascii="ARIAL" w:hAnsi="ARIAL"/>
          <w:sz w:val="22"/>
        </w:rPr>
        <w:t xml:space="preserve">During the call, I will cover a few topics. Ill start by reviewing our third-quarter results. Then, I will discuss how we are leveraging our differentiated market positioning, digital leadership, and operating efficiency to navigate the evolving macro environment. And finally, I will provide an update on our full-year financial ambitions and our early outlook for 2025. </w:t>
      </w:r>
    </w:p>
    <w:p>
      <w:pPr>
        <w:pStyle w:val="TextBody"/>
        <w:bidi w:val="0"/>
        <w:spacing w:before="240" w:after="0"/>
        <w:jc w:val="left"/>
        <w:rPr>
          <w:rFonts w:ascii="ARIAL" w:hAnsi="ARIAL"/>
          <w:sz w:val="22"/>
        </w:rPr>
      </w:pPr>
      <w:r>
        <w:rPr>
          <w:rFonts w:ascii="ARIAL" w:hAnsi="ARIAL"/>
          <w:sz w:val="22"/>
        </w:rPr>
        <w:t xml:space="preserve">Stephane will then provide additional details on our financial results, and we will open the line to your questions. Lets begin. </w:t>
      </w:r>
    </w:p>
    <w:p>
      <w:pPr>
        <w:pStyle w:val="TextBody"/>
        <w:bidi w:val="0"/>
        <w:spacing w:before="240" w:after="0"/>
        <w:jc w:val="left"/>
        <w:rPr>
          <w:rFonts w:ascii="ARIAL" w:hAnsi="ARIAL"/>
          <w:b/>
          <w:sz w:val="22"/>
        </w:rPr>
      </w:pPr>
      <w:r>
        <w:rPr>
          <w:rFonts w:ascii="ARIAL" w:hAnsi="ARIAL"/>
          <w:b/>
          <w:sz w:val="22"/>
        </w:rPr>
        <w:t xml:space="preserve">Strong Third-Quarter Performance </w:t>
      </w:r>
    </w:p>
    <w:p>
      <w:pPr>
        <w:pStyle w:val="TextBody"/>
        <w:bidi w:val="0"/>
        <w:spacing w:before="240" w:after="0"/>
        <w:jc w:val="left"/>
        <w:rPr>
          <w:rFonts w:ascii="ARIAL" w:hAnsi="ARIAL"/>
          <w:sz w:val="22"/>
        </w:rPr>
      </w:pPr>
      <w:r>
        <w:rPr>
          <w:rFonts w:ascii="ARIAL" w:hAnsi="ARIAL"/>
          <w:sz w:val="22"/>
        </w:rPr>
        <w:t xml:space="preserve">SLB delivered strong third-quarter results with continued margin expansion. Sequentially, although revenue was flat, we expanded our adjusted EBITDA margin by more than 50 basis points to 25.6% by driving efficiencies throughout the business, and we generated very strong free cash flow of $1.81billion. </w:t>
      </w:r>
    </w:p>
    <w:p>
      <w:pPr>
        <w:pStyle w:val="TextBody"/>
        <w:bidi w:val="0"/>
        <w:spacing w:before="240" w:after="0"/>
        <w:jc w:val="left"/>
        <w:rPr>
          <w:rFonts w:ascii="ARIAL" w:hAnsi="ARIAL"/>
          <w:sz w:val="22"/>
        </w:rPr>
      </w:pPr>
      <w:r>
        <w:rPr>
          <w:rFonts w:ascii="ARIAL" w:hAnsi="ARIAL"/>
          <w:sz w:val="22"/>
        </w:rPr>
        <w:t xml:space="preserve">In the international markets, revenue remained steady sequentially despite lower rig activity as commodity prices resulted in a more cautious approach to discretionary short-cycle spending. Demand for SLBs digital products and services continued to accelerate. And we saw continued growth in the Middle East &amp; Asia, fueled by oil capacity expansions and strong gas activity, as well as offshore projects. </w:t>
      </w:r>
    </w:p>
    <w:p>
      <w:pPr>
        <w:pStyle w:val="TextBody"/>
        <w:bidi w:val="0"/>
        <w:spacing w:before="240" w:after="0"/>
        <w:jc w:val="left"/>
        <w:rPr>
          <w:rFonts w:ascii="ARIAL" w:hAnsi="ARIAL"/>
          <w:sz w:val="22"/>
        </w:rPr>
      </w:pPr>
      <w:r>
        <w:rPr>
          <w:rFonts w:ascii="ARIAL" w:hAnsi="ARIAL"/>
          <w:sz w:val="22"/>
        </w:rPr>
        <w:t xml:space="preserve">Meanwhile, revenue in Europe &amp; Africa was largely unchanged, as strong production and recovery activity in North Africa was offset by a decline in Latin America following a strong second quarter. </w:t>
      </w:r>
    </w:p>
    <w:p>
      <w:pPr>
        <w:pStyle w:val="TextBody"/>
        <w:bidi w:val="0"/>
        <w:spacing w:before="240" w:after="0"/>
        <w:jc w:val="left"/>
        <w:rPr>
          <w:rFonts w:ascii="ARIAL" w:hAnsi="ARIAL"/>
          <w:sz w:val="22"/>
        </w:rPr>
      </w:pPr>
      <w:r>
        <w:rPr>
          <w:rFonts w:ascii="ARIAL" w:hAnsi="ARIAL"/>
          <w:sz w:val="22"/>
        </w:rPr>
        <w:t xml:space="preserve">Turning to North America, revenue increased 3% sequentially as higher offshore activity in the Gulf of Mexico was partially offset by lower drilling activity in U.S. land as the market remained constrained by gas prices and ongoing capital discipline by operators. </w:t>
      </w:r>
    </w:p>
    <w:p>
      <w:pPr>
        <w:pStyle w:val="TextBody"/>
        <w:bidi w:val="0"/>
        <w:spacing w:before="240" w:after="0"/>
        <w:jc w:val="left"/>
        <w:rPr>
          <w:rFonts w:ascii="ARIAL" w:hAnsi="ARIAL"/>
          <w:sz w:val="22"/>
        </w:rPr>
      </w:pPr>
      <w:r>
        <w:rPr>
          <w:rFonts w:ascii="ARIAL" w:hAnsi="ARIAL"/>
          <w:sz w:val="22"/>
        </w:rPr>
        <w:t xml:space="preserve">Next, let me touch on the performance of the Divisions. </w:t>
      </w:r>
    </w:p>
    <w:p>
      <w:pPr>
        <w:pStyle w:val="TextBody"/>
        <w:bidi w:val="0"/>
        <w:spacing w:before="240" w:after="0"/>
        <w:jc w:val="left"/>
        <w:rPr>
          <w:rFonts w:ascii="ARIAL" w:hAnsi="ARIAL"/>
          <w:sz w:val="22"/>
        </w:rPr>
      </w:pPr>
      <w:r>
        <w:rPr>
          <w:rFonts w:ascii="ARIAL" w:hAnsi="ARIAL"/>
          <w:sz w:val="22"/>
        </w:rPr>
        <w:t xml:space="preserve">In Digital &amp; Integration, we delivered strong sequential growth led by our digital business, which reached a new quarterly revenue high. We also continued to increase profitability, expanding our pretax segment operating margin to 36%, driven by higher digital revenue and cost optimization. </w:t>
      </w:r>
    </w:p>
    <w:p>
      <w:pPr>
        <w:pStyle w:val="TextBody"/>
        <w:bidi w:val="0"/>
        <w:spacing w:before="240" w:after="0"/>
        <w:jc w:val="left"/>
        <w:rPr>
          <w:rFonts w:ascii="ARIAL" w:hAnsi="ARIAL"/>
          <w:sz w:val="22"/>
        </w:rPr>
      </w:pPr>
      <w:r>
        <w:rPr>
          <w:rFonts w:ascii="ARIAL" w:hAnsi="ARIAL"/>
          <w:sz w:val="22"/>
        </w:rPr>
        <w:t xml:space="preserve">Overall, our digital business remains on pace to achieve full-year revenue growth in the high teens, and we announced a number of exciting new products and partnerships during the quarter that I will discuss a little later in todays call. </w:t>
      </w:r>
    </w:p>
    <w:p>
      <w:pPr>
        <w:pStyle w:val="TextBody"/>
        <w:bidi w:val="0"/>
        <w:spacing w:before="240" w:after="0"/>
        <w:jc w:val="left"/>
        <w:rPr>
          <w:rFonts w:ascii="ARIAL" w:hAnsi="ARIAL"/>
          <w:sz w:val="22"/>
        </w:rPr>
      </w:pPr>
      <w:r>
        <w:rPr>
          <w:rFonts w:ascii="ARIAL" w:hAnsi="ARIAL"/>
          <w:sz w:val="22"/>
        </w:rPr>
        <w:t xml:space="preserve">Turning to the Core divisions, Production Systems continues to grow, benefitting from long-cycle development activity, particularly in the Middle East &amp; Asia and in the Gulf of Mexico. I was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2"/>
        </w:rPr>
      </w:pPr>
      <w:r>
        <w:rPr>
          <w:rFonts w:ascii="ARIAL" w:hAnsi="ARIAL"/>
          <w:sz w:val="22"/>
        </w:rPr>
        <w:t xml:space="preserve">proud to see that most Production Systems business lines contributed to this performance, as we continued to secure sizable bookings, while also increasing our backlog for the future. </w:t>
      </w:r>
    </w:p>
    <w:p>
      <w:pPr>
        <w:pStyle w:val="TextBody"/>
        <w:bidi w:val="0"/>
        <w:spacing w:before="240" w:after="0"/>
        <w:jc w:val="left"/>
        <w:rPr>
          <w:rFonts w:ascii="ARIAL" w:hAnsi="ARIAL"/>
          <w:sz w:val="22"/>
        </w:rPr>
      </w:pPr>
      <w:r>
        <w:rPr>
          <w:rFonts w:ascii="ARIAL" w:hAnsi="ARIAL"/>
          <w:sz w:val="22"/>
        </w:rPr>
        <w:t xml:space="preserve">Reservoir Performance remained steady, supported by stable production and recovery spending, and Well Construction declined slightly, due to weaker land activity in North America and in the international markets. </w:t>
      </w:r>
    </w:p>
    <w:p>
      <w:pPr>
        <w:pStyle w:val="TextBody"/>
        <w:bidi w:val="0"/>
        <w:spacing w:before="240" w:after="0"/>
        <w:jc w:val="left"/>
        <w:rPr>
          <w:rFonts w:ascii="ARIAL" w:hAnsi="ARIAL"/>
          <w:sz w:val="22"/>
        </w:rPr>
      </w:pPr>
      <w:r>
        <w:rPr>
          <w:rFonts w:ascii="ARIAL" w:hAnsi="ARIAL"/>
          <w:sz w:val="22"/>
        </w:rPr>
        <w:t xml:space="preserve">Overall, these results demonstrate SLBs unique ability to navigate the evolving market by leveraging our differentiated international and offshore positioning, our broad technology portfolio, and our continued focus on capital discipline and operating efficiency. </w:t>
      </w:r>
    </w:p>
    <w:p>
      <w:pPr>
        <w:pStyle w:val="TextBody"/>
        <w:bidi w:val="0"/>
        <w:spacing w:before="240" w:after="0"/>
        <w:jc w:val="left"/>
        <w:rPr>
          <w:rFonts w:ascii="ARIAL" w:hAnsi="ARIAL"/>
          <w:sz w:val="22"/>
        </w:rPr>
      </w:pPr>
      <w:r>
        <w:rPr>
          <w:rFonts w:ascii="ARIAL" w:hAnsi="ARIAL"/>
          <w:sz w:val="22"/>
        </w:rPr>
        <w:t xml:space="preserve">I want to thank the SLB team for continuing to deliver for our customers and shareholders in this dynamic environment. I am extremely proud of their contribution and dedication to our performance strategy. </w:t>
      </w:r>
    </w:p>
    <w:p>
      <w:pPr>
        <w:pStyle w:val="TextBody"/>
        <w:bidi w:val="0"/>
        <w:spacing w:before="240" w:after="0"/>
        <w:jc w:val="left"/>
        <w:rPr>
          <w:rFonts w:ascii="ARIAL" w:hAnsi="ARIAL"/>
          <w:b/>
          <w:sz w:val="22"/>
        </w:rPr>
      </w:pPr>
      <w:r>
        <w:rPr>
          <w:rFonts w:ascii="ARIAL" w:hAnsi="ARIAL"/>
          <w:b/>
          <w:sz w:val="22"/>
        </w:rPr>
        <w:t xml:space="preserve">Driving Further Growth Through Digital </w:t>
      </w:r>
    </w:p>
    <w:p>
      <w:pPr>
        <w:pStyle w:val="TextBody"/>
        <w:bidi w:val="0"/>
        <w:spacing w:before="240" w:after="0"/>
        <w:jc w:val="left"/>
        <w:rPr>
          <w:rFonts w:ascii="ARIAL" w:hAnsi="ARIAL"/>
          <w:sz w:val="22"/>
        </w:rPr>
      </w:pPr>
      <w:r>
        <w:rPr>
          <w:rFonts w:ascii="ARIAL" w:hAnsi="ARIAL"/>
          <w:sz w:val="22"/>
        </w:rPr>
        <w:t xml:space="preserve">Next, I wanted to share some updates on our progress in digital. </w:t>
      </w:r>
    </w:p>
    <w:p>
      <w:pPr>
        <w:pStyle w:val="TextBody"/>
        <w:bidi w:val="0"/>
        <w:spacing w:before="240" w:after="0"/>
        <w:jc w:val="left"/>
        <w:rPr>
          <w:rFonts w:ascii="ARIAL" w:hAnsi="ARIAL"/>
          <w:sz w:val="22"/>
        </w:rPr>
      </w:pPr>
      <w:r>
        <w:rPr>
          <w:rFonts w:ascii="ARIAL" w:hAnsi="ARIAL"/>
          <w:sz w:val="22"/>
        </w:rPr>
        <w:t xml:space="preserve">We delivered another quarter of strong digital growth as operators continued to increase their investments in digital technology to reduce cycle times and risk, enhance productivity, lower costs and carbon, and accelerate returns. This is presenting opportunities for high margin growth, and we have taken a leading role in this space, partnering with our customers to accelerate their transition to the cloud, scaling new technology for drilling and production operations, and creating new markets by delivering disruptive solutions for data and AI. </w:t>
      </w:r>
    </w:p>
    <w:p>
      <w:pPr>
        <w:pStyle w:val="TextBody"/>
        <w:bidi w:val="0"/>
        <w:spacing w:before="240" w:after="0"/>
        <w:jc w:val="left"/>
        <w:rPr>
          <w:rFonts w:ascii="ARIAL" w:hAnsi="ARIAL"/>
          <w:sz w:val="22"/>
        </w:rPr>
      </w:pPr>
      <w:r>
        <w:rPr>
          <w:rFonts w:ascii="ARIAL" w:hAnsi="ARIAL"/>
          <w:sz w:val="22"/>
        </w:rPr>
        <w:t xml:space="preserve">As part of this journey, we hosted our Digital Forum in September, where we brought more than 1,000 customers and partners to innovate solutions and shape our shared digital future. </w:t>
      </w:r>
    </w:p>
    <w:p>
      <w:pPr>
        <w:pStyle w:val="TextBody"/>
        <w:bidi w:val="0"/>
        <w:spacing w:before="240" w:after="0"/>
        <w:jc w:val="left"/>
        <w:rPr>
          <w:rFonts w:ascii="ARIAL" w:hAnsi="ARIAL"/>
          <w:sz w:val="22"/>
        </w:rPr>
      </w:pPr>
      <w:r>
        <w:rPr>
          <w:rFonts w:ascii="ARIAL" w:hAnsi="ARIAL"/>
          <w:sz w:val="22"/>
        </w:rPr>
        <w:t xml:space="preserve">During this event, we launched the Lumi data and AI platform, which will accelerate advanced data and generative AI capabilities at scale for SLBs customers across the energy value chain. Today, we offer approximately 150 AI and machine learning capabilities across our products and solutions, and we continue to work with our customers and partners to innovate and deploy new ones. </w:t>
      </w:r>
    </w:p>
    <w:p>
      <w:pPr>
        <w:pStyle w:val="TextBody"/>
        <w:bidi w:val="0"/>
        <w:spacing w:before="240" w:after="0"/>
        <w:jc w:val="left"/>
        <w:rPr>
          <w:rFonts w:ascii="ARIAL" w:hAnsi="ARIAL"/>
          <w:sz w:val="22"/>
        </w:rPr>
      </w:pPr>
      <w:r>
        <w:rPr>
          <w:rFonts w:ascii="ARIAL" w:hAnsi="ARIAL"/>
          <w:sz w:val="22"/>
        </w:rPr>
        <w:t xml:space="preserve">We also unveiled a number of cross-industry announcements during the Forum. This includes a collaboration with NVIDIA to develop generative AI solutions for energy, as well as a partnership with Amazon Web Services to expand access to applications from the Delfi digital platform and to evaluate decarbonization solutions for Amazons digital infrastructure. Each of these agreements helps to expand our capability set and positions SLB as a key partner in digital and sustainability across the industry.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2"/>
        </w:rPr>
      </w:pPr>
      <w:r>
        <w:rPr>
          <w:rFonts w:ascii="ARIAL" w:hAnsi="ARIAL"/>
          <w:b/>
          <w:sz w:val="22"/>
        </w:rPr>
        <w:t xml:space="preserve">An Evolving Macro Environment </w:t>
      </w:r>
    </w:p>
    <w:p>
      <w:pPr>
        <w:pStyle w:val="TextBody"/>
        <w:bidi w:val="0"/>
        <w:spacing w:before="240" w:after="0"/>
        <w:jc w:val="left"/>
        <w:rPr>
          <w:rFonts w:ascii="ARIAL" w:hAnsi="ARIAL"/>
          <w:sz w:val="22"/>
        </w:rPr>
      </w:pPr>
      <w:r>
        <w:rPr>
          <w:rFonts w:ascii="ARIAL" w:hAnsi="ARIAL"/>
          <w:sz w:val="22"/>
        </w:rPr>
        <w:t xml:space="preserve">Next let me discuss the macro environment. </w:t>
      </w:r>
    </w:p>
    <w:p>
      <w:pPr>
        <w:pStyle w:val="TextBody"/>
        <w:bidi w:val="0"/>
        <w:spacing w:before="240" w:after="0"/>
        <w:jc w:val="left"/>
        <w:rPr>
          <w:rFonts w:ascii="ARIAL" w:hAnsi="ARIAL"/>
          <w:sz w:val="22"/>
        </w:rPr>
      </w:pPr>
      <w:r>
        <w:rPr>
          <w:rFonts w:ascii="ARIAL" w:hAnsi="ARIAL"/>
          <w:sz w:val="22"/>
        </w:rPr>
        <w:t xml:space="preserve">Over the past few months, commodity prices have been under pressure. This is largely due to concerns of an oversupplied market-driven by higher output from non-OPEC+ producers, uncertainty around OPEC+ supply releases,weaker demand from China, and softer economic growth rates in the U.S. and Europe. This has resulted in a cautionary approach to activity and discretionary spend by many customers as highlighted in our third-quarter results. </w:t>
      </w:r>
    </w:p>
    <w:p>
      <w:pPr>
        <w:pStyle w:val="TextBody"/>
        <w:bidi w:val="0"/>
        <w:spacing w:before="240" w:after="0"/>
        <w:jc w:val="left"/>
        <w:rPr>
          <w:rFonts w:ascii="ARIAL" w:hAnsi="ARIAL"/>
          <w:sz w:val="22"/>
        </w:rPr>
      </w:pPr>
      <w:r>
        <w:rPr>
          <w:rFonts w:ascii="ARIAL" w:hAnsi="ARIAL"/>
          <w:sz w:val="22"/>
        </w:rPr>
        <w:t xml:space="preserve">Despite these evolving market conditions, we believe the long-term fundamentals for oil and gas remain in place. Demand for energy is increasing and energy security remains a global priority, as witnessed by recent commodity price fluctuations tied to geopolitical tensions in the Middle East. In this environment, gas will continue to play an increasing role in the energy transition, while oil will remain a large part of the energy mix for decades to come. </w:t>
      </w:r>
    </w:p>
    <w:p>
      <w:pPr>
        <w:pStyle w:val="TextBody"/>
        <w:bidi w:val="0"/>
        <w:spacing w:before="240" w:after="0"/>
        <w:jc w:val="left"/>
        <w:rPr>
          <w:rFonts w:ascii="ARIAL" w:hAnsi="ARIAL"/>
          <w:sz w:val="22"/>
        </w:rPr>
      </w:pPr>
      <w:r>
        <w:rPr>
          <w:rFonts w:ascii="ARIAL" w:hAnsi="ARIAL"/>
          <w:sz w:val="22"/>
        </w:rPr>
        <w:t xml:space="preserve">Internationally, gas investment remains strong, particularly in Asia, the Middle East, and the North Sea, and is expected to grow regardless of OPEC+ decisions on oil production. Meanwhile, while short-cycle oil investments have been more challenged, long-cycle deepwater projects globally and most capacity expansion projects in the Middle East remain economically and strategically favorable. </w:t>
      </w:r>
    </w:p>
    <w:p>
      <w:pPr>
        <w:pStyle w:val="TextBody"/>
        <w:bidi w:val="0"/>
        <w:spacing w:before="240" w:after="0"/>
        <w:jc w:val="left"/>
        <w:rPr>
          <w:rFonts w:ascii="ARIAL" w:hAnsi="ARIAL"/>
          <w:sz w:val="22"/>
        </w:rPr>
      </w:pPr>
      <w:r>
        <w:rPr>
          <w:rFonts w:ascii="ARIAL" w:hAnsi="ARIAL"/>
          <w:sz w:val="22"/>
        </w:rPr>
        <w:t xml:space="preserve">Specific to North America, we do not see U.S. activity rebounding in the near term, and any potential increases in gas rigs could be quickly offset by a further decline in oil rigs due to increased operating efficiency. </w:t>
      </w:r>
    </w:p>
    <w:p>
      <w:pPr>
        <w:pStyle w:val="TextBody"/>
        <w:bidi w:val="0"/>
        <w:spacing w:before="240" w:after="0"/>
        <w:jc w:val="left"/>
        <w:rPr>
          <w:rFonts w:ascii="ARIAL" w:hAnsi="ARIAL"/>
          <w:sz w:val="22"/>
        </w:rPr>
      </w:pPr>
      <w:r>
        <w:rPr>
          <w:rFonts w:ascii="ARIAL" w:hAnsi="ARIAL"/>
          <w:sz w:val="22"/>
        </w:rPr>
        <w:t xml:space="preserve">Overall, we expect this to result in a sustained level of global upstream investment in the years to come, with the secular trends of digital and industry decarbonization extending the investment horizon. </w:t>
      </w:r>
    </w:p>
    <w:p>
      <w:pPr>
        <w:pStyle w:val="TextBody"/>
        <w:bidi w:val="0"/>
        <w:spacing w:before="240" w:after="0"/>
        <w:jc w:val="left"/>
        <w:rPr>
          <w:rFonts w:ascii="ARIAL" w:hAnsi="ARIAL"/>
          <w:sz w:val="22"/>
        </w:rPr>
      </w:pPr>
      <w:r>
        <w:rPr>
          <w:rFonts w:ascii="ARIAL" w:hAnsi="ARIAL"/>
          <w:sz w:val="22"/>
        </w:rPr>
        <w:t xml:space="preserve">SLB is well positioned to navigate in this evolving macroenvironment through our differentiated portfolio and multipronged strategic approach across Core, Digital,and New Energy. </w:t>
      </w:r>
    </w:p>
    <w:p>
      <w:pPr>
        <w:pStyle w:val="TextBody"/>
        <w:bidi w:val="0"/>
        <w:spacing w:before="240" w:after="0"/>
        <w:jc w:val="left"/>
        <w:rPr>
          <w:rFonts w:ascii="ARIAL" w:hAnsi="ARIAL"/>
          <w:b/>
          <w:sz w:val="22"/>
        </w:rPr>
      </w:pPr>
      <w:r>
        <w:rPr>
          <w:rFonts w:ascii="ARIAL" w:hAnsi="ARIAL"/>
          <w:b/>
          <w:sz w:val="22"/>
        </w:rPr>
        <w:t xml:space="preserve">Updated Fourth-Quarter and Full-Year Guidance and Early Outlook for 2025 </w:t>
      </w:r>
    </w:p>
    <w:p>
      <w:pPr>
        <w:pStyle w:val="TextBody"/>
        <w:bidi w:val="0"/>
        <w:spacing w:before="240" w:after="0"/>
        <w:jc w:val="left"/>
        <w:rPr>
          <w:rFonts w:ascii="ARIAL" w:hAnsi="ARIAL"/>
          <w:sz w:val="22"/>
        </w:rPr>
      </w:pPr>
      <w:r>
        <w:rPr>
          <w:rFonts w:ascii="ARIAL" w:hAnsi="ARIAL"/>
          <w:sz w:val="22"/>
        </w:rPr>
        <w:t xml:space="preserve">With that backdrop, let me conclude my opening remarks by sharing our outlook for the full year 2024 and our early thoughts regarding 2025. </w:t>
      </w:r>
    </w:p>
    <w:p>
      <w:pPr>
        <w:pStyle w:val="TextBody"/>
        <w:bidi w:val="0"/>
        <w:spacing w:before="240" w:after="0"/>
        <w:jc w:val="left"/>
        <w:rPr>
          <w:rFonts w:ascii="ARIAL" w:hAnsi="ARIAL"/>
          <w:sz w:val="22"/>
        </w:rPr>
      </w:pPr>
      <w:r>
        <w:rPr>
          <w:rFonts w:ascii="ARIAL" w:hAnsi="ARIAL"/>
          <w:sz w:val="22"/>
        </w:rPr>
        <w:t xml:space="preserve">Specific to the fourth quarter, we expect muted revenue growth, with a favorable mix of year-end digital and product sales partially offset by E&amp;P budget exhaustion in U.S. land and cautious discretionary spending from certain international customers. And, with continued cost optimization, we anticipate we will deliver EBITDA margin expansion in the fourth quarter.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2"/>
        </w:rPr>
      </w:pPr>
      <w:r>
        <w:rPr>
          <w:rFonts w:ascii="ARIAL" w:hAnsi="ARIAL"/>
          <w:sz w:val="22"/>
        </w:rPr>
        <w:t xml:space="preserve">For the full year of 2024, ongoing margin expansion will enable us to deliver full-year adjusted EBITDA margins at or above 25%. Additionally, our strong cash flows, coupled with the announced sale of our Palliser asset in Canada,will support increased returns to our shareholders. </w:t>
      </w:r>
    </w:p>
    <w:p>
      <w:pPr>
        <w:pStyle w:val="TextBody"/>
        <w:bidi w:val="0"/>
        <w:spacing w:before="240" w:after="0"/>
        <w:jc w:val="left"/>
        <w:rPr>
          <w:rFonts w:ascii="ARIAL" w:hAnsi="ARIAL"/>
          <w:sz w:val="22"/>
        </w:rPr>
      </w:pPr>
      <w:r>
        <w:rPr>
          <w:rFonts w:ascii="ARIAL" w:hAnsi="ARIAL"/>
          <w:sz w:val="22"/>
        </w:rPr>
        <w:t xml:space="preserve">In 2025, we see the potential for upstream spending in the international markets to grow in the low to mid-single digits, while North America spending will be flat to slightly down. This directional outlook will depend on the geopolitical environment and commodity prices, and we will share an updated view in January after we receive more feedback on customer budgets. </w:t>
      </w:r>
    </w:p>
    <w:p>
      <w:pPr>
        <w:pStyle w:val="TextBody"/>
        <w:bidi w:val="0"/>
        <w:spacing w:before="240" w:after="0"/>
        <w:jc w:val="left"/>
        <w:rPr>
          <w:rFonts w:ascii="ARIAL" w:hAnsi="ARIAL"/>
          <w:sz w:val="22"/>
        </w:rPr>
      </w:pPr>
      <w:r>
        <w:rPr>
          <w:rFonts w:ascii="ARIAL" w:hAnsi="ARIAL"/>
          <w:sz w:val="22"/>
        </w:rPr>
        <w:t xml:space="preserve">In conclusion,SLB remains well positioned to deliver strong financial results, as our optimized cost structure, portfolio rationalization, differentiated exposure to key international and offshore markets, and digital leadership will support further margin expansion,higher cash generation,and increased returns to shareholders. </w:t>
      </w:r>
    </w:p>
    <w:p>
      <w:pPr>
        <w:pStyle w:val="TextBody"/>
        <w:bidi w:val="0"/>
        <w:spacing w:before="240" w:after="0"/>
        <w:jc w:val="left"/>
        <w:rPr>
          <w:rFonts w:ascii="ARIAL" w:hAnsi="ARIAL"/>
          <w:sz w:val="22"/>
        </w:rPr>
      </w:pPr>
      <w:r>
        <w:rPr>
          <w:rFonts w:ascii="ARIAL" w:hAnsi="ARIAL"/>
          <w:sz w:val="22"/>
        </w:rPr>
        <w:t xml:space="preserve">I will now turn the call over to Stephane.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7"/>
        </w:rPr>
      </w:pPr>
      <w:r>
        <w:rPr>
          <w:rFonts w:ascii="ARIAL" w:hAnsi="ARIAL"/>
          <w:b/>
          <w:sz w:val="27"/>
        </w:rPr>
        <w:t>Stephane Biguet</w:t>
      </w:r>
      <w:r>
        <w:rPr>
          <w:rFonts w:ascii="ARIAL" w:hAnsi="ARIAL"/>
          <w:i/>
          <w:sz w:val="27"/>
        </w:rPr>
        <w:t>Executive VP and CFO</w:t>
      </w:r>
      <w:r>
        <w:rPr>
          <w:rFonts w:ascii="ARIAL" w:hAnsi="ARIAL"/>
          <w:sz w:val="27"/>
        </w:rPr>
        <w:t xml:space="preserve"> </w:t>
      </w:r>
    </w:p>
    <w:p>
      <w:pPr>
        <w:pStyle w:val="TextBody"/>
        <w:bidi w:val="0"/>
        <w:spacing w:before="240" w:after="0"/>
        <w:jc w:val="left"/>
        <w:rPr>
          <w:rFonts w:ascii="ARIAL" w:hAnsi="ARIAL"/>
          <w:sz w:val="23"/>
        </w:rPr>
      </w:pPr>
      <w:r>
        <w:rPr>
          <w:rFonts w:ascii="ARIAL" w:hAnsi="ARIAL"/>
          <w:sz w:val="23"/>
        </w:rPr>
        <w:t xml:space="preserve">Thank you, Olivier, and good morning, ladies and gentlemen. </w:t>
      </w:r>
    </w:p>
    <w:p>
      <w:pPr>
        <w:pStyle w:val="TextBody"/>
        <w:bidi w:val="0"/>
        <w:spacing w:before="240" w:after="0"/>
        <w:jc w:val="both"/>
        <w:rPr>
          <w:rFonts w:ascii="ARIAL" w:hAnsi="ARIAL"/>
          <w:sz w:val="23"/>
        </w:rPr>
      </w:pPr>
      <w:r>
        <w:rPr>
          <w:rFonts w:ascii="ARIAL" w:hAnsi="ARIAL"/>
          <w:sz w:val="23"/>
        </w:rPr>
        <w:t xml:space="preserve">Third-quarter earnings per share excluding charges and credits was 89 cents. This represents an increase of four cents sequentially and 11cents, or 14%, when compared to the third quarter of last year. </w:t>
      </w:r>
    </w:p>
    <w:p>
      <w:pPr>
        <w:pStyle w:val="TextBody"/>
        <w:bidi w:val="0"/>
        <w:spacing w:before="240" w:after="0"/>
        <w:jc w:val="both"/>
        <w:rPr>
          <w:rFonts w:ascii="ARIAL" w:hAnsi="ARIAL"/>
          <w:sz w:val="23"/>
        </w:rPr>
      </w:pPr>
      <w:r>
        <w:rPr>
          <w:rFonts w:ascii="ARIAL" w:hAnsi="ARIAL"/>
          <w:sz w:val="23"/>
        </w:rPr>
        <w:t xml:space="preserve">During the quarter we recorded two cents of merger and integration charges relating to the Aker subsea and ChampionX transactions and four cents of charges in connection with the program we started last quarter to realign and optimize the support and service delivery structure in certain parts of our organization. </w:t>
      </w:r>
    </w:p>
    <w:p>
      <w:pPr>
        <w:pStyle w:val="TextBody"/>
        <w:bidi w:val="0"/>
        <w:spacing w:before="240" w:after="0"/>
        <w:jc w:val="both"/>
        <w:rPr>
          <w:rFonts w:ascii="ARIAL" w:hAnsi="ARIAL"/>
          <w:sz w:val="23"/>
        </w:rPr>
      </w:pPr>
      <w:r>
        <w:rPr>
          <w:rFonts w:ascii="ARIAL" w:hAnsi="ARIAL"/>
          <w:sz w:val="23"/>
        </w:rPr>
        <w:t xml:space="preserve">Overall, our third-quarter revenue of $9.2 billion was essentially flat sequentially. However, the third quarter represented another quarter of both sequential and year-on-year margin expansion despite revenue growth rates moderating. These improvements were driven by very strong Digital &amp; Integration margins combined with the effect of the cost optimization program I just mentioned. Additionally, the resilient, long-cycle Production Systems business continued its top line growth and margin improvement journey, benefiting from its strong backlog. </w:t>
      </w:r>
    </w:p>
    <w:p>
      <w:pPr>
        <w:pStyle w:val="TextBody"/>
        <w:bidi w:val="0"/>
        <w:spacing w:before="240" w:after="0"/>
        <w:jc w:val="both"/>
        <w:rPr>
          <w:rFonts w:ascii="ARIAL" w:hAnsi="ARIAL"/>
          <w:sz w:val="23"/>
        </w:rPr>
      </w:pPr>
      <w:r>
        <w:rPr>
          <w:rFonts w:ascii="ARIAL" w:hAnsi="ARIAL"/>
          <w:sz w:val="23"/>
        </w:rPr>
        <w:t xml:space="preserve">Sequentially, our pretax segment operating margin expanded 48 basis points to 20.8%. Company-wide adjusted EBITDA margin increased 55 basis points to 25.6%, representing the highest level since the first quarter of 2016. </w:t>
      </w:r>
    </w:p>
    <w:p>
      <w:pPr>
        <w:pStyle w:val="TextBody"/>
        <w:bidi w:val="0"/>
        <w:spacing w:before="240" w:after="0"/>
        <w:jc w:val="both"/>
        <w:rPr>
          <w:rFonts w:ascii="ARIAL" w:hAnsi="ARIAL"/>
          <w:sz w:val="23"/>
        </w:rPr>
      </w:pPr>
      <w:r>
        <w:rPr>
          <w:rFonts w:ascii="ARIAL" w:hAnsi="ARIAL"/>
          <w:sz w:val="23"/>
        </w:rPr>
        <w:t xml:space="preserve">Let me now go through the third-quarter results for each Division. </w:t>
      </w:r>
    </w:p>
    <w:p>
      <w:pPr>
        <w:pStyle w:val="TextBody"/>
        <w:bidi w:val="0"/>
        <w:spacing w:before="240" w:after="0"/>
        <w:jc w:val="both"/>
        <w:rPr>
          <w:rFonts w:ascii="ARIAL" w:hAnsi="ARIAL"/>
          <w:sz w:val="23"/>
        </w:rPr>
      </w:pPr>
      <w:r>
        <w:rPr>
          <w:rFonts w:ascii="ARIAL" w:hAnsi="ARIAL"/>
          <w:sz w:val="23"/>
        </w:rPr>
        <w:t xml:space="preserve">Third-quarter Digital &amp; Integration revenue of $1.1billion increased 4% sequentially with margins expanding 456 basis points to 35.5%. </w:t>
      </w:r>
    </w:p>
    <w:p>
      <w:pPr>
        <w:pStyle w:val="TextBody"/>
        <w:bidi w:val="0"/>
        <w:spacing w:before="240" w:after="0"/>
        <w:jc w:val="both"/>
        <w:rPr>
          <w:rFonts w:ascii="ARIAL" w:hAnsi="ARIAL"/>
          <w:sz w:val="23"/>
        </w:rPr>
      </w:pPr>
      <w:r>
        <w:rPr>
          <w:rFonts w:ascii="ARIAL" w:hAnsi="ARIAL"/>
          <w:sz w:val="23"/>
        </w:rPr>
        <w:t xml:space="preserve">The sequential revenue growth was entirely due to higher digital sales, as APS revenue was flat. The strong margin performance was driven by improved digital profitability as a result of the higher uptake of new digital solutions and the optimization of our digital support and delivery structure. </w:t>
      </w:r>
    </w:p>
    <w:p>
      <w:pPr>
        <w:pStyle w:val="TextBody"/>
        <w:bidi w:val="0"/>
        <w:spacing w:before="240" w:after="0"/>
        <w:jc w:val="both"/>
        <w:rPr>
          <w:rFonts w:ascii="ARIAL" w:hAnsi="ARIAL"/>
          <w:sz w:val="23"/>
        </w:rPr>
      </w:pPr>
      <w:r>
        <w:rPr>
          <w:rFonts w:ascii="ARIAL" w:hAnsi="ARIAL"/>
          <w:sz w:val="23"/>
        </w:rPr>
        <w:t xml:space="preserve">Reservoir Performance revenue of $1.8 billion was flat sequentially as higher intervention activity in international markets was offset by lower evaluation revenue in Latin America and the Middle East. Margins contracted 53 basis points due to the unfavorable technology mix. </w:t>
      </w:r>
    </w:p>
    <w:p>
      <w:pPr>
        <w:pStyle w:val="TextBody"/>
        <w:bidi w:val="0"/>
        <w:spacing w:before="240" w:after="0"/>
        <w:jc w:val="both"/>
        <w:rPr>
          <w:rFonts w:ascii="ARIAL" w:hAnsi="ARIAL"/>
          <w:sz w:val="23"/>
        </w:rPr>
      </w:pPr>
      <w:r>
        <w:rPr>
          <w:rFonts w:ascii="ARIAL" w:hAnsi="ARIAL"/>
          <w:sz w:val="23"/>
        </w:rPr>
        <w:t xml:space="preserve">Well Construction revenue of $3.3 billion decreased 3% sequentially on lower rig count in U.S. land and Saudi, and the completion of drilling projects in certain offshore markets. Margins decreased 19 basis points as a result of the lower activity. </w:t>
      </w:r>
    </w:p>
    <w:p>
      <w:pPr>
        <w:pStyle w:val="TextBody"/>
        <w:bidi w:val="0"/>
        <w:spacing w:before="240" w:after="0"/>
        <w:jc w:val="both"/>
        <w:rPr>
          <w:rFonts w:ascii="ARIAL" w:hAnsi="ARIAL"/>
          <w:sz w:val="23"/>
        </w:rPr>
      </w:pPr>
      <w:r>
        <w:rPr>
          <w:rFonts w:ascii="ARIAL" w:hAnsi="ARIAL"/>
          <w:sz w:val="23"/>
        </w:rPr>
        <w:t xml:space="preserve">Finally, Production Systems revenue of $3.1billion increased 3% sequentially driven by higher sales of surface production systems, completions, and artificial lift, led by North America and the Middle East &amp; Asia.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3"/>
        </w:rPr>
      </w:pPr>
      <w:r>
        <w:rPr>
          <w:rFonts w:ascii="ARIAL" w:hAnsi="ARIAL"/>
          <w:sz w:val="23"/>
        </w:rPr>
        <w:t xml:space="preserve">Margins expanded 110 basis points to 16.7% on improved profitability in artificial lift, completions, surface and midstream production systems. </w:t>
      </w:r>
    </w:p>
    <w:p>
      <w:pPr>
        <w:pStyle w:val="TextBody"/>
        <w:bidi w:val="0"/>
        <w:spacing w:before="240" w:after="0"/>
        <w:jc w:val="both"/>
        <w:rPr>
          <w:rFonts w:ascii="ARIAL" w:hAnsi="ARIAL"/>
          <w:sz w:val="23"/>
        </w:rPr>
      </w:pPr>
      <w:r>
        <w:rPr>
          <w:rFonts w:ascii="ARIAL" w:hAnsi="ARIAL"/>
          <w:sz w:val="23"/>
        </w:rPr>
        <w:t xml:space="preserve">With regard to our liquidity, our cash flow performance during the third quarter was very strong, as we generated $2.4 billion of cash flow from operations and free cash flow of $1.8 billion. This represents a $1billion increase in free cash flow as compared to last quarter, largely due to significant customer collections. </w:t>
      </w:r>
    </w:p>
    <w:p>
      <w:pPr>
        <w:pStyle w:val="TextBody"/>
        <w:bidi w:val="0"/>
        <w:spacing w:before="240" w:after="0"/>
        <w:jc w:val="both"/>
        <w:rPr>
          <w:rFonts w:ascii="ARIAL" w:hAnsi="ARIAL"/>
          <w:sz w:val="23"/>
        </w:rPr>
      </w:pPr>
      <w:r>
        <w:rPr>
          <w:rFonts w:ascii="ARIAL" w:hAnsi="ARIAL"/>
          <w:sz w:val="23"/>
        </w:rPr>
        <w:t xml:space="preserve">Capital investments, inclusive of capex and investments in APS projects and exploration data, were $644 million in the third quarter. For the full year, we are still expecting capital investments to be approximately $2.6 billion. </w:t>
      </w:r>
    </w:p>
    <w:p>
      <w:pPr>
        <w:pStyle w:val="TextBody"/>
        <w:bidi w:val="0"/>
        <w:spacing w:before="240" w:after="0"/>
        <w:jc w:val="both"/>
        <w:rPr>
          <w:rFonts w:ascii="ARIAL" w:hAnsi="ARIAL"/>
          <w:sz w:val="23"/>
        </w:rPr>
      </w:pPr>
      <w:r>
        <w:rPr>
          <w:rFonts w:ascii="ARIAL" w:hAnsi="ARIAL"/>
          <w:sz w:val="23"/>
        </w:rPr>
        <w:t xml:space="preserve">On the M&amp;A front, as announced yesterday, I am pleased to report that we have signed a definitive agreement to sell our interests in the Palliser APS project in Canada. This transaction will reduce our direct exposure to commodity prices and the associated earnings volatility as well as reduce our capital intensity. It also allows us to eliminate significant future abandonment liabilities. </w:t>
      </w:r>
    </w:p>
    <w:p>
      <w:pPr>
        <w:pStyle w:val="TextBody"/>
        <w:bidi w:val="0"/>
        <w:spacing w:before="240" w:after="0"/>
        <w:jc w:val="both"/>
        <w:rPr>
          <w:rFonts w:ascii="ARIAL" w:hAnsi="ARIAL"/>
          <w:sz w:val="23"/>
        </w:rPr>
      </w:pPr>
      <w:r>
        <w:rPr>
          <w:rFonts w:ascii="ARIAL" w:hAnsi="ARIAL"/>
          <w:sz w:val="23"/>
        </w:rPr>
        <w:t xml:space="preserve">Under the terms of the agreement, we will receive cash proceeds of approximately $430 million U.S. dollars, subject to closing adjustments that are typical for such a transaction. This transaction will also result in us removing asset retirement obligations from our balance sheet with a present value of approximately $280 million. This transaction, which is subject to regulatory approvals and other customary closing conditions, is expected to close before the end of this year. </w:t>
      </w:r>
    </w:p>
    <w:p>
      <w:pPr>
        <w:pStyle w:val="TextBody"/>
        <w:bidi w:val="0"/>
        <w:spacing w:before="240" w:after="0"/>
        <w:jc w:val="both"/>
        <w:rPr>
          <w:rFonts w:ascii="ARIAL" w:hAnsi="ARIAL"/>
          <w:sz w:val="23"/>
        </w:rPr>
      </w:pPr>
      <w:r>
        <w:rPr>
          <w:rFonts w:ascii="ARIAL" w:hAnsi="ARIAL"/>
          <w:sz w:val="23"/>
        </w:rPr>
        <w:t xml:space="preserve">Turning to the pending ChampionX acquisition, the integration teams on both sides have been working together closely, and we are extremely pleased with the progress they are making. We now anticipate the transaction to more likely close in the first quarter of 2025. </w:t>
      </w:r>
    </w:p>
    <w:p>
      <w:pPr>
        <w:pStyle w:val="TextBody"/>
        <w:bidi w:val="0"/>
        <w:spacing w:before="240" w:after="0"/>
        <w:jc w:val="both"/>
        <w:rPr>
          <w:rFonts w:ascii="ARIAL" w:hAnsi="ARIAL"/>
          <w:sz w:val="23"/>
        </w:rPr>
      </w:pPr>
      <w:r>
        <w:rPr>
          <w:rFonts w:ascii="ARIAL" w:hAnsi="ARIAL"/>
          <w:sz w:val="23"/>
        </w:rPr>
        <w:t xml:space="preserve">Finally, total returns to shareholders, in the form of stock repurchases and dividends, was approximately $2.4 billion on a year-to-date basis. During the third quarter, we repurchased 11.3 million shares for a total purchase price of $501 million. As a result of our strong cash flow performance, we expect to maintain this level of buyback in the fourth quarter. Consequently, we will exceed our previous commitment to return $3 billion to our shareholders in 2024. </w:t>
      </w:r>
    </w:p>
    <w:p>
      <w:pPr>
        <w:pStyle w:val="TextBody"/>
        <w:bidi w:val="0"/>
        <w:spacing w:before="240" w:after="0"/>
        <w:jc w:val="both"/>
        <w:rPr>
          <w:rFonts w:ascii="ARIAL" w:hAnsi="ARIAL"/>
          <w:sz w:val="23"/>
        </w:rPr>
      </w:pPr>
      <w:r>
        <w:rPr>
          <w:rFonts w:ascii="ARIAL" w:hAnsi="ARIAL"/>
          <w:sz w:val="23"/>
        </w:rPr>
        <w:t xml:space="preserve">Furthermore, we reaffirm that we will return a minimum of $4 billion to shareholders in 2025, reflecting our confidence in our ability to continue generating strong cash flows. </w:t>
      </w:r>
    </w:p>
    <w:p>
      <w:pPr>
        <w:pStyle w:val="TextBody"/>
        <w:bidi w:val="0"/>
        <w:spacing w:before="240" w:after="0"/>
        <w:jc w:val="both"/>
        <w:rPr>
          <w:rFonts w:ascii="ARIAL" w:hAnsi="ARIAL"/>
          <w:sz w:val="23"/>
        </w:rPr>
      </w:pPr>
      <w:r>
        <w:rPr>
          <w:rFonts w:ascii="ARIAL" w:hAnsi="ARIAL"/>
          <w:sz w:val="23"/>
        </w:rPr>
        <w:t xml:space="preserve">I will now turn the conference call back to Olivier. </w:t>
      </w:r>
    </w:p>
    <w:p>
      <w:pPr>
        <w:pStyle w:val="TextBody"/>
        <w:bidi w:val="0"/>
        <w:spacing w:before="360" w:after="0"/>
        <w:jc w:val="left"/>
        <w:rPr>
          <w:rFonts w:ascii="ARIAL" w:hAnsi="ARIAL"/>
          <w:sz w:val="27"/>
        </w:rPr>
      </w:pPr>
      <w:r>
        <w:rPr>
          <w:rFonts w:ascii="ARIAL" w:hAnsi="ARIAL"/>
          <w:b/>
          <w:sz w:val="27"/>
        </w:rPr>
        <w:t>Olivier Le Peuch</w:t>
      </w:r>
      <w:r>
        <w:rPr>
          <w:rFonts w:ascii="ARIAL" w:hAnsi="ARIAL"/>
          <w:sz w:val="27"/>
        </w:rPr>
        <w:t></w:t>
      </w:r>
      <w:r>
        <w:rPr>
          <w:rFonts w:ascii="ARIAL" w:hAnsi="ARIAL"/>
          <w:i/>
          <w:sz w:val="27"/>
        </w:rPr>
        <w:t>CEO</w:t>
      </w:r>
      <w:r>
        <w:rPr>
          <w:rFonts w:ascii="ARIAL" w:hAnsi="ARIAL"/>
          <w:sz w:val="27"/>
        </w:rPr>
        <w:t xml:space="preserve"> </w:t>
      </w:r>
    </w:p>
    <w:p>
      <w:pPr>
        <w:pStyle w:val="TextBody"/>
        <w:bidi w:val="0"/>
        <w:spacing w:before="240" w:after="0"/>
        <w:jc w:val="left"/>
        <w:rPr>
          <w:rFonts w:ascii="ARIAL" w:hAnsi="ARIAL"/>
          <w:sz w:val="23"/>
        </w:rPr>
      </w:pPr>
      <w:r>
        <w:rPr>
          <w:rFonts w:ascii="ARIAL" w:hAnsi="ARIAL"/>
          <w:sz w:val="23"/>
        </w:rPr>
        <w:t xml:space="preserve">Thank you, Stephane. Ladies and gentlemen, we will open the floor to your questions.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7"/>
        </w:rPr>
      </w:pPr>
      <w:r>
        <w:rPr>
          <w:rFonts w:ascii="ARIAL" w:hAnsi="ARIAL"/>
          <w:b/>
          <w:sz w:val="27"/>
        </w:rPr>
        <w:t>Olivier Le Peuch</w:t>
      </w:r>
      <w:r>
        <w:rPr>
          <w:rFonts w:ascii="ARIAL" w:hAnsi="ARIAL"/>
          <w:sz w:val="27"/>
        </w:rPr>
        <w:t></w:t>
      </w:r>
      <w:r>
        <w:rPr>
          <w:rFonts w:ascii="ARIAL" w:hAnsi="ARIAL"/>
          <w:i/>
          <w:sz w:val="27"/>
        </w:rPr>
        <w:t>CEO</w:t>
      </w:r>
      <w:r>
        <w:rPr>
          <w:rFonts w:ascii="ARIAL" w:hAnsi="ARIAL"/>
          <w:sz w:val="27"/>
        </w:rPr>
        <w:t xml:space="preserve"> </w:t>
      </w:r>
    </w:p>
    <w:p>
      <w:pPr>
        <w:pStyle w:val="TextBody"/>
        <w:bidi w:val="0"/>
        <w:spacing w:before="240" w:after="0"/>
        <w:jc w:val="left"/>
        <w:rPr>
          <w:rFonts w:ascii="ARIAL" w:hAnsi="ARIAL"/>
          <w:sz w:val="20"/>
        </w:rPr>
      </w:pPr>
      <w:r>
        <w:rPr>
          <w:rFonts w:ascii="ARIAL" w:hAnsi="ARIAL"/>
          <w:sz w:val="20"/>
        </w:rPr>
        <w:t xml:space="preserve">Thank you, Leah. </w:t>
      </w:r>
    </w:p>
    <w:p>
      <w:pPr>
        <w:pStyle w:val="TextBody"/>
        <w:bidi w:val="0"/>
        <w:spacing w:before="240" w:after="0"/>
        <w:jc w:val="left"/>
        <w:rPr>
          <w:rFonts w:ascii="ARIAL" w:hAnsi="ARIAL"/>
          <w:sz w:val="23"/>
        </w:rPr>
      </w:pPr>
      <w:r>
        <w:rPr>
          <w:rFonts w:ascii="ARIAL" w:hAnsi="ARIAL"/>
          <w:sz w:val="23"/>
        </w:rPr>
        <w:t xml:space="preserve">Ladies and gentlemen, as we conclude todays call, I would like to leave you with the following takeaways: </w:t>
      </w:r>
    </w:p>
    <w:p>
      <w:pPr>
        <w:pStyle w:val="TextBody"/>
        <w:bidi w:val="0"/>
        <w:spacing w:before="240" w:after="0"/>
        <w:jc w:val="left"/>
        <w:rPr>
          <w:rFonts w:ascii="ARIAL" w:hAnsi="ARIAL"/>
          <w:sz w:val="23"/>
        </w:rPr>
      </w:pPr>
      <w:r>
        <w:rPr>
          <w:rFonts w:ascii="ARIAL" w:hAnsi="ARIAL"/>
          <w:sz w:val="23"/>
        </w:rPr>
        <w:t xml:space="preserve">First, SLB remains well positioned to navigate commodity price fluctuations, benefiting from our unique operating footprint. Moving forward, we will continue to harness our technology deployment and integration capabilities to capture high margin opportunities in the international, deepwater, and gas markets. </w:t>
      </w:r>
    </w:p>
    <w:p>
      <w:pPr>
        <w:pStyle w:val="TextBody"/>
        <w:bidi w:val="0"/>
        <w:spacing w:before="240" w:after="0"/>
        <w:jc w:val="left"/>
        <w:rPr>
          <w:rFonts w:ascii="ARIAL" w:hAnsi="ARIAL"/>
          <w:sz w:val="23"/>
        </w:rPr>
      </w:pPr>
      <w:r>
        <w:rPr>
          <w:rFonts w:ascii="ARIAL" w:hAnsi="ARIAL"/>
          <w:sz w:val="23"/>
        </w:rPr>
        <w:t xml:space="preserve">Second, our digital business remains a key differentiator in the industry. This will continue to drive higher margin growth while opening the door to new markets. </w:t>
      </w:r>
    </w:p>
    <w:p>
      <w:pPr>
        <w:pStyle w:val="TextBody"/>
        <w:bidi w:val="0"/>
        <w:spacing w:before="240" w:after="0"/>
        <w:jc w:val="left"/>
        <w:rPr>
          <w:rFonts w:ascii="ARIAL" w:hAnsi="ARIAL"/>
          <w:sz w:val="23"/>
        </w:rPr>
      </w:pPr>
      <w:r>
        <w:rPr>
          <w:rFonts w:ascii="ARIAL" w:hAnsi="ARIAL"/>
          <w:sz w:val="23"/>
        </w:rPr>
        <w:t xml:space="preserve">And third, with our solid financial performance and focus on operating efficiency, we look forward to delivering further margin expansion, higher cash generation, and increased returns to shareholders. </w:t>
      </w:r>
    </w:p>
    <w:p>
      <w:pPr>
        <w:pStyle w:val="TextBody"/>
        <w:bidi w:val="0"/>
        <w:spacing w:before="240" w:after="0"/>
        <w:jc w:val="left"/>
        <w:rPr>
          <w:rFonts w:ascii="ARIAL" w:hAnsi="ARIAL"/>
          <w:sz w:val="23"/>
        </w:rPr>
      </w:pPr>
      <w:r>
        <w:rPr>
          <w:rFonts w:ascii="ARIAL" w:hAnsi="ARIAL"/>
          <w:sz w:val="23"/>
        </w:rPr>
        <w:t xml:space="preserve">Thank you for joining us this morning. With that, I will conclude our call.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0" w:after="0"/>
        <w:jc w:val="left"/>
        <w:rPr>
          <w:rFonts w:ascii="ARIAL" w:hAnsi="ARIAL"/>
          <w:sz w:val="20"/>
        </w:rPr>
      </w:pPr>
      <w:r>
        <w:rPr>
          <w:rFonts w:ascii="ARIAL" w:hAnsi="ARIAL"/>
          <w:sz w:val="20"/>
        </w:rPr>
        <w:t xml:space="preserve">Copyright © 2024 SLB. All rights reserved.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Securities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24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240" w:after="0"/>
        <w:jc w:val="left"/>
        <w:rPr/>
      </w:pPr>
      <w:r>
        <w:rPr>
          <w:rFonts w:ascii="ARIAL" w:hAnsi="ARIAL"/>
          <w:sz w:val="20"/>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hyperlink r:id="rId3">
        <w:r>
          <w:rPr>
            <w:rStyle w:val="InternetLink"/>
            <w:rFonts w:ascii="ARIAL" w:hAnsi="ARIAL"/>
            <w:sz w:val="20"/>
            <w:u w:val="single"/>
          </w:rPr>
          <w:t xml:space="preserve">https://www.sec.gov/Archives/edgar/data/87347/000119312524139403/d818663d424b3.htm </w:t>
        </w:r>
      </w:hyperlink>
      <w:r>
        <w:rPr>
          <w:rFonts w:ascii="ARIAL" w:hAnsi="ARIAL"/>
          <w:sz w:val="20"/>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ARIAL" w:hAnsi="ARIAL"/>
          <w:color w:val="467886"/>
          <w:sz w:val="20"/>
          <w:u w:val="single"/>
        </w:rPr>
        <w:t>http://www.sec.gov</w:t>
      </w:r>
      <w:r>
        <w:rPr>
          <w:rFonts w:ascii="ARIAL" w:hAnsi="ARIAL"/>
          <w:sz w:val="20"/>
        </w:rPr>
        <w:t xml:space="preserve">. Copies of the documents filed with, or furnished to, the SEC by SLB will be available free of charge on SLBs website at </w:t>
      </w:r>
      <w:r>
        <w:rPr>
          <w:rFonts w:ascii="ARIAL" w:hAnsi="ARIAL"/>
          <w:color w:val="467886"/>
          <w:sz w:val="20"/>
          <w:u w:val="single"/>
        </w:rPr>
        <w:t>https://investorcenter.slb.com</w:t>
      </w:r>
      <w:r>
        <w:rPr>
          <w:rFonts w:ascii="ARIAL" w:hAnsi="ARIAL"/>
          <w:sz w:val="20"/>
        </w:rPr>
        <w:t xml:space="preserve">. Copies of the documents filed with, or furnished to, the SEC by ChampionX will be available free of charge on ChampionXs website at </w:t>
      </w:r>
      <w:r>
        <w:rPr>
          <w:rFonts w:ascii="ARIAL" w:hAnsi="ARIAL"/>
          <w:color w:val="467886"/>
          <w:sz w:val="20"/>
          <w:u w:val="single"/>
        </w:rPr>
        <w:t>https://investors.championx.com</w:t>
      </w:r>
      <w:r>
        <w:rPr>
          <w:rFonts w:ascii="ARIAL" w:hAnsi="ARIAL"/>
          <w:sz w:val="20"/>
        </w:rPr>
        <w:t xml:space="preserve">. The information included on, or accessible through, SLBs or ChampionXs website is not incorporated by reference into this communication.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 xml:space="preserve">10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7347/000119312524139403/d818663d424b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4034</Words>
  <Characters>21900</Characters>
  <CharactersWithSpaces>25785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