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July 24, 2017</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Attn: Brad Skinner, Senior Assistant Chief Accountant, Office of Natural Resources</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Schlumberger N.V. (Schlumberger Limited)</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Form 10-K for the Fiscal Year Ended December 31, 2016</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January 25, 2017</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Comment letter dated July 13, 2017</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1-04601</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Dear Mr. Skinner,</w:t>
      </w:r>
    </w:p>
    <w:p>
      <w:pPr>
        <w:spacing w:after="0" w:line="117" w:lineRule="exact"/>
        <w:rPr>
          <w:sz w:val="24"/>
          <w:szCs w:val="24"/>
          <w:color w:val="auto"/>
        </w:rPr>
      </w:pPr>
    </w:p>
    <w:p>
      <w:pPr>
        <w:ind w:right="20" w:firstLine="456"/>
        <w:spacing w:after="0" w:line="259" w:lineRule="auto"/>
        <w:rPr>
          <w:sz w:val="20"/>
          <w:szCs w:val="20"/>
          <w:color w:val="auto"/>
        </w:rPr>
      </w:pPr>
      <w:r>
        <w:rPr>
          <w:rFonts w:ascii="Arial" w:cs="Arial" w:eastAsia="Arial" w:hAnsi="Arial"/>
          <w:sz w:val="18"/>
          <w:szCs w:val="18"/>
          <w:color w:val="auto"/>
        </w:rPr>
        <w:t>This letter sets forth the response of Schlumberger Limited (Schlumberger N.V.) (the “Company”) to the comments provided by the staff (the “Staff”) of the Securities and Exchange Commission (the “Commission”) in its comment letter dated July 13, 2017 (the “Comment Letter”) with respect to the Company’s Form 10-K for the fiscal year ended December 31, 2016 (File No. 1-04601). For your convenience, we have repeated the Staff’s comment in bold type face exactly as given in the Comment Letter and set forth our response below such comment.</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2016</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page 14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page 21</w:t>
      </w:r>
    </w:p>
    <w:p>
      <w:pPr>
        <w:spacing w:after="0" w:line="131" w:lineRule="exact"/>
        <w:rPr>
          <w:sz w:val="24"/>
          <w:szCs w:val="24"/>
          <w:color w:val="auto"/>
        </w:rPr>
      </w:pPr>
    </w:p>
    <w:p>
      <w:pPr>
        <w:ind w:left="900" w:right="60" w:hanging="446"/>
        <w:spacing w:after="0" w:line="329" w:lineRule="auto"/>
        <w:tabs>
          <w:tab w:leader="none" w:pos="90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response to prior comment number one from our letter dated May 5, 2017. Given the nature and impact of the estimates and assumptions surrounding your assessment of the collectability of your accounts receivable, expand the discussion in the critical accounting policies and estimates section of your filing to address the material implications of uncertainties associated with the methods, assumptions and estimates underlying your accounting for accounts receivable and the related allowance for doubtful accounts.</w:t>
      </w:r>
    </w:p>
    <w:p>
      <w:pPr>
        <w:spacing w:after="0" w:line="135" w:lineRule="exact"/>
        <w:rPr>
          <w:sz w:val="24"/>
          <w:szCs w:val="24"/>
          <w:color w:val="auto"/>
        </w:rPr>
      </w:pPr>
    </w:p>
    <w:p>
      <w:pPr>
        <w:ind w:left="920"/>
        <w:spacing w:after="0" w:line="277" w:lineRule="auto"/>
        <w:rPr>
          <w:sz w:val="20"/>
          <w:szCs w:val="20"/>
          <w:color w:val="auto"/>
        </w:rPr>
      </w:pPr>
      <w:r>
        <w:rPr>
          <w:rFonts w:ascii="Arial" w:cs="Arial" w:eastAsia="Arial" w:hAnsi="Arial"/>
          <w:sz w:val="17"/>
          <w:szCs w:val="17"/>
          <w:b w:val="1"/>
          <w:bCs w:val="1"/>
          <w:color w:val="auto"/>
        </w:rPr>
        <w:t>Your expanded disclosure should specifically address amounts due from Venezuela and Ecuador and contain information similar to that provided in your response. Your expanded disclosure should also address, to the extent material, such factors as how you arrived at your estimates, how accurate the estimates have been in the past, how much the estimates have changed in the past, and whether the estimates are reasonably likely to change in the future. See Section V of Release 33-8350, Interpretation: Commission Guidance Regarding Management’s Discussion and Analysis of Financial Condition and Results of Operations.”</w:t>
      </w:r>
    </w:p>
    <w:p>
      <w:pPr>
        <w:spacing w:after="0" w:line="28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117" w:lineRule="exact"/>
        <w:rPr>
          <w:sz w:val="24"/>
          <w:szCs w:val="24"/>
          <w:color w:val="auto"/>
        </w:rPr>
      </w:pPr>
    </w:p>
    <w:p>
      <w:pPr>
        <w:ind w:right="40" w:firstLine="456"/>
        <w:spacing w:after="0" w:line="257" w:lineRule="auto"/>
        <w:rPr>
          <w:sz w:val="20"/>
          <w:szCs w:val="20"/>
          <w:color w:val="auto"/>
        </w:rPr>
      </w:pPr>
      <w:r>
        <w:rPr>
          <w:rFonts w:ascii="Arial" w:cs="Arial" w:eastAsia="Arial" w:hAnsi="Arial"/>
          <w:sz w:val="18"/>
          <w:szCs w:val="18"/>
          <w:color w:val="auto"/>
        </w:rPr>
        <w:t>In response to the Staff’s comment, the Company will provide additional disclosure in future filings, including our quarterly report on Form 10-Q for the quarter ended June 30, 2017, to address the material implications, if any, of uncertainties associated with the methods, assumptions and estimates underlying our accounting for accounts receivable and the related allowance for doubtful accounts. To the extent that we are experiencing delays in collecting material amounts due from the countries specified, we will specifically address such receivables, and provide, to the extent material, the requested expanded disclosure.</w:t>
      </w:r>
    </w:p>
    <w:p>
      <w:pPr>
        <w:sectPr>
          <w:pgSz w:w="11900" w:h="16838" w:orient="portrait"/>
          <w:cols w:equalWidth="0" w:num="1">
            <w:col w:w="11400"/>
          </w:cols>
          <w:pgMar w:left="240" w:top="22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24,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 and Supplementary Data, page 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 page 36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Charges and Credits, page 39</w:t>
      </w:r>
    </w:p>
    <w:p>
      <w:pPr>
        <w:spacing w:after="0" w:line="131" w:lineRule="exact"/>
        <w:rPr>
          <w:sz w:val="20"/>
          <w:szCs w:val="20"/>
          <w:color w:val="auto"/>
        </w:rPr>
      </w:pPr>
    </w:p>
    <w:p>
      <w:pPr>
        <w:ind w:left="900" w:right="100" w:hanging="446"/>
        <w:spacing w:after="0" w:line="303" w:lineRule="auto"/>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number four from our letter dated May 5, 2017. Rule 5-03(b)(2) of Regulation S-X requires you to disclose cost of products sold. In view of this requirement, and given that the write-up of the acquired inventory represents a component of the GAAP cost to you of that inventory, we do not see a basis for reporting this amount outside of cost of sales. Accordingly, revise your presentation to report the amortization of the write-up of the acquired inventory as part of cost of sales.”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response to the Staff’s comment, we will change our presentation accordingly in future filings, including our quarterly report on Form 10-Q for the quarter ended June 30, 2017.</w:t>
      </w:r>
    </w:p>
    <w:p>
      <w:pPr>
        <w:spacing w:after="0" w:line="62" w:lineRule="exact"/>
        <w:rPr>
          <w:sz w:val="20"/>
          <w:szCs w:val="20"/>
          <w:color w:val="auto"/>
        </w:rPr>
      </w:pPr>
    </w:p>
    <w:p>
      <w:pPr>
        <w:jc w:val="center"/>
        <w:ind w:right="-199"/>
        <w:spacing w:after="0"/>
        <w:tabs>
          <w:tab w:leader="none" w:pos="22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0"/>
          <w:szCs w:val="20"/>
          <w:color w:val="auto"/>
        </w:rPr>
      </w:pPr>
    </w:p>
    <w:p>
      <w:pPr>
        <w:ind w:right="720" w:firstLine="456"/>
        <w:spacing w:after="0" w:line="264" w:lineRule="auto"/>
        <w:rPr>
          <w:sz w:val="20"/>
          <w:szCs w:val="20"/>
          <w:color w:val="auto"/>
        </w:rPr>
      </w:pPr>
      <w:r>
        <w:rPr>
          <w:rFonts w:ascii="Arial" w:cs="Arial" w:eastAsia="Arial" w:hAnsi="Arial"/>
          <w:sz w:val="18"/>
          <w:szCs w:val="18"/>
          <w:color w:val="auto"/>
        </w:rPr>
        <w:t>If you have any questions or need additional information, please contact Saul Laureles, Director Corporate Legal and Assistant Secretary of Schlumberger Limited, at (713) 375-3495 (slaureles@slb.com), or Ronald O. Mueller of Gibson, Dunn &amp; Crutcher LLP at (202) 955-8671 (rmueller@gibsondunn.com).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Saul Laureles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Saul Laureles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 Corporate Legal</w:t>
            </w:r>
          </w:p>
        </w:tc>
      </w:tr>
      <w:tr>
        <w:trPr>
          <w:trHeight w:val="230"/>
        </w:trPr>
        <w:tc>
          <w:tcPr>
            <w:tcW w:w="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and Assistant Secretary</w:t>
            </w:r>
          </w:p>
        </w:tc>
      </w:tr>
    </w:tbl>
    <w:p>
      <w:pPr>
        <w:spacing w:after="0" w:line="22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Alexander C. Juden</w:t>
      </w:r>
    </w:p>
    <w:p>
      <w:pPr>
        <w:spacing w:after="0" w:line="2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Secretary and General Counsel</w:t>
      </w:r>
    </w:p>
    <w:p>
      <w:pPr>
        <w:spacing w:after="0" w:line="210"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Simon Ayat</w:t>
      </w:r>
    </w:p>
    <w:p>
      <w:pPr>
        <w:spacing w:after="0" w:line="2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Executive Vice President and Chief Financial Officer</w:t>
      </w:r>
    </w:p>
    <w:p>
      <w:pPr>
        <w:spacing w:after="0" w:line="210"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Howard Guild</w:t>
      </w:r>
    </w:p>
    <w:p>
      <w:pPr>
        <w:spacing w:after="0" w:line="2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Chief Accounting Officer</w:t>
      </w:r>
    </w:p>
    <w:p>
      <w:pPr>
        <w:spacing w:after="0" w:line="210" w:lineRule="exact"/>
        <w:rPr>
          <w:rFonts w:ascii="Arial" w:cs="Arial" w:eastAsia="Arial" w:hAnsi="Arial"/>
          <w:sz w:val="18"/>
          <w:szCs w:val="18"/>
          <w:color w:val="auto"/>
        </w:rPr>
      </w:pPr>
    </w:p>
    <w:p>
      <w:pPr>
        <w:ind w:left="320" w:right="8760"/>
        <w:spacing w:after="0" w:line="342" w:lineRule="auto"/>
        <w:rPr>
          <w:rFonts w:ascii="Arial" w:cs="Arial" w:eastAsia="Arial" w:hAnsi="Arial"/>
          <w:sz w:val="18"/>
          <w:szCs w:val="18"/>
          <w:color w:val="auto"/>
        </w:rPr>
      </w:pPr>
      <w:r>
        <w:rPr>
          <w:rFonts w:ascii="Arial" w:cs="Arial" w:eastAsia="Arial" w:hAnsi="Arial"/>
          <w:sz w:val="16"/>
          <w:szCs w:val="16"/>
          <w:color w:val="auto"/>
        </w:rPr>
        <w:t>Rich Shappard PricewaterhouseCoopers LLP</w:t>
      </w:r>
    </w:p>
    <w:p>
      <w:pPr>
        <w:spacing w:after="0" w:line="12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Ronald O. Mueller</w:t>
      </w:r>
    </w:p>
    <w:p>
      <w:pPr>
        <w:spacing w:after="0" w:line="23"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Gibson, Dunn &amp; Crutcher LLP</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2019-12-05T07:15:57Z</dcterms:created>
  <dcterms:modified xsi:type="dcterms:W3CDTF">2019-12-05T07:15:57Z</dcterms:modified>
</cp:coreProperties>
</file>