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3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2026</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ind w:left="4520" w:right="2420" w:hanging="4512"/>
        <w:spacing w:after="0" w:line="368" w:lineRule="auto"/>
        <w:tabs>
          <w:tab w:leader="none" w:pos="50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11430</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1340" w:type="dxa"/>
        <w:tblCellMar>
          <w:top w:w="0" w:type="dxa"/>
          <w:left w:w="0" w:type="dxa"/>
          <w:bottom w:w="0" w:type="dxa"/>
          <w:right w:w="0" w:type="dxa"/>
        </w:tblCellMar>
      </w:tblPr>
      <w:tr>
        <w:trPr>
          <w:trHeight w:val="362"/>
        </w:trPr>
        <w:tc>
          <w:tcPr>
            <w:tcW w:w="6280" w:type="dxa"/>
            <w:vAlign w:val="bottom"/>
            <w:gridSpan w:val="3"/>
          </w:tcPr>
          <w:p>
            <w:pPr>
              <w:jc w:val="center"/>
              <w:ind w:left="2124"/>
              <w:spacing w:after="0"/>
              <w:rPr>
                <w:sz w:val="20"/>
                <w:szCs w:val="20"/>
                <w:color w:val="auto"/>
              </w:rPr>
            </w:pPr>
            <w:r>
              <w:rPr>
                <w:rFonts w:ascii="Arial" w:cs="Arial" w:eastAsia="Arial" w:hAnsi="Arial"/>
                <w:sz w:val="29"/>
                <w:szCs w:val="29"/>
                <w:b w:val="1"/>
                <w:bCs w:val="1"/>
                <w:color w:val="auto"/>
                <w:w w:val="99"/>
              </w:rPr>
              <w:t>SLB N.V. (SLB Limited)</w:t>
            </w:r>
          </w:p>
        </w:tc>
        <w:tc>
          <w:tcPr>
            <w:tcW w:w="1360" w:type="dxa"/>
            <w:vAlign w:val="bottom"/>
          </w:tcPr>
          <w:p>
            <w:pPr>
              <w:spacing w:after="0"/>
              <w:rPr>
                <w:sz w:val="24"/>
                <w:szCs w:val="24"/>
                <w:color w:val="auto"/>
              </w:rPr>
            </w:pPr>
          </w:p>
        </w:tc>
      </w:tr>
      <w:tr>
        <w:trPr>
          <w:trHeight w:val="190"/>
        </w:trPr>
        <w:tc>
          <w:tcPr>
            <w:tcW w:w="6280" w:type="dxa"/>
            <w:vAlign w:val="bottom"/>
            <w:gridSpan w:val="3"/>
          </w:tcPr>
          <w:p>
            <w:pPr>
              <w:jc w:val="center"/>
              <w:ind w:left="2164"/>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6"/>
                <w:szCs w:val="16"/>
                <w:color w:val="auto"/>
              </w:rPr>
            </w:pPr>
          </w:p>
        </w:tc>
      </w:tr>
      <w:tr>
        <w:trPr>
          <w:trHeight w:val="116"/>
        </w:trPr>
        <w:tc>
          <w:tcPr>
            <w:tcW w:w="316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5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9"/>
              </w:rPr>
              <w:t>Curaçao</w:t>
            </w:r>
          </w:p>
        </w:tc>
        <w:tc>
          <w:tcPr>
            <w:tcW w:w="1360" w:type="dxa"/>
            <w:vAlign w:val="bottom"/>
          </w:tcPr>
          <w:p>
            <w:pPr>
              <w:jc w:val="center"/>
              <w:ind w:left="312"/>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40"/>
              <w:spacing w:after="0" w:line="135" w:lineRule="exact"/>
              <w:rPr>
                <w:sz w:val="20"/>
                <w:szCs w:val="20"/>
                <w:color w:val="auto"/>
              </w:rPr>
            </w:pPr>
            <w:r>
              <w:rPr>
                <w:rFonts w:ascii="Arial" w:cs="Arial" w:eastAsia="Arial" w:hAnsi="Arial"/>
                <w:sz w:val="13"/>
                <w:szCs w:val="13"/>
                <w:color w:val="auto"/>
                <w:w w:val="95"/>
              </w:rPr>
              <w:t>(State or other jurisdiction of</w:t>
            </w:r>
          </w:p>
        </w:tc>
        <w:tc>
          <w:tcPr>
            <w:tcW w:w="1360" w:type="dxa"/>
            <w:vAlign w:val="bottom"/>
          </w:tcPr>
          <w:p>
            <w:pPr>
              <w:jc w:val="center"/>
              <w:ind w:left="312"/>
              <w:spacing w:after="0" w:line="135" w:lineRule="exact"/>
              <w:rPr>
                <w:sz w:val="20"/>
                <w:szCs w:val="20"/>
                <w:color w:val="auto"/>
              </w:rPr>
            </w:pPr>
            <w:r>
              <w:rPr>
                <w:rFonts w:ascii="Arial" w:cs="Arial" w:eastAsia="Arial" w:hAnsi="Arial"/>
                <w:sz w:val="13"/>
                <w:szCs w:val="13"/>
                <w:color w:val="auto"/>
                <w:w w:val="96"/>
              </w:rPr>
              <w:t>(IRS Employer</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2"/>
              <w:spacing w:after="0"/>
              <w:rPr>
                <w:sz w:val="20"/>
                <w:szCs w:val="20"/>
                <w:color w:val="auto"/>
              </w:rPr>
            </w:pPr>
            <w:r>
              <w:rPr>
                <w:rFonts w:ascii="Arial" w:cs="Arial" w:eastAsia="Arial" w:hAnsi="Arial"/>
                <w:sz w:val="13"/>
                <w:szCs w:val="13"/>
                <w:color w:val="auto"/>
                <w:w w:val="96"/>
              </w:rPr>
              <w:t>Identification No.)</w:t>
            </w:r>
          </w:p>
        </w:tc>
      </w:tr>
      <w:tr>
        <w:trPr>
          <w:trHeight w:val="261"/>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2"/>
                <w:szCs w:val="22"/>
                <w:color w:val="auto"/>
              </w:rPr>
            </w:pPr>
          </w:p>
        </w:tc>
      </w:tr>
      <w:tr>
        <w:trPr>
          <w:trHeight w:val="196"/>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2"/>
              <w:spacing w:after="0"/>
              <w:rPr>
                <w:sz w:val="20"/>
                <w:szCs w:val="20"/>
                <w:color w:val="auto"/>
              </w:rPr>
            </w:pPr>
            <w:r>
              <w:rPr>
                <w:rFonts w:ascii="Arial" w:cs="Arial" w:eastAsia="Arial" w:hAnsi="Arial"/>
                <w:sz w:val="14"/>
                <w:szCs w:val="14"/>
                <w:b w:val="1"/>
                <w:bCs w:val="1"/>
                <w:color w:val="auto"/>
              </w:rPr>
              <w:t>75007</w:t>
            </w:r>
          </w:p>
        </w:tc>
      </w:tr>
      <w:tr>
        <w:trPr>
          <w:trHeight w:val="24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1"/>
                <w:szCs w:val="21"/>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2"/>
              <w:spacing w:after="0"/>
              <w:rPr>
                <w:sz w:val="20"/>
                <w:szCs w:val="20"/>
                <w:color w:val="auto"/>
              </w:rPr>
            </w:pPr>
            <w:r>
              <w:rPr>
                <w:rFonts w:ascii="Arial" w:cs="Arial" w:eastAsia="Arial" w:hAnsi="Arial"/>
                <w:sz w:val="14"/>
                <w:szCs w:val="14"/>
                <w:b w:val="1"/>
                <w:bCs w:val="1"/>
                <w:color w:val="auto"/>
              </w:rPr>
              <w:t>77056</w:t>
            </w:r>
          </w:p>
        </w:tc>
      </w:tr>
      <w:tr>
        <w:trPr>
          <w:trHeight w:val="249"/>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1"/>
                <w:szCs w:val="21"/>
                <w:color w:val="auto"/>
              </w:rPr>
            </w:pPr>
          </w:p>
        </w:tc>
      </w:tr>
      <w:tr>
        <w:trPr>
          <w:trHeight w:val="153"/>
        </w:trPr>
        <w:tc>
          <w:tcPr>
            <w:tcW w:w="6280" w:type="dxa"/>
            <w:vAlign w:val="bottom"/>
            <w:gridSpan w:val="3"/>
          </w:tcPr>
          <w:p>
            <w:pPr>
              <w:jc w:val="center"/>
              <w:ind w:right="3420"/>
              <w:spacing w:after="0" w:line="153" w:lineRule="exact"/>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12"/>
              <w:spacing w:after="0" w:line="153" w:lineRule="exact"/>
              <w:rPr>
                <w:sz w:val="20"/>
                <w:szCs w:val="20"/>
                <w:color w:val="auto"/>
              </w:rPr>
            </w:pPr>
            <w:r>
              <w:rPr>
                <w:rFonts w:ascii="Arial" w:cs="Arial" w:eastAsia="Arial" w:hAnsi="Arial"/>
                <w:sz w:val="14"/>
                <w:szCs w:val="14"/>
                <w:b w:val="1"/>
                <w:bCs w:val="1"/>
                <w:color w:val="auto"/>
              </w:rPr>
              <w:t>2514 JG</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2"/>
              <w:spacing w:after="0"/>
              <w:rPr>
                <w:sz w:val="20"/>
                <w:szCs w:val="20"/>
                <w:color w:val="auto"/>
              </w:rPr>
            </w:pPr>
            <w:r>
              <w:rPr>
                <w:rFonts w:ascii="Arial" w:cs="Arial" w:eastAsia="Arial" w:hAnsi="Arial"/>
                <w:sz w:val="13"/>
                <w:szCs w:val="13"/>
                <w:color w:val="auto"/>
                <w:w w:val="97"/>
              </w:rPr>
              <w:t>(Zip Codes)</w:t>
            </w:r>
          </w:p>
        </w:tc>
      </w:tr>
    </w:tbl>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Title of each class</w:t>
            </w:r>
          </w:p>
        </w:tc>
        <w:tc>
          <w:tcPr>
            <w:tcW w:w="1400" w:type="dxa"/>
            <w:vAlign w:val="bottom"/>
          </w:tcPr>
          <w:p>
            <w:pPr>
              <w:spacing w:after="0"/>
              <w:rPr>
                <w:sz w:val="14"/>
                <w:szCs w:val="14"/>
                <w:color w:val="auto"/>
              </w:rPr>
            </w:pPr>
          </w:p>
        </w:tc>
        <w:tc>
          <w:tcPr>
            <w:tcW w:w="26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per share</w:t>
            </w: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gridSpan w:val="2"/>
          </w:tcPr>
          <w:p>
            <w:pPr>
              <w:jc w:val="right"/>
              <w:spacing w:after="0"/>
              <w:rPr>
                <w:sz w:val="20"/>
                <w:szCs w:val="20"/>
                <w:color w:val="auto"/>
              </w:rPr>
            </w:pPr>
            <w:r>
              <w:rPr>
                <w:rFonts w:ascii="Arial" w:cs="Arial" w:eastAsia="Arial" w:hAnsi="Arial"/>
                <w:sz w:val="14"/>
                <w:szCs w:val="14"/>
                <w:color w:val="auto"/>
                <w:w w:val="98"/>
              </w:rPr>
              <w:t>common stock, par value $0.01</w:t>
            </w:r>
          </w:p>
        </w:tc>
        <w:tc>
          <w:tcPr>
            <w:tcW w:w="14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color w:val="auto"/>
                <w:w w:val="98"/>
              </w:rPr>
              <w:t>SLB</w:t>
            </w:r>
          </w:p>
        </w:tc>
        <w:tc>
          <w:tcPr>
            <w:tcW w:w="60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0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98"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7"/>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62"/>
        </w:trPr>
        <w:tc>
          <w:tcPr>
            <w:tcW w:w="7440" w:type="dxa"/>
            <w:vAlign w:val="bottom"/>
            <w:gridSpan w:val="3"/>
          </w:tcPr>
          <w:p>
            <w:pPr>
              <w:ind w:left="3740"/>
              <w:spacing w:after="0"/>
              <w:rPr>
                <w:sz w:val="20"/>
                <w:szCs w:val="20"/>
                <w:color w:val="auto"/>
              </w:rPr>
            </w:pPr>
            <w:r>
              <w:rPr>
                <w:rFonts w:ascii="Arial" w:cs="Arial" w:eastAsia="Arial" w:hAnsi="Arial"/>
                <w:sz w:val="15"/>
                <w:szCs w:val="15"/>
                <w:b w:val="1"/>
                <w:bCs w:val="1"/>
                <w:color w:val="auto"/>
              </w:rPr>
              <w:t>Class</w:t>
            </w:r>
          </w:p>
        </w:tc>
        <w:tc>
          <w:tcPr>
            <w:tcW w:w="840" w:type="dxa"/>
            <w:vAlign w:val="bottom"/>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Outstanding at September 30, 2026</w:t>
            </w:r>
          </w:p>
        </w:tc>
        <w:tc>
          <w:tcPr>
            <w:tcW w:w="400" w:type="dxa"/>
            <w:vAlign w:val="bottom"/>
          </w:tcPr>
          <w:p>
            <w:pPr>
              <w:spacing w:after="0"/>
              <w:rPr>
                <w:sz w:val="22"/>
                <w:szCs w:val="22"/>
                <w:color w:val="auto"/>
              </w:rPr>
            </w:pPr>
          </w:p>
        </w:tc>
      </w:tr>
      <w:tr>
        <w:trPr>
          <w:trHeight w:val="237"/>
        </w:trPr>
        <w:tc>
          <w:tcPr>
            <w:tcW w:w="7440" w:type="dxa"/>
            <w:vAlign w:val="bottom"/>
            <w:gridSpan w:val="3"/>
          </w:tcPr>
          <w:p>
            <w:pPr>
              <w:spacing w:after="0"/>
              <w:rPr>
                <w:sz w:val="20"/>
                <w:szCs w:val="20"/>
                <w:color w:val="auto"/>
              </w:rPr>
            </w:pPr>
            <w:r>
              <w:rPr>
                <w:rFonts w:ascii="Arial" w:cs="Arial" w:eastAsia="Arial" w:hAnsi="Arial"/>
                <w:sz w:val="15"/>
                <w:szCs w:val="15"/>
                <w:color w:val="auto"/>
              </w:rPr>
              <w:t>COMMON STOCK, $0.01 PAR VALUE PER SHARE</w:t>
            </w:r>
          </w:p>
        </w:tc>
        <w:tc>
          <w:tcPr>
            <w:tcW w:w="3400" w:type="dxa"/>
            <w:vAlign w:val="bottom"/>
            <w:gridSpan w:val="2"/>
          </w:tcPr>
          <w:p>
            <w:pPr>
              <w:jc w:val="right"/>
              <w:ind w:right="724"/>
              <w:spacing w:after="0"/>
              <w:rPr>
                <w:sz w:val="20"/>
                <w:szCs w:val="20"/>
                <w:color w:val="auto"/>
              </w:rPr>
            </w:pPr>
            <w:r>
              <w:rPr>
                <w:rFonts w:ascii="Arial" w:cs="Arial" w:eastAsia="Arial" w:hAnsi="Arial"/>
                <w:sz w:val="15"/>
                <w:szCs w:val="15"/>
                <w:color w:val="auto"/>
              </w:rPr>
              <w:t>1,476,029,613</w:t>
            </w:r>
          </w:p>
        </w:tc>
        <w:tc>
          <w:tcPr>
            <w:tcW w:w="400" w:type="dxa"/>
            <w:vAlign w:val="bottom"/>
          </w:tcPr>
          <w:p>
            <w:pPr>
              <w:spacing w:after="0"/>
              <w:rPr>
                <w:sz w:val="20"/>
                <w:szCs w:val="20"/>
                <w:color w:val="auto"/>
              </w:rPr>
            </w:pPr>
          </w:p>
        </w:tc>
      </w:tr>
      <w:tr>
        <w:trPr>
          <w:trHeight w:val="1363"/>
        </w:trPr>
        <w:tc>
          <w:tcPr>
            <w:tcW w:w="3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00" w:type="dxa"/>
            <w:vAlign w:val="bottom"/>
            <w:gridSpan w:val="4"/>
          </w:tcPr>
          <w:p>
            <w:pPr>
              <w:ind w:left="1760"/>
              <w:spacing w:after="0"/>
              <w:rPr>
                <w:sz w:val="20"/>
                <w:szCs w:val="20"/>
                <w:color w:val="auto"/>
              </w:rPr>
            </w:pPr>
            <w:r>
              <w:rPr>
                <w:rFonts w:ascii="Arial" w:cs="Arial" w:eastAsia="Arial" w:hAnsi="Arial"/>
                <w:sz w:val="18"/>
                <w:szCs w:val="18"/>
                <w:b w:val="1"/>
                <w:bCs w:val="1"/>
                <w:color w:val="auto"/>
              </w:rPr>
              <w:t>SLB Limited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00" w:type="dxa"/>
            <w:vAlign w:val="bottom"/>
            <w:gridSpan w:val="4"/>
          </w:tcPr>
          <w:p>
            <w:pPr>
              <w:jc w:val="center"/>
              <w:ind w:right="2780"/>
              <w:spacing w:after="0" w:line="202" w:lineRule="exact"/>
              <w:rPr>
                <w:sz w:val="20"/>
                <w:szCs w:val="20"/>
                <w:color w:val="auto"/>
              </w:rPr>
            </w:pPr>
            <w:r>
              <w:rPr>
                <w:rFonts w:ascii="Arial" w:cs="Arial" w:eastAsia="Arial" w:hAnsi="Arial"/>
                <w:sz w:val="18"/>
                <w:szCs w:val="18"/>
                <w:color w:val="auto"/>
                <w:w w:val="99"/>
              </w:rPr>
              <w:t>Third Quarter 2026 Form 10-Q</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300" w:type="dxa"/>
            <w:vAlign w:val="bottom"/>
            <w:gridSpan w:val="4"/>
          </w:tcPr>
          <w:p>
            <w:pPr>
              <w:jc w:val="center"/>
              <w:ind w:right="2800"/>
              <w:spacing w:after="0"/>
              <w:rPr>
                <w:sz w:val="20"/>
                <w:szCs w:val="20"/>
                <w:color w:val="auto"/>
              </w:rPr>
            </w:pPr>
            <w:r>
              <w:rPr>
                <w:rFonts w:ascii="Arial" w:cs="Arial" w:eastAsia="Arial" w:hAnsi="Arial"/>
                <w:sz w:val="18"/>
                <w:szCs w:val="18"/>
                <w:color w:val="auto"/>
                <w:w w:val="99"/>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9600" w:type="dxa"/>
            <w:vAlign w:val="bottom"/>
            <w:gridSpan w:val="12"/>
            <w:vMerge w:val="restart"/>
          </w:tcPr>
          <w:p>
            <w:pPr>
              <w:spacing w:after="0"/>
              <w:rPr>
                <w:sz w:val="20"/>
                <w:szCs w:val="20"/>
                <w:color w:val="auto"/>
              </w:rPr>
            </w:pPr>
            <w:r>
              <w:rPr>
                <w:rFonts w:ascii="Arial" w:cs="Arial" w:eastAsia="Arial" w:hAnsi="Arial"/>
                <w:sz w:val="16"/>
                <w:szCs w:val="16"/>
                <w:b w:val="1"/>
                <w:bCs w:val="1"/>
                <w:color w:val="auto"/>
              </w:rPr>
              <w:t>Financial Information</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9600" w:type="dxa"/>
            <w:vAlign w:val="bottom"/>
            <w:gridSpan w:val="12"/>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600" w:type="dxa"/>
            <w:vAlign w:val="bottom"/>
            <w:gridSpan w:val="12"/>
          </w:tcPr>
          <w:p>
            <w:pPr>
              <w:spacing w:after="0"/>
              <w:rPr>
                <w:sz w:val="20"/>
                <w:szCs w:val="20"/>
                <w:color w:val="auto"/>
              </w:rPr>
            </w:pPr>
            <w:r>
              <w:rPr>
                <w:rFonts w:ascii="Arial" w:cs="Arial" w:eastAsia="Arial" w:hAnsi="Arial"/>
                <w:sz w:val="16"/>
                <w:szCs w:val="16"/>
                <w:color w:val="0000FF"/>
              </w:rPr>
              <w:t>Financial Statements</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9600" w:type="dxa"/>
            <w:vAlign w:val="bottom"/>
            <w:gridSpan w:val="12"/>
          </w:tcPr>
          <w:p>
            <w:pPr>
              <w:spacing w:after="0"/>
              <w:rPr>
                <w:sz w:val="20"/>
                <w:szCs w:val="20"/>
                <w:color w:val="auto"/>
              </w:rPr>
            </w:pPr>
            <w:r>
              <w:rPr>
                <w:rFonts w:ascii="Arial" w:cs="Arial" w:eastAsia="Arial" w:hAnsi="Arial"/>
                <w:sz w:val="16"/>
                <w:szCs w:val="16"/>
                <w:color w:val="0000FF"/>
              </w:rPr>
              <w:t>Controls and Procedures</w:t>
            </w: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1780" w:type="dxa"/>
            <w:vAlign w:val="bottom"/>
            <w:tcBorders>
              <w:top w:val="single" w:sz="8" w:color="0000FF"/>
            </w:tcBorders>
            <w:gridSpan w:val="7"/>
          </w:tcPr>
          <w:p>
            <w:pPr>
              <w:spacing w:after="0"/>
              <w:rPr>
                <w:sz w:val="20"/>
                <w:szCs w:val="20"/>
                <w:color w:val="auto"/>
              </w:rPr>
            </w:pPr>
            <w:r>
              <w:rPr>
                <w:rFonts w:ascii="Arial" w:cs="Arial" w:eastAsia="Arial" w:hAnsi="Arial"/>
                <w:sz w:val="16"/>
                <w:szCs w:val="16"/>
                <w:b w:val="1"/>
                <w:bCs w:val="1"/>
                <w:color w:val="auto"/>
              </w:rPr>
              <w:t>Other Information</w:t>
            </w:r>
          </w:p>
        </w:tc>
        <w:tc>
          <w:tcPr>
            <w:tcW w:w="782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Legal Proceedings</w:t>
            </w:r>
          </w:p>
        </w:tc>
        <w:tc>
          <w:tcPr>
            <w:tcW w:w="82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870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23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2"/>
          </w:tcPr>
          <w:p>
            <w:pPr>
              <w:spacing w:after="0"/>
              <w:rPr>
                <w:sz w:val="24"/>
                <w:szCs w:val="24"/>
                <w:color w:val="auto"/>
              </w:rPr>
            </w:pPr>
          </w:p>
        </w:tc>
        <w:tc>
          <w:tcPr>
            <w:tcW w:w="524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Mine Safety Disclosures</w:t>
            </w:r>
          </w:p>
        </w:tc>
        <w:tc>
          <w:tcPr>
            <w:tcW w:w="786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5.</w:t>
            </w: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834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9600" w:type="dxa"/>
            <w:vAlign w:val="bottom"/>
            <w:gridSpan w:val="12"/>
          </w:tcPr>
          <w:p>
            <w:pPr>
              <w:spacing w:after="0"/>
              <w:rPr>
                <w:sz w:val="20"/>
                <w:szCs w:val="20"/>
                <w:color w:val="auto"/>
              </w:rPr>
            </w:pPr>
            <w:r>
              <w:rPr>
                <w:rFonts w:ascii="Arial" w:cs="Arial" w:eastAsia="Arial" w:hAnsi="Arial"/>
                <w:sz w:val="16"/>
                <w:szCs w:val="16"/>
                <w:color w:val="0000FF"/>
              </w:rPr>
              <w:t>Exhibits</w:t>
            </w: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202"/>
        </w:trPr>
        <w:tc>
          <w:tcPr>
            <w:tcW w:w="10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40" w:type="dxa"/>
            <w:vAlign w:val="bottom"/>
            <w:gridSpan w:val="8"/>
          </w:tcPr>
          <w:p>
            <w:pPr>
              <w:ind w:left="78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359"/>
        </w:trPr>
        <w:tc>
          <w:tcPr>
            <w:tcW w:w="4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Third Quarter</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4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2025</w:t>
            </w:r>
          </w:p>
        </w:tc>
        <w:tc>
          <w:tcPr>
            <w:tcW w:w="120" w:type="dxa"/>
            <w:vAlign w:val="bottom"/>
          </w:tcPr>
          <w:p>
            <w:pPr>
              <w:spacing w:after="0"/>
              <w:rPr>
                <w:sz w:val="15"/>
                <w:szCs w:val="15"/>
                <w:color w:val="auto"/>
              </w:rPr>
            </w:pP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Revenue</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Services</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5,073</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5,152</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15,192</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15,844</w:t>
            </w:r>
          </w:p>
        </w:tc>
        <w:tc>
          <w:tcPr>
            <w:tcW w:w="120" w:type="dxa"/>
            <w:vAlign w:val="bottom"/>
          </w:tcPr>
          <w:p>
            <w:pPr>
              <w:spacing w:after="0"/>
              <w:rPr>
                <w:sz w:val="16"/>
                <w:szCs w:val="16"/>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Product sales</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4,376</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3,776</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11,950</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10,119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Total Revenue</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9,449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8,928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27,142</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25,963</w:t>
            </w:r>
          </w:p>
        </w:tc>
        <w:tc>
          <w:tcPr>
            <w:tcW w:w="120" w:type="dxa"/>
            <w:vAlign w:val="bottom"/>
          </w:tcPr>
          <w:p>
            <w:pPr>
              <w:spacing w:after="0"/>
              <w:rPr>
                <w:sz w:val="15"/>
                <w:szCs w:val="15"/>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Interest &amp; other income</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i w:val="1"/>
                <w:iCs w:val="1"/>
                <w:color w:val="auto"/>
              </w:rPr>
              <w:t>Expenses</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Cost of services</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4,138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12,527</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12,554</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Cost of sales</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3,745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10,323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8,631</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Research &amp; engineering</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491</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General &amp; administrative</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265</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Restructuring &amp; other</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Merger &amp; integration</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6"/>
                <w:szCs w:val="16"/>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Interest</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133</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377</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2"/>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Income before taxes</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1,019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2,994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3,348</w:t>
            </w:r>
          </w:p>
        </w:tc>
        <w:tc>
          <w:tcPr>
            <w:tcW w:w="120" w:type="dxa"/>
            <w:vAlign w:val="bottom"/>
          </w:tcPr>
          <w:p>
            <w:pPr>
              <w:spacing w:after="0"/>
              <w:rPr>
                <w:sz w:val="15"/>
                <w:szCs w:val="15"/>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Tax expense</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239</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638</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Net income</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780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774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2,356</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2,651</w:t>
            </w:r>
          </w:p>
        </w:tc>
        <w:tc>
          <w:tcPr>
            <w:tcW w:w="120" w:type="dxa"/>
            <w:vAlign w:val="bottom"/>
          </w:tcPr>
          <w:p>
            <w:pPr>
              <w:spacing w:after="0"/>
              <w:rPr>
                <w:sz w:val="15"/>
                <w:szCs w:val="15"/>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income attributable to noncontrolling interests</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69" w:lineRule="exact"/>
              <w:rPr>
                <w:sz w:val="20"/>
                <w:szCs w:val="20"/>
                <w:color w:val="auto"/>
              </w:rPr>
            </w:pPr>
            <w:r>
              <w:rPr>
                <w:rFonts w:ascii="Arial" w:cs="Arial" w:eastAsia="Arial" w:hAnsi="Arial"/>
                <w:sz w:val="16"/>
                <w:szCs w:val="16"/>
                <w:i w:val="1"/>
                <w:iCs w:val="1"/>
                <w:color w:val="auto"/>
              </w:rPr>
              <w:t>Net income attributable to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735</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739</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2,273</w:t>
            </w:r>
          </w:p>
        </w:tc>
        <w:tc>
          <w:tcPr>
            <w:tcW w:w="62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2,550</w:t>
            </w:r>
          </w:p>
        </w:tc>
        <w:tc>
          <w:tcPr>
            <w:tcW w:w="1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47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spacing w:after="0" w:line="169" w:lineRule="exact"/>
              <w:rPr>
                <w:sz w:val="20"/>
                <w:szCs w:val="20"/>
                <w:color w:val="auto"/>
              </w:rPr>
            </w:pPr>
            <w:r>
              <w:rPr>
                <w:rFonts w:ascii="Arial" w:cs="Arial" w:eastAsia="Arial" w:hAnsi="Arial"/>
                <w:sz w:val="16"/>
                <w:szCs w:val="16"/>
                <w:b w:val="1"/>
                <w:bCs w:val="1"/>
                <w:color w:val="auto"/>
              </w:rPr>
              <w:t>Basic income per share of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0.50</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1.53</w:t>
            </w:r>
          </w:p>
        </w:tc>
        <w:tc>
          <w:tcPr>
            <w:tcW w:w="62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1.83</w:t>
            </w:r>
          </w:p>
        </w:tc>
        <w:tc>
          <w:tcPr>
            <w:tcW w:w="120" w:type="dxa"/>
            <w:vAlign w:val="bottom"/>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47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spacing w:after="0" w:line="169" w:lineRule="exact"/>
              <w:rPr>
                <w:sz w:val="20"/>
                <w:szCs w:val="20"/>
                <w:color w:val="auto"/>
              </w:rPr>
            </w:pPr>
            <w:r>
              <w:rPr>
                <w:rFonts w:ascii="Arial" w:cs="Arial" w:eastAsia="Arial" w:hAnsi="Arial"/>
                <w:sz w:val="16"/>
                <w:szCs w:val="16"/>
                <w:b w:val="1"/>
                <w:bCs w:val="1"/>
                <w:color w:val="auto"/>
              </w:rPr>
              <w:t>Diluted income per share of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0.49</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0.50</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1.51</w:t>
            </w:r>
          </w:p>
        </w:tc>
        <w:tc>
          <w:tcPr>
            <w:tcW w:w="62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1.80</w:t>
            </w:r>
          </w:p>
        </w:tc>
        <w:tc>
          <w:tcPr>
            <w:tcW w:w="120" w:type="dxa"/>
            <w:vAlign w:val="bottom"/>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47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Average shares outstanding:</w:t>
            </w: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Basic</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1,481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1,490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1,396</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Assuming dilution</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1,506</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w:t>
            </w:r>
          </w:p>
        </w:tc>
        <w:tc>
          <w:tcPr>
            <w:tcW w:w="12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-2751455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-2751455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-2751455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-2751455</wp:posOffset>
            </wp:positionV>
            <wp:extent cx="77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-1542415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-1542415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-1542415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-1542415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-1294130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-1294130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-1294130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-1294130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-1045210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-1045210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-1045210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5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Third Quarter</w:t>
            </w: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2025</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2025</w:t>
            </w:r>
          </w:p>
        </w:tc>
        <w:tc>
          <w:tcPr>
            <w:tcW w:w="120" w:type="dxa"/>
            <w:vAlign w:val="bottom"/>
          </w:tcPr>
          <w:p>
            <w:pPr>
              <w:spacing w:after="0"/>
              <w:rPr>
                <w:sz w:val="15"/>
                <w:szCs w:val="15"/>
                <w:color w:val="auto"/>
              </w:rPr>
            </w:pPr>
          </w:p>
        </w:tc>
      </w:tr>
      <w:tr>
        <w:trPr>
          <w:trHeight w:val="183"/>
        </w:trPr>
        <w:tc>
          <w:tcPr>
            <w:tcW w:w="524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Net income</w:t>
            </w:r>
          </w:p>
        </w:tc>
        <w:tc>
          <w:tcPr>
            <w:tcW w:w="1340" w:type="dxa"/>
            <w:vAlign w:val="bottom"/>
            <w:gridSpan w:val="2"/>
            <w:shd w:val="clear" w:color="auto" w:fill="CFF0FC"/>
          </w:tcPr>
          <w:p>
            <w:pPr>
              <w:jc w:val="right"/>
              <w:ind w:right="639"/>
              <w:spacing w:after="0" w:line="183" w:lineRule="exact"/>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780</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19"/>
              <w:spacing w:after="0" w:line="183" w:lineRule="exact"/>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774</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2,356</w:t>
            </w:r>
          </w:p>
        </w:tc>
        <w:tc>
          <w:tcPr>
            <w:tcW w:w="1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2,651</w:t>
            </w:r>
          </w:p>
        </w:tc>
        <w:tc>
          <w:tcPr>
            <w:tcW w:w="120" w:type="dxa"/>
            <w:vAlign w:val="bottom"/>
            <w:shd w:val="clear" w:color="auto" w:fill="CFF0FC"/>
          </w:tcPr>
          <w:p>
            <w:pPr>
              <w:spacing w:after="0"/>
              <w:rPr>
                <w:sz w:val="15"/>
                <w:szCs w:val="15"/>
                <w:color w:val="auto"/>
              </w:rPr>
            </w:pPr>
          </w:p>
        </w:tc>
      </w:tr>
      <w:tr>
        <w:trPr>
          <w:trHeight w:val="189"/>
        </w:trPr>
        <w:tc>
          <w:tcPr>
            <w:tcW w:w="5240" w:type="dxa"/>
            <w:vAlign w:val="bottom"/>
          </w:tcPr>
          <w:p>
            <w:pPr>
              <w:spacing w:after="0"/>
              <w:rPr>
                <w:sz w:val="20"/>
                <w:szCs w:val="20"/>
                <w:color w:val="auto"/>
              </w:rPr>
            </w:pPr>
            <w:r>
              <w:rPr>
                <w:rFonts w:ascii="Arial" w:cs="Arial" w:eastAsia="Arial" w:hAnsi="Arial"/>
                <w:sz w:val="16"/>
                <w:szCs w:val="16"/>
                <w:i w:val="1"/>
                <w:iCs w:val="1"/>
                <w:color w:val="auto"/>
              </w:rPr>
              <w:t>Currency translation adjustments</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Unrealized net change arising during the period</w:t>
            </w:r>
          </w:p>
        </w:tc>
        <w:tc>
          <w:tcPr>
            <w:tcW w:w="5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(75)</w:t>
            </w:r>
          </w:p>
        </w:tc>
        <w:tc>
          <w:tcPr>
            <w:tcW w:w="8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(42)</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FF0FC"/>
          </w:tcPr>
          <w:p>
            <w:pPr>
              <w:spacing w:after="0"/>
              <w:rPr>
                <w:sz w:val="16"/>
                <w:szCs w:val="16"/>
                <w:color w:val="auto"/>
              </w:rPr>
            </w:pPr>
          </w:p>
        </w:tc>
      </w:tr>
      <w:tr>
        <w:trPr>
          <w:trHeight w:val="189"/>
        </w:trPr>
        <w:tc>
          <w:tcPr>
            <w:tcW w:w="5240" w:type="dxa"/>
            <w:vAlign w:val="bottom"/>
          </w:tcPr>
          <w:p>
            <w:pPr>
              <w:spacing w:after="0"/>
              <w:rPr>
                <w:sz w:val="20"/>
                <w:szCs w:val="20"/>
                <w:color w:val="auto"/>
              </w:rPr>
            </w:pPr>
            <w:r>
              <w:rPr>
                <w:rFonts w:ascii="Arial" w:cs="Arial" w:eastAsia="Arial" w:hAnsi="Arial"/>
                <w:sz w:val="16"/>
                <w:szCs w:val="16"/>
                <w:i w:val="1"/>
                <w:iCs w:val="1"/>
                <w:color w:val="auto"/>
              </w:rPr>
              <w:t>Cash flow hedges</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gain (loss) on cash flow hedges</w:t>
            </w:r>
          </w:p>
        </w:tc>
        <w:tc>
          <w:tcPr>
            <w:tcW w:w="5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w:t>
            </w:r>
          </w:p>
        </w:tc>
      </w:tr>
      <w:tr>
        <w:trPr>
          <w:trHeight w:val="189"/>
        </w:trPr>
        <w:tc>
          <w:tcPr>
            <w:tcW w:w="5240" w:type="dxa"/>
            <w:vAlign w:val="bottom"/>
          </w:tcPr>
          <w:p>
            <w:pPr>
              <w:ind w:left="120"/>
              <w:spacing w:after="0"/>
              <w:rPr>
                <w:sz w:val="20"/>
                <w:szCs w:val="20"/>
                <w:color w:val="auto"/>
              </w:rPr>
            </w:pPr>
            <w:r>
              <w:rPr>
                <w:rFonts w:ascii="Arial" w:cs="Arial" w:eastAsia="Arial" w:hAnsi="Arial"/>
                <w:sz w:val="16"/>
                <w:szCs w:val="16"/>
                <w:color w:val="auto"/>
              </w:rPr>
              <w:t>Reclassification to net income of net realized loss (gain)</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r>
      <w:tr>
        <w:trPr>
          <w:trHeight w:val="189"/>
        </w:trPr>
        <w:tc>
          <w:tcPr>
            <w:tcW w:w="52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5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240" w:type="dxa"/>
            <w:vAlign w:val="bottom"/>
          </w:tcPr>
          <w:p>
            <w:pPr>
              <w:ind w:left="120"/>
              <w:spacing w:after="0"/>
              <w:rPr>
                <w:sz w:val="20"/>
                <w:szCs w:val="20"/>
                <w:color w:val="auto"/>
              </w:rPr>
            </w:pPr>
            <w:r>
              <w:rPr>
                <w:rFonts w:ascii="Arial" w:cs="Arial" w:eastAsia="Arial" w:hAnsi="Arial"/>
                <w:sz w:val="16"/>
                <w:szCs w:val="16"/>
                <w:color w:val="auto"/>
              </w:rPr>
              <w:t>Amortization to net income of net actuarial loss</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r>
      <w:tr>
        <w:trPr>
          <w:trHeight w:val="189"/>
        </w:trPr>
        <w:tc>
          <w:tcPr>
            <w:tcW w:w="5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Amortization to net income of net prior service credit</w:t>
            </w:r>
          </w:p>
        </w:tc>
        <w:tc>
          <w:tcPr>
            <w:tcW w:w="5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r>
      <w:tr>
        <w:trPr>
          <w:trHeight w:val="189"/>
        </w:trPr>
        <w:tc>
          <w:tcPr>
            <w:tcW w:w="5240" w:type="dxa"/>
            <w:vAlign w:val="bottom"/>
          </w:tcPr>
          <w:p>
            <w:pPr>
              <w:ind w:left="120"/>
              <w:spacing w:after="0"/>
              <w:rPr>
                <w:sz w:val="20"/>
                <w:szCs w:val="20"/>
                <w:color w:val="auto"/>
              </w:rPr>
            </w:pPr>
            <w:r>
              <w:rPr>
                <w:rFonts w:ascii="Arial" w:cs="Arial" w:eastAsia="Arial" w:hAnsi="Arial"/>
                <w:sz w:val="16"/>
                <w:szCs w:val="16"/>
                <w:color w:val="auto"/>
              </w:rPr>
              <w:t>Pension settlement charge</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9"/>
        </w:trPr>
        <w:tc>
          <w:tcPr>
            <w:tcW w:w="5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taxes on pension and other postretirement benefit plans</w:t>
            </w:r>
          </w:p>
        </w:tc>
        <w:tc>
          <w:tcPr>
            <w:tcW w:w="5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w:t>
            </w:r>
          </w:p>
        </w:tc>
        <w:tc>
          <w:tcPr>
            <w:tcW w:w="8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r>
      <w:tr>
        <w:trPr>
          <w:trHeight w:val="189"/>
        </w:trPr>
        <w:tc>
          <w:tcPr>
            <w:tcW w:w="5240" w:type="dxa"/>
            <w:vAlign w:val="bottom"/>
          </w:tcPr>
          <w:p>
            <w:pPr>
              <w:spacing w:after="0"/>
              <w:rPr>
                <w:sz w:val="20"/>
                <w:szCs w:val="20"/>
                <w:color w:val="auto"/>
              </w:rPr>
            </w:pPr>
            <w:r>
              <w:rPr>
                <w:rFonts w:ascii="Arial" w:cs="Arial" w:eastAsia="Arial" w:hAnsi="Arial"/>
                <w:sz w:val="16"/>
                <w:szCs w:val="16"/>
                <w:i w:val="1"/>
                <w:iCs w:val="1"/>
                <w:color w:val="auto"/>
              </w:rPr>
              <w:t>Other</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w:t>
            </w:r>
          </w:p>
        </w:tc>
        <w:tc>
          <w:tcPr>
            <w:tcW w:w="8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r>
      <w:tr>
        <w:trPr>
          <w:trHeight w:val="183"/>
        </w:trPr>
        <w:tc>
          <w:tcPr>
            <w:tcW w:w="524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Comprehensive income</w:t>
            </w:r>
          </w:p>
        </w:tc>
        <w:tc>
          <w:tcPr>
            <w:tcW w:w="54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918</w:t>
            </w:r>
          </w:p>
        </w:tc>
        <w:tc>
          <w:tcPr>
            <w:tcW w:w="24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704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2,587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2,788</w:t>
            </w:r>
          </w:p>
        </w:tc>
        <w:tc>
          <w:tcPr>
            <w:tcW w:w="120" w:type="dxa"/>
            <w:vAlign w:val="bottom"/>
            <w:shd w:val="clear" w:color="auto" w:fill="CFF0FC"/>
          </w:tcPr>
          <w:p>
            <w:pPr>
              <w:spacing w:after="0"/>
              <w:rPr>
                <w:sz w:val="15"/>
                <w:szCs w:val="15"/>
                <w:color w:val="auto"/>
              </w:rPr>
            </w:pPr>
          </w:p>
        </w:tc>
      </w:tr>
      <w:tr>
        <w:trPr>
          <w:trHeight w:val="189"/>
        </w:trPr>
        <w:tc>
          <w:tcPr>
            <w:tcW w:w="5240" w:type="dxa"/>
            <w:vAlign w:val="bottom"/>
          </w:tcPr>
          <w:p>
            <w:pPr>
              <w:ind w:left="120"/>
              <w:spacing w:after="0"/>
              <w:rPr>
                <w:sz w:val="20"/>
                <w:szCs w:val="20"/>
                <w:color w:val="auto"/>
              </w:rPr>
            </w:pPr>
            <w:r>
              <w:rPr>
                <w:rFonts w:ascii="Arial" w:cs="Arial" w:eastAsia="Arial" w:hAnsi="Arial"/>
                <w:sz w:val="16"/>
                <w:szCs w:val="16"/>
                <w:color w:val="auto"/>
              </w:rPr>
              <w:t>Comprehensive income attributable to noncontrolling interests</w:t>
            </w:r>
          </w:p>
        </w:tc>
        <w:tc>
          <w:tcPr>
            <w:tcW w:w="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r>
      <w:tr>
        <w:trPr>
          <w:trHeight w:val="203"/>
        </w:trPr>
        <w:tc>
          <w:tcPr>
            <w:tcW w:w="5240" w:type="dxa"/>
            <w:vAlign w:val="bottom"/>
            <w:shd w:val="clear" w:color="auto" w:fill="CFF0FC"/>
          </w:tcPr>
          <w:p>
            <w:pPr>
              <w:spacing w:after="0" w:line="169" w:lineRule="exact"/>
              <w:rPr>
                <w:sz w:val="20"/>
                <w:szCs w:val="20"/>
                <w:color w:val="auto"/>
              </w:rPr>
            </w:pPr>
            <w:r>
              <w:rPr>
                <w:rFonts w:ascii="Arial" w:cs="Arial" w:eastAsia="Arial" w:hAnsi="Arial"/>
                <w:sz w:val="16"/>
                <w:szCs w:val="16"/>
                <w:i w:val="1"/>
                <w:iCs w:val="1"/>
                <w:color w:val="auto"/>
              </w:rPr>
              <w:t>Comprehensive income attributable to SLB</w:t>
            </w:r>
          </w:p>
        </w:tc>
        <w:tc>
          <w:tcPr>
            <w:tcW w:w="1340" w:type="dxa"/>
            <w:vAlign w:val="bottom"/>
            <w:gridSpan w:val="2"/>
            <w:shd w:val="clear" w:color="auto" w:fill="CFF0FC"/>
          </w:tcPr>
          <w:p>
            <w:pPr>
              <w:jc w:val="right"/>
              <w:ind w:right="639"/>
              <w:spacing w:after="0" w:line="169" w:lineRule="exact"/>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873</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9"/>
              <w:spacing w:after="0" w:line="169" w:lineRule="exact"/>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669</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2,504</w:t>
            </w:r>
          </w:p>
        </w:tc>
        <w:tc>
          <w:tcPr>
            <w:tcW w:w="1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2,687</w:t>
            </w:r>
          </w:p>
        </w:tc>
        <w:tc>
          <w:tcPr>
            <w:tcW w:w="120" w:type="dxa"/>
            <w:vAlign w:val="bottom"/>
            <w:shd w:val="clear" w:color="auto" w:fill="CFF0FC"/>
          </w:tcPr>
          <w:p>
            <w:pPr>
              <w:spacing w:after="0"/>
              <w:rPr>
                <w:sz w:val="17"/>
                <w:szCs w:val="17"/>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5"/>
        </w:trPr>
        <w:tc>
          <w:tcPr>
            <w:tcW w:w="6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Sept.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r>
      <w:tr>
        <w:trPr>
          <w:trHeight w:val="203"/>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r>
      <w:tr>
        <w:trPr>
          <w:trHeight w:val="203"/>
        </w:trPr>
        <w:tc>
          <w:tcPr>
            <w:tcW w:w="6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ASSETS</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2,621</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Receivables less allowance for doubtful accounts (2026 - $322; 2025 - $335)</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9,735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8,689</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5,517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5,032</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Other current assets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1,694</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20,497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19,513</w:t>
            </w:r>
          </w:p>
        </w:tc>
        <w:tc>
          <w:tcPr>
            <w:tcW w:w="100" w:type="dxa"/>
            <w:vAlign w:val="bottom"/>
          </w:tcPr>
          <w:p>
            <w:pPr>
              <w:spacing w:after="0"/>
              <w:rPr>
                <w:sz w:val="15"/>
                <w:szCs w:val="15"/>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Investments in Affiliated Companies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1,712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Fixed Assets less accumulated depreciation</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7,707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7,894</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Goodwill</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17,263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16,794</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Intangible Assets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4,927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4,988</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 Assets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4,094</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220" w:type="dxa"/>
            <w:vAlign w:val="bottom"/>
            <w:gridSpan w:val="2"/>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56,200</w:t>
            </w:r>
          </w:p>
        </w:tc>
        <w:tc>
          <w:tcPr>
            <w:tcW w:w="180" w:type="dxa"/>
            <w:vAlign w:val="bottom"/>
          </w:tcPr>
          <w:p>
            <w:pPr>
              <w:spacing w:after="0"/>
              <w:rPr>
                <w:sz w:val="15"/>
                <w:szCs w:val="15"/>
                <w:color w:val="auto"/>
              </w:rPr>
            </w:pPr>
          </w:p>
        </w:tc>
        <w:tc>
          <w:tcPr>
            <w:tcW w:w="3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54,868</w:t>
            </w:r>
          </w:p>
        </w:tc>
        <w:tc>
          <w:tcPr>
            <w:tcW w:w="10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i w:val="1"/>
                <w:iCs w:val="1"/>
                <w:color w:val="auto"/>
              </w:rPr>
              <w:t>LIABILITIES AND EQUITY</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11,955</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11,490</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Estimated liability for taxes on income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695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Short-term borrowings and current portion of long-term debt</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1,653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Dividends payable</w:t>
            </w:r>
          </w:p>
        </w:tc>
        <w:tc>
          <w:tcPr>
            <w:tcW w:w="1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6"/>
                <w:szCs w:val="16"/>
                <w:color w:val="auto"/>
              </w:rPr>
            </w:pPr>
          </w:p>
        </w:tc>
      </w:tr>
      <w:tr>
        <w:trPr>
          <w:trHeight w:val="183"/>
        </w:trPr>
        <w:tc>
          <w:tcPr>
            <w:tcW w:w="66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14,757</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14,721</w:t>
            </w: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Long-term Debt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11,147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9,742</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Postretirement Benefits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Deferred Taxes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656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1,957</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28,987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27,577</w:t>
            </w:r>
          </w:p>
        </w:tc>
        <w:tc>
          <w:tcPr>
            <w:tcW w:w="100" w:type="dxa"/>
            <w:vAlign w:val="bottom"/>
          </w:tcPr>
          <w:p>
            <w:pPr>
              <w:spacing w:after="0"/>
              <w:rPr>
                <w:sz w:val="15"/>
                <w:szCs w:val="15"/>
                <w:color w:val="auto"/>
              </w:rPr>
            </w:pPr>
          </w:p>
        </w:tc>
      </w:tr>
      <w:tr>
        <w:trPr>
          <w:trHeight w:val="183"/>
        </w:trPr>
        <w:tc>
          <w:tcPr>
            <w:tcW w:w="66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Equity</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16,248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16,354</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Treasury stock</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(4,698)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(3,576)</w:t>
            </w: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19,006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18,067</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Accumulated other comprehensive loss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(4,505)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(4,736)</w:t>
            </w:r>
          </w:p>
        </w:tc>
      </w:tr>
      <w:tr>
        <w:trPr>
          <w:trHeight w:val="183"/>
        </w:trPr>
        <w:tc>
          <w:tcPr>
            <w:tcW w:w="6660" w:type="dxa"/>
            <w:vAlign w:val="bottom"/>
            <w:tcBorders>
              <w:top w:val="single" w:sz="8" w:color="CFF0FC"/>
            </w:tcBorders>
          </w:tcPr>
          <w:p>
            <w:pPr>
              <w:ind w:left="140"/>
              <w:spacing w:after="0" w:line="183" w:lineRule="exact"/>
              <w:rPr>
                <w:sz w:val="20"/>
                <w:szCs w:val="20"/>
                <w:color w:val="auto"/>
              </w:rPr>
            </w:pPr>
            <w:r>
              <w:rPr>
                <w:rFonts w:ascii="Arial" w:cs="Arial" w:eastAsia="Arial" w:hAnsi="Arial"/>
                <w:sz w:val="16"/>
                <w:szCs w:val="16"/>
                <w:color w:val="auto"/>
              </w:rPr>
              <w:t>SLB stockholders’ equity</w:t>
            </w: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26,051</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26,109</w:t>
            </w:r>
          </w:p>
        </w:tc>
        <w:tc>
          <w:tcPr>
            <w:tcW w:w="100" w:type="dxa"/>
            <w:vAlign w:val="bottom"/>
            <w:tcBorders>
              <w:top w:val="single" w:sz="8" w:color="CFF0FC"/>
            </w:tcBorders>
          </w:tcPr>
          <w:p>
            <w:pPr>
              <w:spacing w:after="0"/>
              <w:rPr>
                <w:sz w:val="15"/>
                <w:szCs w:val="15"/>
                <w:color w:val="auto"/>
              </w:rPr>
            </w:pPr>
          </w:p>
        </w:tc>
      </w:tr>
      <w:tr>
        <w:trPr>
          <w:trHeight w:val="18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1,162</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27,213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27,291</w:t>
            </w:r>
          </w:p>
        </w:tc>
        <w:tc>
          <w:tcPr>
            <w:tcW w:w="100" w:type="dxa"/>
            <w:vAlign w:val="bottom"/>
          </w:tcPr>
          <w:p>
            <w:pPr>
              <w:spacing w:after="0"/>
              <w:rPr>
                <w:sz w:val="15"/>
                <w:szCs w:val="15"/>
                <w:color w:val="auto"/>
              </w:rPr>
            </w:pPr>
          </w:p>
        </w:tc>
      </w:tr>
      <w:tr>
        <w:trPr>
          <w:trHeight w:val="203"/>
        </w:trPr>
        <w:tc>
          <w:tcPr>
            <w:tcW w:w="66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56,200</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54,868</w:t>
            </w:r>
          </w:p>
        </w:tc>
        <w:tc>
          <w:tcPr>
            <w:tcW w:w="100" w:type="dxa"/>
            <w:vAlign w:val="bottom"/>
            <w:shd w:val="clear" w:color="auto" w:fill="CFF0FC"/>
          </w:tcPr>
          <w:p>
            <w:pPr>
              <w:spacing w:after="0"/>
              <w:rPr>
                <w:sz w:val="17"/>
                <w:szCs w:val="17"/>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-4225290</wp:posOffset>
            </wp:positionV>
            <wp:extent cx="6858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-3479800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-2750820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-1268095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-530860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-281940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7680" w:type="dxa"/>
            <w:vAlign w:val="bottom"/>
          </w:tcPr>
          <w:p>
            <w:pPr>
              <w:spacing w:after="0"/>
              <w:rPr>
                <w:sz w:val="24"/>
                <w:szCs w:val="24"/>
                <w:color w:val="auto"/>
              </w:rPr>
            </w:pPr>
          </w:p>
        </w:tc>
        <w:tc>
          <w:tcPr>
            <w:tcW w:w="3560" w:type="dxa"/>
            <w:vAlign w:val="bottom"/>
            <w:gridSpan w:val="7"/>
          </w:tcPr>
          <w:p>
            <w:pPr>
              <w:jc w:val="right"/>
              <w:ind w:right="520"/>
              <w:spacing w:after="0"/>
              <w:rPr>
                <w:sz w:val="20"/>
                <w:szCs w:val="20"/>
                <w:color w:val="auto"/>
              </w:rPr>
            </w:pPr>
            <w:r>
              <w:rPr>
                <w:rFonts w:ascii="Arial" w:cs="Arial" w:eastAsia="Arial" w:hAnsi="Arial"/>
                <w:sz w:val="16"/>
                <w:szCs w:val="16"/>
                <w:b w:val="1"/>
                <w:bCs w:val="1"/>
                <w:color w:val="auto"/>
              </w:rPr>
              <w:t>Nine Months Ended September 30,</w:t>
            </w:r>
          </w:p>
        </w:tc>
      </w:tr>
      <w:tr>
        <w:trPr>
          <w:trHeight w:val="183"/>
        </w:trPr>
        <w:tc>
          <w:tcPr>
            <w:tcW w:w="76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2026</w:t>
            </w:r>
          </w:p>
        </w:tc>
        <w:tc>
          <w:tcPr>
            <w:tcW w:w="5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r>
      <w:tr>
        <w:trPr>
          <w:trHeight w:val="183"/>
        </w:trPr>
        <w:tc>
          <w:tcPr>
            <w:tcW w:w="768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82"/>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2,356</w:t>
            </w:r>
          </w:p>
        </w:tc>
        <w:tc>
          <w:tcPr>
            <w:tcW w:w="1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2,651</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680" w:type="dxa"/>
            <w:vAlign w:val="bottom"/>
          </w:tcPr>
          <w:p>
            <w:pPr>
              <w:ind w:left="360"/>
              <w:spacing w:after="0" w:line="203"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1,911</w:t>
            </w:r>
          </w:p>
        </w:tc>
        <w:tc>
          <w:tcPr>
            <w:tcW w:w="100" w:type="dxa"/>
            <w:vAlign w:val="bottom"/>
          </w:tcPr>
          <w:p>
            <w:pPr>
              <w:spacing w:after="0"/>
              <w:rPr>
                <w:sz w:val="17"/>
                <w:szCs w:val="17"/>
                <w:color w:val="auto"/>
              </w:rPr>
            </w:pP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Non-cash pension settlement charge</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Gain on sale of APS project</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Impairment of equity method investment</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Deferred taxes</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Earnings of equity method investments, less dividends received</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r>
      <w:tr>
        <w:trPr>
          <w:trHeight w:val="203"/>
        </w:trPr>
        <w:tc>
          <w:tcPr>
            <w:tcW w:w="7680" w:type="dxa"/>
            <w:vAlign w:val="bottom"/>
            <w:tcBorders>
              <w:right w:val="single" w:sz="8" w:color="CFF0FC"/>
            </w:tcBorders>
            <w:shd w:val="clear" w:color="auto" w:fill="CFF0FC"/>
          </w:tcPr>
          <w:p>
            <w:pPr>
              <w:ind w:left="140"/>
              <w:spacing w:after="0" w:line="203"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Increase in receivables</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(528)</w:t>
            </w: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Increase in inventories</w:t>
            </w: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(455)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(249)</w:t>
            </w: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(Increase) decrease in other current assets</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Decrease (increase) in other assets</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w:t>
            </w: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Increase (decrease) in accounts payable and accrued liabilities</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(381)</w:t>
            </w: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Decrease in estimated liability for taxes on income</w:t>
            </w: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(286)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(202)</w:t>
            </w: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(Decrease) increase in other liabilities</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6"/>
                <w:szCs w:val="16"/>
                <w:color w:val="auto"/>
              </w:rPr>
            </w:pPr>
          </w:p>
        </w:tc>
      </w:tr>
      <w:tr>
        <w:trPr>
          <w:trHeight w:val="189"/>
        </w:trPr>
        <w:tc>
          <w:tcPr>
            <w:tcW w:w="7680" w:type="dxa"/>
            <w:vAlign w:val="bottom"/>
            <w:tcBorders>
              <w:bottom w:val="single" w:sz="8" w:color="CFF0FC"/>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3,356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3,484</w:t>
            </w:r>
          </w:p>
        </w:tc>
        <w:tc>
          <w:tcPr>
            <w:tcW w:w="100" w:type="dxa"/>
            <w:vAlign w:val="bottom"/>
          </w:tcPr>
          <w:p>
            <w:pPr>
              <w:spacing w:after="0"/>
              <w:rPr>
                <w:sz w:val="15"/>
                <w:szCs w:val="15"/>
                <w:color w:val="auto"/>
              </w:rPr>
            </w:pPr>
          </w:p>
        </w:tc>
      </w:tr>
      <w:tr>
        <w:trPr>
          <w:trHeight w:val="183"/>
        </w:trPr>
        <w:tc>
          <w:tcPr>
            <w:tcW w:w="768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flows from investing activities: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(1,178)</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APS investments</w:t>
            </w: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(340)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(312)</w:t>
            </w: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Exploration data costs capitalized</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(168)</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Cash acquired in ChampionX Corporation acquisition</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Business acquisitions and investments, net of cash acquired</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(144)</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Sale of short-term investments, net</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Purchase of Blue Chip Swap securities</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(167)</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Proceeds from sale of Blue Chip securities</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Proceeds from sale of APS investment</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Proceeds from sale of ChampionX Drilling Technologies business</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r>
      <w:tr>
        <w:trPr>
          <w:trHeight w:val="183"/>
        </w:trPr>
        <w:tc>
          <w:tcPr>
            <w:tcW w:w="768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0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(2,140)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(142)</w:t>
            </w:r>
          </w:p>
        </w:tc>
      </w:tr>
      <w:tr>
        <w:trPr>
          <w:trHeight w:val="183"/>
        </w:trPr>
        <w:tc>
          <w:tcPr>
            <w:tcW w:w="76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Cash flows from financing activities:</w:t>
            </w:r>
          </w:p>
        </w:tc>
        <w:tc>
          <w:tcPr>
            <w:tcW w:w="10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Stock repurchase program</w:t>
            </w: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(1,755)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(2,414)</w:t>
            </w: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(1,176)</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2,000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Repayment of long-term debt</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(1,112)</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Proceeds from employee stock purchase plan</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Taxes paid on net settled stock-based compensation awards</w:t>
            </w: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Net increase in short-term borrowings</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10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(121)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r>
      <w:tr>
        <w:trPr>
          <w:trHeight w:val="20"/>
        </w:trPr>
        <w:tc>
          <w:tcPr>
            <w:tcW w:w="768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680" w:type="dxa"/>
            <w:vAlign w:val="bottom"/>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1040" w:type="dxa"/>
            <w:vAlign w:val="bottom"/>
          </w:tcPr>
          <w:p>
            <w:pPr>
              <w:spacing w:after="0"/>
              <w:rPr>
                <w:sz w:val="15"/>
                <w:szCs w:val="15"/>
                <w:color w:val="auto"/>
              </w:rPr>
            </w:pPr>
          </w:p>
        </w:tc>
        <w:tc>
          <w:tcPr>
            <w:tcW w:w="72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(1,614)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(3,921)</w:t>
            </w: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8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decrease in cash before translation effect</w:t>
            </w:r>
          </w:p>
        </w:tc>
        <w:tc>
          <w:tcPr>
            <w:tcW w:w="10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(398)</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(579)</w:t>
            </w:r>
          </w:p>
        </w:tc>
      </w:tr>
      <w:tr>
        <w:trPr>
          <w:trHeight w:val="189"/>
        </w:trPr>
        <w:tc>
          <w:tcPr>
            <w:tcW w:w="768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0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6"/>
                <w:szCs w:val="16"/>
                <w:color w:val="auto"/>
              </w:rPr>
            </w:pPr>
          </w:p>
        </w:tc>
      </w:tr>
      <w:tr>
        <w:trPr>
          <w:trHeight w:val="189"/>
        </w:trPr>
        <w:tc>
          <w:tcPr>
            <w:tcW w:w="768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0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3,036</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spacing w:after="0" w:line="169" w:lineRule="exact"/>
              <w:rPr>
                <w:sz w:val="20"/>
                <w:szCs w:val="20"/>
                <w:color w:val="auto"/>
              </w:rPr>
            </w:pPr>
            <w:r>
              <w:rPr>
                <w:rFonts w:ascii="Arial" w:cs="Arial" w:eastAsia="Arial" w:hAnsi="Arial"/>
                <w:sz w:val="16"/>
                <w:szCs w:val="16"/>
                <w:color w:val="auto"/>
              </w:rPr>
              <w:t>Cash, end of period</w:t>
            </w:r>
          </w:p>
        </w:tc>
        <w:tc>
          <w:tcPr>
            <w:tcW w:w="1040" w:type="dxa"/>
            <w:vAlign w:val="bottom"/>
          </w:tcPr>
          <w:p>
            <w:pPr>
              <w:jc w:val="right"/>
              <w:ind w:right="882"/>
              <w:spacing w:after="0" w:line="169" w:lineRule="exact"/>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2,621</w:t>
            </w:r>
          </w:p>
        </w:tc>
        <w:tc>
          <w:tcPr>
            <w:tcW w:w="180" w:type="dxa"/>
            <w:vAlign w:val="bottom"/>
          </w:tcPr>
          <w:p>
            <w:pPr>
              <w:spacing w:after="0"/>
              <w:rPr>
                <w:sz w:val="15"/>
                <w:szCs w:val="15"/>
                <w:color w:val="auto"/>
              </w:rPr>
            </w:pP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3,014</w:t>
            </w:r>
          </w:p>
        </w:tc>
        <w:tc>
          <w:tcPr>
            <w:tcW w:w="10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-3565525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-1859280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-650875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Asset Performance Solutions ("APS") investments.</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 and divestitures.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right"/>
        <w:ind w:right="44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11"/>
          </w:tcPr>
          <w:p>
            <w:pPr>
              <w:jc w:val="right"/>
              <w:ind w:right="48"/>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January 1, 2026 – September 30, 2026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7"/>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2026</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16,354</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(3,576)</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18,067</w:t>
            </w:r>
          </w:p>
        </w:tc>
        <w:tc>
          <w:tcPr>
            <w:tcW w:w="10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(4,736)</w:t>
            </w:r>
          </w:p>
        </w:tc>
        <w:tc>
          <w:tcPr>
            <w:tcW w:w="2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1,182</w:t>
            </w: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27,291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2,273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2,356</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(248)</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($0.885 per share)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(1,316)</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5"/>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September 30, 2026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16,248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(4,698)</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19,006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(4,505)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1,162</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27,213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vMerge w:val="restart"/>
          </w:tcPr>
          <w:p>
            <w:pPr>
              <w:ind w:left="4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center"/>
              <w:ind w:right="320"/>
              <w:spacing w:after="0" w:line="158"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spacing w:after="0" w:line="158" w:lineRule="exact"/>
              <w:rPr>
                <w:sz w:val="20"/>
                <w:szCs w:val="20"/>
                <w:color w:val="auto"/>
              </w:rPr>
            </w:pPr>
            <w:r>
              <w:rPr>
                <w:rFonts w:ascii="Arial" w:cs="Arial" w:eastAsia="Arial" w:hAnsi="Arial"/>
                <w:sz w:val="14"/>
                <w:szCs w:val="14"/>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January 1, 2025 – September 30, 2025</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Issued</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In Treasury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68"/>
              <w:spacing w:after="0" w:line="155" w:lineRule="exact"/>
              <w:rPr>
                <w:sz w:val="20"/>
                <w:szCs w:val="20"/>
                <w:color w:val="auto"/>
              </w:rPr>
            </w:pPr>
            <w:r>
              <w:rPr>
                <w:rFonts w:ascii="Arial" w:cs="Arial" w:eastAsia="Arial" w:hAnsi="Arial"/>
                <w:sz w:val="14"/>
                <w:szCs w:val="14"/>
                <w:color w:val="auto"/>
              </w:rPr>
              <w:t>Loss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2025</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11,458</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(1,773)</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16,395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(4,950)</w:t>
            </w:r>
          </w:p>
        </w:tc>
        <w:tc>
          <w:tcPr>
            <w:tcW w:w="8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1,220</w:t>
            </w: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22,350</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2,651</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206</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(2,414)</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($0.855 per share)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ChampionX Corporation</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5,005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September 30, 2025</w:t>
            </w:r>
          </w:p>
        </w:tc>
        <w:tc>
          <w:tcPr>
            <w:tcW w:w="200" w:type="dxa"/>
            <w:vAlign w:val="bottom"/>
            <w:tcBorders>
              <w:bottom w:val="single" w:sz="8" w:color="CFF0FC"/>
            </w:tcBorders>
            <w:gridSpan w:val="3"/>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16,338</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(3,636)</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17,746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(4,813)</w:t>
            </w: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1,287</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rPr>
              <w:t>26,922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-2365375</wp:posOffset>
            </wp:positionV>
            <wp:extent cx="946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-2365375</wp:posOffset>
            </wp:positionV>
            <wp:extent cx="94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-2365375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-2365375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-2365375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3"/>
                <w:szCs w:val="13"/>
                <w:color w:val="auto"/>
              </w:rPr>
            </w:pPr>
          </w:p>
        </w:tc>
        <w:tc>
          <w:tcPr>
            <w:tcW w:w="14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July 1, 2026 – September 30, 2026</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Issued</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In Treasury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88"/>
              <w:spacing w:after="0" w:line="15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7"/>
              </w:rPr>
              <w:t>Loss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48"/>
              <w:spacing w:after="0" w:line="155" w:lineRule="exact"/>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July 1, 2026</w:t>
            </w:r>
          </w:p>
        </w:tc>
        <w:tc>
          <w:tcPr>
            <w:tcW w:w="2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16,260</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(4,253)</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18,710</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(4,643)</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27,254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(75)</w:t>
            </w: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($0.295 per share)</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370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Balance, September 30, 2026</w:t>
            </w:r>
          </w:p>
        </w:tc>
        <w:tc>
          <w:tcPr>
            <w:tcW w:w="16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16,248</w:t>
            </w: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(4,698)</w:t>
            </w:r>
          </w:p>
        </w:tc>
        <w:tc>
          <w:tcPr>
            <w:tcW w:w="16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19,006</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(4,505)</w:t>
            </w:r>
          </w:p>
        </w:tc>
        <w:tc>
          <w:tcPr>
            <w:tcW w:w="26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1,162</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27,213</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vMerge w:val="restart"/>
          </w:tcPr>
          <w:p>
            <w:pPr>
              <w:jc w:val="right"/>
              <w:ind w:right="72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00"/>
              <w:spacing w:after="0" w:line="158"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360"/>
              <w:spacing w:after="0" w:line="158" w:lineRule="exact"/>
              <w:rPr>
                <w:sz w:val="20"/>
                <w:szCs w:val="20"/>
                <w:color w:val="auto"/>
              </w:rPr>
            </w:pPr>
            <w:r>
              <w:rPr>
                <w:rFonts w:ascii="Arial" w:cs="Arial" w:eastAsia="Arial" w:hAnsi="Arial"/>
                <w:sz w:val="14"/>
                <w:szCs w:val="14"/>
                <w:color w:val="auto"/>
              </w:rPr>
              <w:t>Comprehensive</w:t>
            </w:r>
          </w:p>
        </w:tc>
        <w:tc>
          <w:tcPr>
            <w:tcW w:w="80" w:type="dxa"/>
            <w:vAlign w:val="bottom"/>
          </w:tcPr>
          <w:p>
            <w:pPr>
              <w:spacing w:after="0"/>
              <w:rPr>
                <w:sz w:val="13"/>
                <w:szCs w:val="13"/>
                <w:color w:val="auto"/>
              </w:rPr>
            </w:pPr>
          </w:p>
        </w:tc>
        <w:tc>
          <w:tcPr>
            <w:tcW w:w="1400" w:type="dxa"/>
            <w:vAlign w:val="bottom"/>
            <w:gridSpan w:val="2"/>
          </w:tcPr>
          <w:p>
            <w:pPr>
              <w:jc w:val="center"/>
              <w:ind w:right="360"/>
              <w:spacing w:after="0" w:line="158"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July 1, 2025 – September 30, 2025</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Issued</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In Treasury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color w:val="auto"/>
              </w:rPr>
              <w:t>Loss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July 1, 2025</w:t>
            </w:r>
          </w:p>
        </w:tc>
        <w:tc>
          <w:tcPr>
            <w:tcW w:w="2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11,354</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(3,742)</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17,433</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(4,743)</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1,249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21,551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(43)</w:t>
            </w: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($0.285 per share)</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ChampionX Corporation</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September 30, 2025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16,338</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(3,636)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17,746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(4,813)</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1,287</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26,922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-2588260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-2588260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-2588260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-2588260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-2588260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r>
      <w:tr>
        <w:trPr>
          <w:trHeight w:val="203"/>
        </w:trPr>
        <w:tc>
          <w:tcPr>
            <w:tcW w:w="6520" w:type="dxa"/>
            <w:vAlign w:val="bottom"/>
          </w:tcPr>
          <w:p>
            <w:pPr>
              <w:spacing w:after="0"/>
              <w:rPr>
                <w:sz w:val="17"/>
                <w:szCs w:val="17"/>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 Treasury</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7"/>
                <w:szCs w:val="17"/>
                <w:color w:val="auto"/>
              </w:rPr>
            </w:pPr>
          </w:p>
        </w:tc>
      </w:tr>
      <w:tr>
        <w:trPr>
          <w:trHeight w:val="183"/>
        </w:trPr>
        <w:tc>
          <w:tcPr>
            <w:tcW w:w="74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Balance, January 1, 2026</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1,580</w:t>
            </w:r>
          </w:p>
        </w:tc>
        <w:tc>
          <w:tcPr>
            <w:tcW w:w="182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(85)</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1,495</w:t>
            </w:r>
          </w:p>
        </w:tc>
        <w:tc>
          <w:tcPr>
            <w:tcW w:w="120" w:type="dxa"/>
            <w:vAlign w:val="bottom"/>
            <w:shd w:val="clear" w:color="auto" w:fill="CFF0FC"/>
          </w:tcPr>
          <w:p>
            <w:pPr>
              <w:spacing w:after="0"/>
              <w:rPr>
                <w:sz w:val="15"/>
                <w:szCs w:val="15"/>
                <w:color w:val="auto"/>
              </w:rPr>
            </w:pPr>
          </w:p>
        </w:tc>
      </w:tr>
      <w:tr>
        <w:trPr>
          <w:trHeight w:val="189"/>
        </w:trPr>
        <w:tc>
          <w:tcPr>
            <w:tcW w:w="7480" w:type="dxa"/>
            <w:vAlign w:val="bottom"/>
            <w:gridSpan w:val="2"/>
          </w:tcPr>
          <w:p>
            <w:pPr>
              <w:spacing w:after="0"/>
              <w:rPr>
                <w:sz w:val="20"/>
                <w:szCs w:val="20"/>
                <w:color w:val="auto"/>
              </w:rPr>
            </w:pPr>
            <w:r>
              <w:rPr>
                <w:rFonts w:ascii="Arial" w:cs="Arial" w:eastAsia="Arial" w:hAnsi="Arial"/>
                <w:sz w:val="16"/>
                <w:szCs w:val="16"/>
                <w:color w:val="auto"/>
              </w:rPr>
              <w:t>Shares sold to optionees, less shares exchanged</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r>
      <w:tr>
        <w:trPr>
          <w:trHeight w:val="189"/>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6"/>
                <w:szCs w:val="16"/>
                <w:color w:val="auto"/>
              </w:rPr>
            </w:pPr>
          </w:p>
        </w:tc>
      </w:tr>
      <w:tr>
        <w:trPr>
          <w:trHeight w:val="189"/>
        </w:trPr>
        <w:tc>
          <w:tcPr>
            <w:tcW w:w="7480" w:type="dxa"/>
            <w:vAlign w:val="bottom"/>
            <w:gridSpan w:val="2"/>
          </w:tcPr>
          <w:p>
            <w:pPr>
              <w:spacing w:after="0"/>
              <w:rPr>
                <w:sz w:val="20"/>
                <w:szCs w:val="20"/>
                <w:color w:val="auto"/>
              </w:rPr>
            </w:pPr>
            <w:r>
              <w:rPr>
                <w:rFonts w:ascii="Arial" w:cs="Arial" w:eastAsia="Arial" w:hAnsi="Arial"/>
                <w:sz w:val="16"/>
                <w:szCs w:val="16"/>
                <w:color w:val="auto"/>
              </w:rPr>
              <w:t>Shares issued under employee stock purchase plan</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r>
      <w:tr>
        <w:trPr>
          <w:trHeight w:val="18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Stock repurchase program</w:t>
            </w: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w:t>
            </w:r>
          </w:p>
        </w:tc>
      </w:tr>
      <w:tr>
        <w:trPr>
          <w:trHeight w:val="183"/>
        </w:trPr>
        <w:tc>
          <w:tcPr>
            <w:tcW w:w="6520" w:type="dxa"/>
            <w:vAlign w:val="bottom"/>
          </w:tcPr>
          <w:p>
            <w:pPr>
              <w:spacing w:after="0" w:line="169" w:lineRule="exact"/>
              <w:rPr>
                <w:sz w:val="20"/>
                <w:szCs w:val="20"/>
                <w:color w:val="auto"/>
              </w:rPr>
            </w:pPr>
            <w:r>
              <w:rPr>
                <w:rFonts w:ascii="Arial" w:cs="Arial" w:eastAsia="Arial" w:hAnsi="Arial"/>
                <w:sz w:val="16"/>
                <w:szCs w:val="16"/>
                <w:color w:val="auto"/>
              </w:rPr>
              <w:t>Balance, September 30, 2026</w:t>
            </w:r>
          </w:p>
        </w:tc>
        <w:tc>
          <w:tcPr>
            <w:tcW w:w="9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9"/>
              </w:rPr>
              <w:t>1,580</w:t>
            </w:r>
          </w:p>
        </w:tc>
        <w:tc>
          <w:tcPr>
            <w:tcW w:w="22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(104)</w:t>
            </w:r>
          </w:p>
        </w:tc>
        <w:tc>
          <w:tcPr>
            <w:tcW w:w="22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1,476</w:t>
            </w:r>
          </w:p>
        </w:tc>
        <w:tc>
          <w:tcPr>
            <w:tcW w:w="120" w:type="dxa"/>
            <w:vAlign w:val="bottom"/>
          </w:tcPr>
          <w:p>
            <w:pPr>
              <w:spacing w:after="0"/>
              <w:rPr>
                <w:sz w:val="15"/>
                <w:szCs w:val="15"/>
                <w:color w:val="auto"/>
              </w:rPr>
            </w:pPr>
          </w:p>
        </w:tc>
      </w:tr>
      <w:tr>
        <w:trPr>
          <w:trHeight w:val="20"/>
        </w:trPr>
        <w:tc>
          <w:tcPr>
            <w:tcW w:w="6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9" w:name="page10"/>
    <w:bookmarkEnd w:id="9"/>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accompanying unaudited consolidated financial statements of SLB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September 30, 2026 are not necessarily indicative of the results that may be expected for the full year ending December 31, 2026. The December 31, 2025 balance sheet information has been derived from the SLB 2025 audited financial statements. For further information, refer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and notes thereto included in the SLB Annual Report on Form 10-K for the year ended December 31, 2025,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Exchange Commission on January 23, 2026.</w:t>
      </w:r>
    </w:p>
    <w:p>
      <w:pPr>
        <w:spacing w:after="0" w:line="185" w:lineRule="exact"/>
        <w:rPr>
          <w:sz w:val="20"/>
          <w:szCs w:val="20"/>
          <w:color w:val="auto"/>
        </w:rPr>
      </w:pPr>
    </w:p>
    <w:p>
      <w:pPr>
        <w:ind w:right="9380" w:firstLine="8"/>
        <w:spacing w:after="0" w:line="387"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2026</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SLB offered a lump sum payment in lieu of receiving an annuity to former employees and pensioners who were participants in its International Staff Pension Plan. This pension plan paid approximately $0.9 billion from its plan assets to those who accepted the offer, thereby reducing its benefit obligation. This transaction had no cash impact on SLB, but did result in a non-cash pension settlement charge of $187 million during the third quarter of 2026. This settlement charge represented the immediate recognition of the related deferred actuarial losses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and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SLB recorded charges of $41 million, $69 million and $55 million during the first, second and third quarters of 2026, respectively, in connection with the July 2025 acquisition of ChampionX Corporation ("ChampionX") (see Note 4 - </w:t>
      </w:r>
      <w:r>
        <w:rPr>
          <w:rFonts w:ascii="Arial" w:cs="Arial" w:eastAsia="Arial" w:hAnsi="Arial"/>
          <w:sz w:val="16"/>
          <w:szCs w:val="16"/>
          <w:i w:val="1"/>
          <w:iCs w:val="1"/>
          <w:color w:val="auto"/>
        </w:rPr>
        <w:t>Acquisition</w:t>
      </w:r>
      <w:r>
        <w:rPr>
          <w:rFonts w:ascii="Arial" w:cs="Arial" w:eastAsia="Arial" w:hAnsi="Arial"/>
          <w:sz w:val="16"/>
          <w:szCs w:val="16"/>
          <w:color w:val="auto"/>
        </w:rPr>
        <w:t xml:space="preserve">).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3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3"/>
        </w:trPr>
        <w:tc>
          <w:tcPr>
            <w:tcW w:w="390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188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234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4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18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Third quarter:</w:t>
            </w:r>
          </w:p>
        </w:tc>
        <w:tc>
          <w:tcPr>
            <w:tcW w:w="18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120"/>
              <w:spacing w:after="0"/>
              <w:rPr>
                <w:sz w:val="20"/>
                <w:szCs w:val="20"/>
                <w:color w:val="auto"/>
              </w:rPr>
            </w:pPr>
            <w:r>
              <w:rPr>
                <w:rFonts w:ascii="Arial" w:cs="Arial" w:eastAsia="Arial" w:hAnsi="Arial"/>
                <w:sz w:val="16"/>
                <w:szCs w:val="16"/>
                <w:color w:val="auto"/>
              </w:rPr>
              <w:t>Pension settlement charge</w:t>
            </w: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Merger and integration</w:t>
            </w:r>
          </w:p>
        </w:tc>
        <w:tc>
          <w:tcPr>
            <w:tcW w:w="188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60" w:type="dxa"/>
            <w:vAlign w:val="bottom"/>
            <w:tcBorders>
              <w:bottom w:val="single" w:sz="8" w:color="auto"/>
            </w:tcBorders>
          </w:tcPr>
          <w:p>
            <w:pPr>
              <w:jc w:val="right"/>
              <w:ind w:right="30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352</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b w:val="1"/>
                <w:bCs w:val="1"/>
                <w:color w:val="auto"/>
              </w:rPr>
              <w:t>2025</w:t>
            </w:r>
          </w:p>
        </w:tc>
        <w:tc>
          <w:tcPr>
            <w:tcW w:w="1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90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6"/>
                <w:szCs w:val="16"/>
                <w:i w:val="1"/>
                <w:iCs w:val="1"/>
                <w:color w:val="auto"/>
              </w:rPr>
              <w:t>First quarter</w:t>
            </w: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first quarter of 2025, SLB recorded a $158 million charge relating to workforce reductions to realign and optimize its support and service delivery structure.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first quarter of 2025, SLB recorded $49 million of charges in connection with the ChampionX acquisition and the October 2023 acquisition of the Aker Solutions subsea business.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quarter</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quarter of 2025, SLB recorded a $69 million impairment charge relating to an equity method investment that was determined to be other-than-temporarily impaired.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quarter of 2025, SLB recorded a charge of $66 million relating to workforce reductions to align its resources with activity levels.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 w:name="page11"/>
    <w:bookmarkEnd w:id="10"/>
    <w:p>
      <w:pPr>
        <w:jc w:val="both"/>
        <w:spacing w:after="0" w:line="266" w:lineRule="auto"/>
        <w:rPr>
          <w:sz w:val="20"/>
          <w:szCs w:val="20"/>
          <w:color w:val="auto"/>
        </w:rPr>
      </w:pPr>
      <w:r>
        <w:rPr>
          <w:rFonts w:ascii="Arial" w:cs="Arial" w:eastAsia="Arial" w:hAnsi="Arial"/>
          <w:sz w:val="16"/>
          <w:szCs w:val="16"/>
          <w:color w:val="auto"/>
        </w:rPr>
        <w:t xml:space="preserve">During the second quarter of 2025, in connection with the ChampionX acquisition and the acquisition of the Aker Solutions subsea business, SLB recorded $35 million of charges related to merger and integration-related costs.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second quarter of 2025, SLB completed the sale of its interest in the Palliser Asset Performance Solutions ("APS") project in Canada in exchange for net cash proceeds of $338 million, of which $22 million were received in the third quarter of 2025. SLB recorded a gain of $149 million as a result of this transaction. This gain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quarter</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connection with the acquisition of ChampionX, SLB recorded charges of $66 million relating to the amortization of purchase accounting adjustments associated with the write-up of acquired inventory to its estimated fair value; $61 million of transaction costs, including advisory and legal fees; and $54 million relating to employee benefits for change-in-control arrangements, accelerated stock-based compensation and retention. In addition, SLB recorded $28 million of other merger and integration costs associated with the acquisition of ChampionX and the acquisition of the Aker Solutions subsea business. $143 million of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with the remaining $66 million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w:t>
      </w:r>
    </w:p>
    <w:p>
      <w:pPr>
        <w:spacing w:after="0" w:line="3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third quarter of 2025, SLB recorded a charge of $57 million relating to workforce reductions to align its resources with activity levels.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During the third quarter of 2025, SLB recorded a $52 million impairment charge relating to an equity method investment that was determined to be other-than-temporarily impaired.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72"/>
        </w:trPr>
        <w:tc>
          <w:tcPr>
            <w:tcW w:w="4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3"/>
        </w:trPr>
        <w:tc>
          <w:tcPr>
            <w:tcW w:w="44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13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5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20"/>
                <w:szCs w:val="20"/>
                <w:color w:val="auto"/>
              </w:rPr>
            </w:pPr>
            <w:r>
              <w:rPr>
                <w:rFonts w:ascii="Arial" w:cs="Arial" w:eastAsia="Arial" w:hAnsi="Arial"/>
                <w:sz w:val="16"/>
                <w:szCs w:val="16"/>
                <w:i w:val="1"/>
                <w:iCs w:val="1"/>
                <w:color w:val="auto"/>
              </w:rPr>
              <w:t>Second quarter:</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Impairment of equity method investment</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Gain on sale of Palliser APS project</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Third quarter:</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Amortization of inventory fair value adjustment</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Acquisition-related professional fees</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Acquisition-related employee benefits</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Impairment of equity-method investment</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13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546</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44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73"/>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2025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4"/>
                <w:szCs w:val="14"/>
                <w:color w:val="auto"/>
              </w:rPr>
            </w:pPr>
          </w:p>
        </w:tc>
        <w:tc>
          <w:tcPr>
            <w:tcW w:w="118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4"/>
                <w:szCs w:val="14"/>
                <w:color w:val="auto"/>
              </w:rPr>
            </w:pPr>
          </w:p>
        </w:tc>
        <w:tc>
          <w:tcPr>
            <w:tcW w:w="1160" w:type="dxa"/>
            <w:vAlign w:val="bottom"/>
          </w:tcPr>
          <w:p>
            <w:pPr>
              <w:jc w:val="center"/>
              <w:spacing w:after="0" w:line="16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6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rPr>
              <w:t>Earnings per</w:t>
            </w:r>
          </w:p>
        </w:tc>
      </w:tr>
      <w:tr>
        <w:trPr>
          <w:trHeight w:val="203"/>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Share</w:t>
            </w:r>
          </w:p>
        </w:tc>
      </w:tr>
      <w:tr>
        <w:trPr>
          <w:trHeight w:val="163"/>
        </w:trPr>
        <w:tc>
          <w:tcPr>
            <w:tcW w:w="3320" w:type="dxa"/>
            <w:vAlign w:val="bottom"/>
            <w:gridSpan w:val="3"/>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Third Quarter</w:t>
            </w:r>
          </w:p>
        </w:tc>
        <w:tc>
          <w:tcPr>
            <w:tcW w:w="1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10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auto"/>
              </w:rPr>
              <w:t>Basic</w:t>
            </w:r>
          </w:p>
        </w:tc>
        <w:tc>
          <w:tcPr>
            <w:tcW w:w="228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735</w:t>
            </w:r>
          </w:p>
        </w:tc>
        <w:tc>
          <w:tcPr>
            <w:tcW w:w="144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1,481</w:t>
            </w:r>
          </w:p>
        </w:tc>
        <w:tc>
          <w:tcPr>
            <w:tcW w:w="420" w:type="dxa"/>
            <w:vAlign w:val="bottom"/>
            <w:tcBorders>
              <w:top w:val="single" w:sz="8" w:color="CFF0FC"/>
            </w:tcBorders>
            <w:gridSpan w:val="2"/>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320" w:type="dxa"/>
            <w:vAlign w:val="bottom"/>
            <w:tcBorders>
              <w:top w:val="single" w:sz="8" w:color="CFF0FC"/>
            </w:tcBorders>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739</w:t>
            </w:r>
          </w:p>
        </w:tc>
        <w:tc>
          <w:tcPr>
            <w:tcW w:w="136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color w:val="auto"/>
              </w:rPr>
              <w:t>1,471</w:t>
            </w:r>
          </w:p>
        </w:tc>
        <w:tc>
          <w:tcPr>
            <w:tcW w:w="440" w:type="dxa"/>
            <w:vAlign w:val="bottom"/>
            <w:tcBorders>
              <w:top w:val="single" w:sz="8" w:color="CFF0FC"/>
            </w:tcBorders>
            <w:gridSpan w:val="2"/>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0.50</w:t>
            </w:r>
          </w:p>
        </w:tc>
        <w:tc>
          <w:tcPr>
            <w:tcW w:w="100" w:type="dxa"/>
            <w:vAlign w:val="bottom"/>
            <w:tcBorders>
              <w:top w:val="single" w:sz="8" w:color="CFF0FC"/>
            </w:tcBorders>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20" w:type="dxa"/>
            <w:vAlign w:val="bottom"/>
            <w:gridSpan w:val="3"/>
            <w:shd w:val="clear" w:color="auto" w:fill="CFF0FC"/>
          </w:tcPr>
          <w:p>
            <w:pPr>
              <w:spacing w:after="0" w:line="170" w:lineRule="exact"/>
              <w:rPr>
                <w:sz w:val="20"/>
                <w:szCs w:val="20"/>
                <w:color w:val="auto"/>
              </w:rPr>
            </w:pPr>
            <w:r>
              <w:rPr>
                <w:rFonts w:ascii="Arial" w:cs="Arial" w:eastAsia="Arial" w:hAnsi="Arial"/>
                <w:sz w:val="16"/>
                <w:szCs w:val="16"/>
                <w:color w:val="auto"/>
              </w:rPr>
              <w:t>Assumed exercise of stock options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3320" w:type="dxa"/>
            <w:vAlign w:val="bottom"/>
            <w:gridSpan w:val="3"/>
          </w:tcPr>
          <w:p>
            <w:pPr>
              <w:spacing w:after="0"/>
              <w:rPr>
                <w:sz w:val="20"/>
                <w:szCs w:val="20"/>
                <w:color w:val="auto"/>
              </w:rPr>
            </w:pPr>
            <w:r>
              <w:rPr>
                <w:rFonts w:ascii="Arial" w:cs="Arial" w:eastAsia="Arial" w:hAnsi="Arial"/>
                <w:sz w:val="16"/>
                <w:szCs w:val="16"/>
                <w:color w:val="auto"/>
              </w:rPr>
              <w:t>Unvested restricted stock</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32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Diluted</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735</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1,497</w:t>
            </w:r>
          </w:p>
        </w:tc>
        <w:tc>
          <w:tcPr>
            <w:tcW w:w="420" w:type="dxa"/>
            <w:vAlign w:val="bottom"/>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0.49</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739</w:t>
            </w:r>
          </w:p>
        </w:tc>
        <w:tc>
          <w:tcPr>
            <w:tcW w:w="13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1,488</w:t>
            </w:r>
          </w:p>
        </w:tc>
        <w:tc>
          <w:tcPr>
            <w:tcW w:w="440" w:type="dxa"/>
            <w:vAlign w:val="bottom"/>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0.50</w:t>
            </w:r>
          </w:p>
        </w:tc>
        <w:tc>
          <w:tcPr>
            <w:tcW w:w="100" w:type="dxa"/>
            <w:vAlign w:val="bottom"/>
            <w:shd w:val="clear" w:color="auto" w:fill="CFF0FC"/>
          </w:tcPr>
          <w:p>
            <w:pPr>
              <w:spacing w:after="0"/>
              <w:rPr>
                <w:sz w:val="19"/>
                <w:szCs w:val="19"/>
                <w:color w:val="auto"/>
              </w:rPr>
            </w:pPr>
          </w:p>
        </w:tc>
      </w:tr>
      <w:tr>
        <w:trPr>
          <w:trHeight w:val="548"/>
        </w:trPr>
        <w:tc>
          <w:tcPr>
            <w:tcW w:w="9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28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FF0FC"/>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2025</w:t>
            </w:r>
          </w:p>
        </w:tc>
        <w:tc>
          <w:tcPr>
            <w:tcW w:w="220" w:type="dxa"/>
            <w:vAlign w:val="bottom"/>
            <w:tcBorders>
              <w:top w:val="single" w:sz="8" w:color="CFF0FC"/>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4"/>
                <w:szCs w:val="14"/>
                <w:color w:val="auto"/>
              </w:rPr>
            </w:pPr>
          </w:p>
        </w:tc>
        <w:tc>
          <w:tcPr>
            <w:tcW w:w="118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4"/>
                <w:szCs w:val="14"/>
                <w:color w:val="auto"/>
              </w:rPr>
            </w:pPr>
          </w:p>
        </w:tc>
        <w:tc>
          <w:tcPr>
            <w:tcW w:w="1160" w:type="dxa"/>
            <w:vAlign w:val="bottom"/>
          </w:tcPr>
          <w:p>
            <w:pPr>
              <w:jc w:val="center"/>
              <w:spacing w:after="0" w:line="16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6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rPr>
              <w:t>Earnings per</w:t>
            </w:r>
          </w:p>
        </w:tc>
      </w:tr>
      <w:tr>
        <w:trPr>
          <w:trHeight w:val="203"/>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Share</w:t>
            </w:r>
          </w:p>
        </w:tc>
      </w:tr>
      <w:tr>
        <w:trPr>
          <w:trHeight w:val="163"/>
        </w:trPr>
        <w:tc>
          <w:tcPr>
            <w:tcW w:w="9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6"/>
                <w:szCs w:val="16"/>
                <w:b w:val="1"/>
                <w:bCs w:val="1"/>
                <w:color w:val="auto"/>
                <w:w w:val="99"/>
              </w:rPr>
              <w:t>Nine Months</w:t>
            </w:r>
          </w:p>
        </w:tc>
        <w:tc>
          <w:tcPr>
            <w:tcW w:w="2340" w:type="dxa"/>
            <w:vAlign w:val="bottom"/>
            <w:tcBorders>
              <w:bottom w:val="single" w:sz="8" w:color="CFF0FC"/>
            </w:tcBorders>
            <w:gridSpan w:val="2"/>
            <w:shd w:val="clear" w:color="auto" w:fill="CFF0FC"/>
          </w:tcPr>
          <w:p>
            <w:pPr>
              <w:spacing w:after="0"/>
              <w:rPr>
                <w:sz w:val="14"/>
                <w:szCs w:val="14"/>
                <w:color w:val="auto"/>
              </w:rPr>
            </w:pPr>
          </w:p>
        </w:tc>
        <w:tc>
          <w:tcPr>
            <w:tcW w:w="100" w:type="dxa"/>
            <w:vAlign w:val="bottom"/>
            <w:tcBorders>
              <w:top w:val="single" w:sz="8" w:color="auto"/>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CFF0FC"/>
            </w:tcBorders>
            <w:shd w:val="clear" w:color="auto" w:fill="CFF0FC"/>
          </w:tcPr>
          <w:p>
            <w:pPr>
              <w:spacing w:after="0"/>
              <w:rPr>
                <w:sz w:val="14"/>
                <w:szCs w:val="14"/>
                <w:color w:val="auto"/>
              </w:rPr>
            </w:pPr>
          </w:p>
        </w:tc>
        <w:tc>
          <w:tcPr>
            <w:tcW w:w="90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CFF0FC"/>
            </w:tcBorders>
            <w:shd w:val="clear" w:color="auto" w:fill="CFF0FC"/>
          </w:tcPr>
          <w:p>
            <w:pPr>
              <w:spacing w:after="0"/>
              <w:rPr>
                <w:sz w:val="14"/>
                <w:szCs w:val="14"/>
                <w:color w:val="auto"/>
              </w:rPr>
            </w:pPr>
          </w:p>
        </w:tc>
        <w:tc>
          <w:tcPr>
            <w:tcW w:w="960" w:type="dxa"/>
            <w:vAlign w:val="bottom"/>
            <w:tcBorders>
              <w:top w:val="single" w:sz="8" w:color="auto"/>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CFF0FC"/>
            </w:tcBorders>
            <w:shd w:val="clear" w:color="auto" w:fill="CFF0FC"/>
          </w:tcPr>
          <w:p>
            <w:pPr>
              <w:spacing w:after="0"/>
              <w:rPr>
                <w:sz w:val="14"/>
                <w:szCs w:val="14"/>
                <w:color w:val="auto"/>
              </w:rPr>
            </w:pPr>
          </w:p>
        </w:tc>
        <w:tc>
          <w:tcPr>
            <w:tcW w:w="900" w:type="dxa"/>
            <w:vAlign w:val="bottom"/>
            <w:tcBorders>
              <w:top w:val="single" w:sz="8" w:color="auto"/>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189"/>
        </w:trPr>
        <w:tc>
          <w:tcPr>
            <w:tcW w:w="3320" w:type="dxa"/>
            <w:vAlign w:val="bottom"/>
            <w:gridSpan w:val="3"/>
          </w:tcPr>
          <w:p>
            <w:pPr>
              <w:spacing w:after="0" w:line="169" w:lineRule="exact"/>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2,273</w:t>
            </w:r>
          </w:p>
        </w:tc>
        <w:tc>
          <w:tcPr>
            <w:tcW w:w="144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1,490</w:t>
            </w:r>
          </w:p>
        </w:tc>
        <w:tc>
          <w:tcPr>
            <w:tcW w:w="420" w:type="dxa"/>
            <w:vAlign w:val="bottom"/>
            <w:gridSpan w:val="2"/>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1.53</w:t>
            </w:r>
          </w:p>
        </w:tc>
        <w:tc>
          <w:tcPr>
            <w:tcW w:w="3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9" w:lineRule="exact"/>
              <w:rPr>
                <w:sz w:val="20"/>
                <w:szCs w:val="20"/>
                <w:color w:val="auto"/>
              </w:rPr>
            </w:pPr>
            <w:r>
              <w:rPr>
                <w:rFonts w:ascii="Arial" w:cs="Arial" w:eastAsia="Arial" w:hAnsi="Arial"/>
                <w:sz w:val="16"/>
                <w:szCs w:val="16"/>
                <w:color w:val="auto"/>
              </w:rPr>
              <w:t>2,550</w:t>
            </w:r>
          </w:p>
        </w:tc>
        <w:tc>
          <w:tcPr>
            <w:tcW w:w="13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1,396</w:t>
            </w:r>
          </w:p>
        </w:tc>
        <w:tc>
          <w:tcPr>
            <w:tcW w:w="440" w:type="dxa"/>
            <w:vAlign w:val="bottom"/>
            <w:gridSpan w:val="2"/>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1.83</w:t>
            </w:r>
          </w:p>
        </w:tc>
        <w:tc>
          <w:tcPr>
            <w:tcW w:w="10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320" w:type="dxa"/>
            <w:vAlign w:val="bottom"/>
            <w:gridSpan w:val="3"/>
            <w:shd w:val="clear" w:color="auto" w:fill="CFF0FC"/>
          </w:tcPr>
          <w:p>
            <w:pPr>
              <w:spacing w:after="0" w:line="170" w:lineRule="exact"/>
              <w:rPr>
                <w:sz w:val="20"/>
                <w:szCs w:val="20"/>
                <w:color w:val="auto"/>
              </w:rPr>
            </w:pPr>
            <w:r>
              <w:rPr>
                <w:rFonts w:ascii="Arial" w:cs="Arial" w:eastAsia="Arial" w:hAnsi="Arial"/>
                <w:sz w:val="16"/>
                <w:szCs w:val="16"/>
                <w:color w:val="auto"/>
              </w:rPr>
              <w:t>Assumed exercise of stock options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3320" w:type="dxa"/>
            <w:vAlign w:val="bottom"/>
            <w:gridSpan w:val="3"/>
          </w:tcPr>
          <w:p>
            <w:pPr>
              <w:spacing w:after="0"/>
              <w:rPr>
                <w:sz w:val="20"/>
                <w:szCs w:val="20"/>
                <w:color w:val="auto"/>
              </w:rPr>
            </w:pPr>
            <w:r>
              <w:rPr>
                <w:rFonts w:ascii="Arial" w:cs="Arial" w:eastAsia="Arial" w:hAnsi="Arial"/>
                <w:sz w:val="16"/>
                <w:szCs w:val="16"/>
                <w:color w:val="auto"/>
              </w:rPr>
              <w:t>Unvested restricted stock</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2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Diluted</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2,273</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1,506</w:t>
            </w:r>
          </w:p>
        </w:tc>
        <w:tc>
          <w:tcPr>
            <w:tcW w:w="420" w:type="dxa"/>
            <w:vAlign w:val="bottom"/>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1.51</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2,550</w:t>
            </w:r>
          </w:p>
        </w:tc>
        <w:tc>
          <w:tcPr>
            <w:tcW w:w="13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1,414</w:t>
            </w:r>
          </w:p>
        </w:tc>
        <w:tc>
          <w:tcPr>
            <w:tcW w:w="440" w:type="dxa"/>
            <w:vAlign w:val="bottom"/>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1.80</w:t>
            </w:r>
          </w:p>
        </w:tc>
        <w:tc>
          <w:tcPr>
            <w:tcW w:w="100" w:type="dxa"/>
            <w:vAlign w:val="bottom"/>
            <w:shd w:val="clear" w:color="auto" w:fill="CFF0FC"/>
          </w:tcPr>
          <w:p>
            <w:pPr>
              <w:spacing w:after="0"/>
              <w:rPr>
                <w:sz w:val="17"/>
                <w:szCs w:val="17"/>
                <w:color w:val="auto"/>
              </w:rPr>
            </w:pPr>
          </w:p>
        </w:tc>
      </w:tr>
      <w:tr>
        <w:trPr>
          <w:trHeight w:val="20"/>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-1422400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-1405255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-1422400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-1405255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-1422400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-1405255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-1422400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-1405255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-1422400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-1405255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40" w:type="dxa"/>
            <w:vAlign w:val="bottom"/>
          </w:tcPr>
          <w:p>
            <w:pPr>
              <w:spacing w:after="0"/>
              <w:rPr>
                <w:sz w:val="24"/>
                <w:szCs w:val="24"/>
                <w:color w:val="auto"/>
              </w:rPr>
            </w:pPr>
          </w:p>
        </w:tc>
        <w:tc>
          <w:tcPr>
            <w:tcW w:w="22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Third Quarter</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820"/>
              <w:spacing w:after="0"/>
              <w:rPr>
                <w:sz w:val="20"/>
                <w:szCs w:val="20"/>
                <w:color w:val="auto"/>
              </w:rPr>
            </w:pPr>
            <w:r>
              <w:rPr>
                <w:rFonts w:ascii="Arial" w:cs="Arial" w:eastAsia="Arial" w:hAnsi="Arial"/>
                <w:sz w:val="16"/>
                <w:szCs w:val="16"/>
                <w:b w:val="1"/>
                <w:bCs w:val="1"/>
                <w:color w:val="auto"/>
              </w:rPr>
              <w:t>Nine Months</w:t>
            </w:r>
          </w:p>
        </w:tc>
      </w:tr>
      <w:tr>
        <w:trPr>
          <w:trHeight w:val="183"/>
        </w:trPr>
        <w:tc>
          <w:tcPr>
            <w:tcW w:w="57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2026</w:t>
            </w:r>
          </w:p>
        </w:tc>
        <w:tc>
          <w:tcPr>
            <w:tcW w:w="2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2025</w:t>
            </w:r>
          </w:p>
        </w:tc>
        <w:tc>
          <w:tcPr>
            <w:tcW w:w="30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2026</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64"/>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r>
      <w:tr>
        <w:trPr>
          <w:trHeight w:val="183"/>
        </w:trPr>
        <w:tc>
          <w:tcPr>
            <w:tcW w:w="6640" w:type="dxa"/>
            <w:vAlign w:val="bottom"/>
            <w:gridSpan w:val="2"/>
            <w:shd w:val="clear" w:color="auto" w:fill="CFF0FC"/>
          </w:tcPr>
          <w:p>
            <w:pPr>
              <w:jc w:val="right"/>
              <w:ind w:right="4839"/>
              <w:spacing w:after="0" w:line="183" w:lineRule="exact"/>
              <w:rPr>
                <w:sz w:val="20"/>
                <w:szCs w:val="20"/>
                <w:color w:val="auto"/>
              </w:rPr>
            </w:pPr>
            <w:r>
              <w:rPr>
                <w:rFonts w:ascii="Arial" w:cs="Arial" w:eastAsia="Arial" w:hAnsi="Arial"/>
                <w:sz w:val="16"/>
                <w:szCs w:val="16"/>
                <w:color w:val="auto"/>
              </w:rPr>
              <w:t>Employee stock options</w:t>
            </w: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w:t>
            </w:r>
          </w:p>
        </w:tc>
        <w:tc>
          <w:tcPr>
            <w:tcW w:w="1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w:t>
            </w:r>
          </w:p>
        </w:tc>
        <w:tc>
          <w:tcPr>
            <w:tcW w:w="14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5"/>
                <w:szCs w:val="15"/>
                <w:color w:val="auto"/>
              </w:rPr>
            </w:pPr>
          </w:p>
        </w:tc>
      </w:tr>
    </w:tbl>
    <w:p>
      <w:pPr>
        <w:spacing w:after="0" w:line="32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Acquisition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July 16, 2025, SLB acquired all of the outstanding shares of ChampionX in an all-stock transaction. ChampionX is a global leader in production chemistry solutions, artificial lift systems, and highly engineered equipment and technologies that help companies drill for and produce oil and gas safely, effectively, and sustainably across the world. The acquisition strengthens SLB's leadership in the production and recovery space. Under the terms of the agreement, ChampionX shareholders received 0.735 shares of SLB common stock in exchange for each ChampionX share.</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Businesses acquired from ChampionX contributed revenue of approximately $0.6 billion and pretax operating income of approximately $0.1 billion to SLB for the period from August 1, 2025 to September 30, 2025.</w:t>
      </w:r>
    </w:p>
    <w:p>
      <w:pPr>
        <w:spacing w:after="0" w:line="4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Excluding its Drilling Technologies business, which was disposed of concurrently with the closing of the acquisition, ChampionX recorded revenue of approximately $2.0 billion during the period of January 1, 2025 to July 31, 2025. The proforma impact of this acquisition on net income attributable to SLB and diluted earnings per share was not material.</w:t>
      </w:r>
    </w:p>
    <w:p>
      <w:pPr>
        <w:spacing w:after="0" w:line="171"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3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 30,</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Raw materials &amp; field materials</w:t>
            </w:r>
          </w:p>
        </w:tc>
        <w:tc>
          <w:tcPr>
            <w:tcW w:w="4960" w:type="dxa"/>
            <w:vAlign w:val="bottom"/>
            <w:gridSpan w:val="2"/>
            <w:shd w:val="clear" w:color="auto" w:fill="CFF0FC"/>
          </w:tcPr>
          <w:p>
            <w:pPr>
              <w:jc w:val="right"/>
              <w:ind w:right="999"/>
              <w:spacing w:after="0" w:line="183" w:lineRule="exact"/>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w w:val="99"/>
              </w:rPr>
              <w:t>2,746</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20"/>
                <w:szCs w:val="20"/>
                <w:color w:val="auto"/>
              </w:rPr>
            </w:pPr>
            <w:r>
              <w:rPr>
                <w:rFonts w:ascii="Arial" w:cs="Arial" w:eastAsia="Arial" w:hAnsi="Arial"/>
                <w:sz w:val="16"/>
                <w:szCs w:val="16"/>
                <w:color w:val="auto"/>
              </w:rPr>
              <w:t>Work in progress</w:t>
            </w:r>
          </w:p>
        </w:tc>
        <w:tc>
          <w:tcPr>
            <w:tcW w:w="3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953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37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w w:val="99"/>
              </w:rPr>
              <w:t>1,818</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180" w:type="dxa"/>
            <w:vAlign w:val="bottom"/>
          </w:tcPr>
          <w:p>
            <w:pPr>
              <w:jc w:val="right"/>
              <w:ind w:right="999"/>
              <w:spacing w:after="0" w:line="183" w:lineRule="exact"/>
              <w:rPr>
                <w:sz w:val="20"/>
                <w:szCs w:val="20"/>
                <w:color w:val="auto"/>
              </w:rPr>
            </w:pPr>
            <w:r>
              <w:rPr>
                <w:rFonts w:ascii="Arial" w:cs="Arial" w:eastAsia="Arial" w:hAnsi="Arial"/>
                <w:sz w:val="16"/>
                <w:szCs w:val="16"/>
                <w:b w:val="1"/>
                <w:bCs w:val="1"/>
                <w:color w:val="auto"/>
                <w:w w:val="89"/>
              </w:rPr>
              <w:t>$</w:t>
            </w:r>
          </w:p>
        </w:tc>
        <w:tc>
          <w:tcPr>
            <w:tcW w:w="58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w w:val="99"/>
              </w:rPr>
              <w:t>5,517</w:t>
            </w:r>
          </w:p>
        </w:tc>
        <w:tc>
          <w:tcPr>
            <w:tcW w:w="3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5,032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80" w:type="dxa"/>
            <w:vAlign w:val="bottom"/>
            <w:vMerge w:val="restart"/>
          </w:tcPr>
          <w:p>
            <w:pPr>
              <w:jc w:val="right"/>
              <w:ind w:right="1859"/>
              <w:spacing w:after="0"/>
              <w:rPr>
                <w:sz w:val="20"/>
                <w:szCs w:val="20"/>
                <w:color w:val="auto"/>
              </w:rPr>
            </w:pPr>
            <w:r>
              <w:rPr>
                <w:rFonts w:ascii="Arial" w:cs="Arial" w:eastAsia="Arial" w:hAnsi="Arial"/>
                <w:sz w:val="16"/>
                <w:szCs w:val="16"/>
                <w:color w:val="auto"/>
              </w:rPr>
              <w:t>12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8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8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-1045210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2" w:name="page13"/>
    <w:bookmarkEnd w:id="12"/>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Fixed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Fixed assets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5"/>
          </w:tcPr>
          <w:p>
            <w:pPr>
              <w:jc w:val="center"/>
              <w:ind w:left="8"/>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Sept.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4"/>
          </w:tcPr>
          <w:p>
            <w:pPr>
              <w:jc w:val="center"/>
              <w:ind w:right="5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Property, plant &amp; equipment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tcBorders>
              <w:left w:val="single" w:sz="8" w:color="CFF0FC"/>
            </w:tcBorders>
            <w:gridSpan w:val="5"/>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32,186</w:t>
            </w:r>
          </w:p>
        </w:tc>
        <w:tc>
          <w:tcPr>
            <w:tcW w:w="4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32,045</w:t>
            </w:r>
          </w:p>
        </w:tc>
        <w:tc>
          <w:tcPr>
            <w:tcW w:w="0" w:type="dxa"/>
            <w:vAlign w:val="bottom"/>
          </w:tcPr>
          <w:p>
            <w:pPr>
              <w:spacing w:after="0"/>
              <w:rPr>
                <w:sz w:val="1"/>
                <w:szCs w:val="1"/>
                <w:color w:val="auto"/>
              </w:rPr>
            </w:pP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Less: Accumulated depreciation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24,479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24,151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tcBorders>
              <w:left w:val="single" w:sz="8" w:color="CFF0FC"/>
            </w:tcBorders>
            <w:gridSpan w:val="5"/>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7,707</w:t>
            </w:r>
          </w:p>
        </w:tc>
        <w:tc>
          <w:tcPr>
            <w:tcW w:w="4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7,894</w:t>
            </w:r>
          </w:p>
        </w:tc>
        <w:tc>
          <w:tcPr>
            <w:tcW w:w="0" w:type="dxa"/>
            <w:vAlign w:val="bottom"/>
          </w:tcPr>
          <w:p>
            <w:pPr>
              <w:spacing w:after="0"/>
              <w:rPr>
                <w:sz w:val="1"/>
                <w:szCs w:val="1"/>
                <w:color w:val="auto"/>
              </w:rPr>
            </w:pPr>
          </w:p>
        </w:tc>
      </w:tr>
      <w:tr>
        <w:trPr>
          <w:trHeight w:val="370"/>
        </w:trPr>
        <w:tc>
          <w:tcPr>
            <w:tcW w:w="4420" w:type="dxa"/>
            <w:vAlign w:val="bottom"/>
            <w:tcBorders>
              <w:top w:val="single" w:sz="8" w:color="CFF0FC"/>
            </w:tcBorders>
            <w:gridSpan w:val="8"/>
          </w:tcPr>
          <w:p>
            <w:pPr>
              <w:spacing w:after="0"/>
              <w:rPr>
                <w:sz w:val="20"/>
                <w:szCs w:val="20"/>
                <w:color w:val="auto"/>
              </w:rPr>
            </w:pPr>
            <w:r>
              <w:rPr>
                <w:rFonts w:ascii="Arial" w:cs="Arial" w:eastAsia="Arial" w:hAnsi="Arial"/>
                <w:sz w:val="16"/>
                <w:szCs w:val="16"/>
                <w:color w:val="auto"/>
              </w:rPr>
              <w:t>Depreciation expense relating to fixed assets was as follows:</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73"/>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2025</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Third Quarter</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468</w:t>
            </w:r>
          </w:p>
        </w:tc>
        <w:tc>
          <w:tcPr>
            <w:tcW w:w="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453</w:t>
            </w:r>
          </w:p>
        </w:tc>
        <w:tc>
          <w:tcPr>
            <w:tcW w:w="120" w:type="dxa"/>
            <w:vAlign w:val="bottom"/>
            <w:tcBorders>
              <w:lef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gridSpan w:val="4"/>
          </w:tcPr>
          <w:p>
            <w:pPr>
              <w:spacing w:after="0"/>
              <w:rPr>
                <w:sz w:val="20"/>
                <w:szCs w:val="20"/>
                <w:color w:val="auto"/>
              </w:rPr>
            </w:pPr>
            <w:r>
              <w:rPr>
                <w:rFonts w:ascii="Arial" w:cs="Arial" w:eastAsia="Arial" w:hAnsi="Arial"/>
                <w:sz w:val="16"/>
                <w:szCs w:val="16"/>
                <w:color w:val="auto"/>
              </w:rPr>
              <w:t>Nine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b w:val="1"/>
                <w:bCs w:val="1"/>
                <w:color w:val="auto"/>
              </w:rPr>
              <w:t>1,405</w:t>
            </w:r>
          </w:p>
        </w:tc>
        <w:tc>
          <w:tcPr>
            <w:tcW w:w="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2"/>
        </w:trPr>
        <w:tc>
          <w:tcPr>
            <w:tcW w:w="3000" w:type="dxa"/>
            <w:vAlign w:val="bottom"/>
            <w:gridSpan w:val="4"/>
          </w:tcPr>
          <w:p>
            <w:pPr>
              <w:spacing w:after="0"/>
              <w:rPr>
                <w:sz w:val="20"/>
                <w:szCs w:val="20"/>
                <w:color w:val="auto"/>
              </w:rPr>
            </w:pPr>
            <w:r>
              <w:rPr>
                <w:rFonts w:ascii="Arial" w:cs="Arial" w:eastAsia="Arial" w:hAnsi="Arial"/>
                <w:sz w:val="16"/>
                <w:szCs w:val="16"/>
                <w:b w:val="1"/>
                <w:bCs w:val="1"/>
                <w:color w:val="auto"/>
              </w:rPr>
              <w:t>7.  Goodwill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700" w:type="dxa"/>
            <w:vAlign w:val="bottom"/>
            <w:gridSpan w:val="13"/>
          </w:tcPr>
          <w:p>
            <w:pPr>
              <w:spacing w:after="0"/>
              <w:rPr>
                <w:sz w:val="20"/>
                <w:szCs w:val="20"/>
                <w:color w:val="auto"/>
              </w:rPr>
            </w:pPr>
            <w:r>
              <w:rPr>
                <w:rFonts w:ascii="Arial" w:cs="Arial" w:eastAsia="Arial" w:hAnsi="Arial"/>
                <w:sz w:val="16"/>
                <w:szCs w:val="16"/>
                <w:color w:val="auto"/>
              </w:rPr>
              <w:t>The changes in the carrying amount of goodwill by segment were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00"/>
              <w:spacing w:after="0"/>
              <w:rPr>
                <w:sz w:val="20"/>
                <w:szCs w:val="20"/>
                <w:color w:val="auto"/>
              </w:rPr>
            </w:pPr>
            <w:r>
              <w:rPr>
                <w:rFonts w:ascii="Arial" w:cs="Arial" w:eastAsia="Arial" w:hAnsi="Arial"/>
                <w:sz w:val="16"/>
                <w:szCs w:val="16"/>
                <w:color w:val="auto"/>
              </w:rPr>
              <w:t>Reservoir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tcPr>
          <w:p>
            <w:pPr>
              <w:jc w:val="center"/>
              <w:ind w:right="340"/>
              <w:spacing w:after="0"/>
              <w:rPr>
                <w:sz w:val="20"/>
                <w:szCs w:val="20"/>
                <w:color w:val="auto"/>
              </w:rPr>
            </w:pPr>
            <w:r>
              <w:rPr>
                <w:rFonts w:ascii="Arial" w:cs="Arial" w:eastAsia="Arial" w:hAnsi="Arial"/>
                <w:sz w:val="16"/>
                <w:szCs w:val="16"/>
                <w:color w:val="auto"/>
              </w:rPr>
              <w:t>Well</w:t>
            </w: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Production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Performanc</w:t>
            </w:r>
          </w:p>
        </w:tc>
        <w:tc>
          <w:tcPr>
            <w:tcW w:w="220" w:type="dxa"/>
            <w:vAlign w:val="bottom"/>
          </w:tcPr>
          <w:p>
            <w:pPr>
              <w:spacing w:after="0"/>
              <w:rPr>
                <w:sz w:val="16"/>
                <w:szCs w:val="16"/>
                <w:color w:val="auto"/>
              </w:rPr>
            </w:pPr>
          </w:p>
        </w:tc>
        <w:tc>
          <w:tcPr>
            <w:tcW w:w="1020" w:type="dxa"/>
            <w:vAlign w:val="bottom"/>
            <w:gridSpan w:val="6"/>
          </w:tcPr>
          <w:p>
            <w:pPr>
              <w:jc w:val="center"/>
              <w:ind w:right="120"/>
              <w:spacing w:after="0"/>
              <w:rPr>
                <w:sz w:val="20"/>
                <w:szCs w:val="20"/>
                <w:color w:val="auto"/>
              </w:rPr>
            </w:pPr>
            <w:r>
              <w:rPr>
                <w:rFonts w:ascii="Arial" w:cs="Arial" w:eastAsia="Arial" w:hAnsi="Arial"/>
                <w:sz w:val="16"/>
                <w:szCs w:val="16"/>
                <w:color w:val="auto"/>
              </w:rPr>
              <w:t>Constructio</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Digital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6"/>
                <w:szCs w:val="16"/>
                <w:color w:val="auto"/>
              </w:rPr>
              <w:t>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Systems</w:t>
            </w:r>
          </w:p>
        </w:tc>
        <w:tc>
          <w:tcPr>
            <w:tcW w:w="100" w:type="dxa"/>
            <w:vAlign w:val="bottom"/>
          </w:tcPr>
          <w:p>
            <w:pPr>
              <w:spacing w:after="0"/>
              <w:rPr>
                <w:sz w:val="17"/>
                <w:szCs w:val="17"/>
                <w:color w:val="auto"/>
              </w:rPr>
            </w:pPr>
          </w:p>
        </w:tc>
        <w:tc>
          <w:tcPr>
            <w:tcW w:w="9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6"/>
                <w:szCs w:val="16"/>
                <w:color w:val="auto"/>
              </w:rPr>
              <w:t>All Other</w:t>
            </w: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4"/>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2,060</w:t>
            </w:r>
          </w:p>
        </w:tc>
        <w:tc>
          <w:tcPr>
            <w:tcW w:w="120" w:type="dxa"/>
            <w:vAlign w:val="bottom"/>
            <w:shd w:val="clear" w:color="auto" w:fill="CFF0FC"/>
          </w:tcPr>
          <w:p>
            <w:pPr>
              <w:spacing w:after="0"/>
              <w:rPr>
                <w:sz w:val="15"/>
                <w:szCs w:val="15"/>
                <w:color w:val="auto"/>
              </w:rPr>
            </w:pPr>
          </w:p>
        </w:tc>
        <w:tc>
          <w:tcPr>
            <w:tcW w:w="220" w:type="dxa"/>
            <w:vAlign w:val="bottom"/>
            <w:tcBorders>
              <w:left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4,111</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6,598</w:t>
            </w: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left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3,699</w:t>
            </w:r>
          </w:p>
        </w:tc>
        <w:tc>
          <w:tcPr>
            <w:tcW w:w="30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326</w:t>
            </w:r>
          </w:p>
        </w:tc>
        <w:tc>
          <w:tcPr>
            <w:tcW w:w="600" w:type="dxa"/>
            <w:vAlign w:val="bottom"/>
            <w:gridSpan w:val="2"/>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16,794</w:t>
            </w:r>
          </w:p>
        </w:tc>
        <w:tc>
          <w:tcPr>
            <w:tcW w:w="120" w:type="dxa"/>
            <w:vAlign w:val="bottom"/>
            <w:tcBorders>
              <w:lef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Acquisitions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lef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gridSpan w:val="4"/>
          </w:tcPr>
          <w:p>
            <w:pPr>
              <w:spacing w:after="0" w:line="169" w:lineRule="exact"/>
              <w:rPr>
                <w:sz w:val="20"/>
                <w:szCs w:val="20"/>
                <w:color w:val="auto"/>
              </w:rPr>
            </w:pPr>
            <w:r>
              <w:rPr>
                <w:rFonts w:ascii="Arial" w:cs="Arial" w:eastAsia="Arial" w:hAnsi="Arial"/>
                <w:sz w:val="16"/>
                <w:szCs w:val="16"/>
                <w:color w:val="auto"/>
              </w:rPr>
              <w:t>Balance at September 30, 2026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4,135</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Arial" w:cs="Arial" w:eastAsia="Arial" w:hAnsi="Arial"/>
                <w:sz w:val="16"/>
                <w:szCs w:val="16"/>
                <w:color w:val="auto"/>
              </w:rPr>
              <w:t>6,585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3,866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Arial" w:cs="Arial" w:eastAsia="Arial" w:hAnsi="Arial"/>
                <w:sz w:val="16"/>
                <w:szCs w:val="16"/>
                <w:color w:val="auto"/>
              </w:rPr>
              <w:t>345</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17,263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8.  Intangible Assets</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30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000" w:type="dxa"/>
            <w:vAlign w:val="bottom"/>
            <w:gridSpan w:val="4"/>
          </w:tcPr>
          <w:p>
            <w:pPr>
              <w:spacing w:after="0"/>
              <w:rPr>
                <w:sz w:val="20"/>
                <w:szCs w:val="20"/>
                <w:color w:val="auto"/>
              </w:rPr>
            </w:pPr>
            <w:r>
              <w:rPr>
                <w:rFonts w:ascii="Arial" w:cs="Arial" w:eastAsia="Arial" w:hAnsi="Arial"/>
                <w:sz w:val="16"/>
                <w:szCs w:val="16"/>
                <w:color w:val="auto"/>
              </w:rPr>
              <w:t>Intangible assets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73"/>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rPr>
              <w:t>Sept. 30, 2026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6"/>
                <w:szCs w:val="16"/>
                <w:color w:val="auto"/>
              </w:rPr>
              <w:t>Dec. 31, 2025</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20"/>
              <w:spacing w:after="0" w:line="168"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1180" w:type="dxa"/>
            <w:vAlign w:val="bottom"/>
            <w:gridSpan w:val="4"/>
          </w:tcPr>
          <w:p>
            <w:pPr>
              <w:jc w:val="center"/>
              <w:ind w:right="120"/>
              <w:spacing w:after="0" w:line="16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119"/>
              <w:spacing w:after="0" w:line="168" w:lineRule="exact"/>
              <w:rPr>
                <w:sz w:val="20"/>
                <w:szCs w:val="20"/>
                <w:color w:val="auto"/>
              </w:rPr>
            </w:pPr>
            <w:r>
              <w:rPr>
                <w:rFonts w:ascii="Arial" w:cs="Arial" w:eastAsia="Arial" w:hAnsi="Arial"/>
                <w:sz w:val="16"/>
                <w:szCs w:val="16"/>
                <w:b w:val="1"/>
                <w:bCs w:val="1"/>
                <w:color w:val="auto"/>
              </w:rPr>
              <w:t>Net Book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tcPr>
          <w:p>
            <w:pPr>
              <w:jc w:val="right"/>
              <w:ind w:right="279"/>
              <w:spacing w:after="0" w:line="168" w:lineRule="exact"/>
              <w:rPr>
                <w:sz w:val="20"/>
                <w:szCs w:val="20"/>
                <w:color w:val="auto"/>
              </w:rPr>
            </w:pPr>
            <w:r>
              <w:rPr>
                <w:rFonts w:ascii="Arial" w:cs="Arial" w:eastAsia="Arial" w:hAnsi="Arial"/>
                <w:sz w:val="16"/>
                <w:szCs w:val="16"/>
                <w:color w:val="auto"/>
              </w:rPr>
              <w:t>Gross</w:t>
            </w:r>
          </w:p>
        </w:tc>
        <w:tc>
          <w:tcPr>
            <w:tcW w:w="220" w:type="dxa"/>
            <w:vAlign w:val="bottom"/>
          </w:tcPr>
          <w:p>
            <w:pPr>
              <w:spacing w:after="0"/>
              <w:rPr>
                <w:sz w:val="14"/>
                <w:szCs w:val="14"/>
                <w:color w:val="auto"/>
              </w:rPr>
            </w:pPr>
          </w:p>
        </w:tc>
        <w:tc>
          <w:tcPr>
            <w:tcW w:w="1360" w:type="dxa"/>
            <w:vAlign w:val="bottom"/>
            <w:gridSpan w:val="7"/>
          </w:tcPr>
          <w:p>
            <w:pPr>
              <w:jc w:val="right"/>
              <w:ind w:right="248"/>
              <w:spacing w:after="0" w:line="168" w:lineRule="exact"/>
              <w:rPr>
                <w:sz w:val="20"/>
                <w:szCs w:val="20"/>
                <w:color w:val="auto"/>
              </w:rPr>
            </w:pPr>
            <w:r>
              <w:rPr>
                <w:rFonts w:ascii="Arial" w:cs="Arial" w:eastAsia="Arial" w:hAnsi="Arial"/>
                <w:sz w:val="16"/>
                <w:szCs w:val="16"/>
                <w:color w:val="auto"/>
              </w:rPr>
              <w:t>Accumulated</w:t>
            </w:r>
          </w:p>
        </w:tc>
        <w:tc>
          <w:tcPr>
            <w:tcW w:w="220" w:type="dxa"/>
            <w:vAlign w:val="bottom"/>
          </w:tcPr>
          <w:p>
            <w:pPr>
              <w:spacing w:after="0"/>
              <w:rPr>
                <w:sz w:val="14"/>
                <w:szCs w:val="14"/>
                <w:color w:val="auto"/>
              </w:rPr>
            </w:pPr>
          </w:p>
        </w:tc>
        <w:tc>
          <w:tcPr>
            <w:tcW w:w="920" w:type="dxa"/>
            <w:vAlign w:val="bottom"/>
            <w:gridSpan w:val="2"/>
          </w:tcPr>
          <w:p>
            <w:pPr>
              <w:jc w:val="center"/>
              <w:ind w:right="139"/>
              <w:spacing w:after="0" w:line="168" w:lineRule="exact"/>
              <w:rPr>
                <w:sz w:val="20"/>
                <w:szCs w:val="20"/>
                <w:color w:val="auto"/>
              </w:rPr>
            </w:pPr>
            <w:r>
              <w:rPr>
                <w:rFonts w:ascii="Arial" w:cs="Arial" w:eastAsia="Arial" w:hAnsi="Arial"/>
                <w:sz w:val="16"/>
                <w:szCs w:val="16"/>
                <w:color w:val="auto"/>
              </w:rPr>
              <w:t>Net Book</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Book Value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color w:val="auto"/>
              </w:rPr>
              <w:t>Book Value</w:t>
            </w:r>
          </w:p>
        </w:tc>
        <w:tc>
          <w:tcPr>
            <w:tcW w:w="220" w:type="dxa"/>
            <w:vAlign w:val="bottom"/>
          </w:tcPr>
          <w:p>
            <w:pPr>
              <w:spacing w:after="0"/>
              <w:rPr>
                <w:sz w:val="17"/>
                <w:szCs w:val="17"/>
                <w:color w:val="auto"/>
              </w:rPr>
            </w:pPr>
          </w:p>
        </w:tc>
        <w:tc>
          <w:tcPr>
            <w:tcW w:w="11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Customer relationships</w:t>
            </w: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tcBorders>
              <w:right w:val="single" w:sz="8" w:color="CFF0FC"/>
            </w:tcBorders>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2,780</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938</w:t>
            </w:r>
          </w:p>
        </w:tc>
        <w:tc>
          <w:tcPr>
            <w:tcW w:w="360" w:type="dxa"/>
            <w:vAlign w:val="bottom"/>
            <w:tcBorders>
              <w:left w:val="single" w:sz="8" w:color="CFF0FC"/>
            </w:tcBorders>
            <w:gridSpan w:val="3"/>
            <w:shd w:val="clear" w:color="auto" w:fill="CFF0FC"/>
          </w:tcPr>
          <w:p>
            <w:pPr>
              <w:ind w:left="220"/>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gridSpan w:val="4"/>
            <w:shd w:val="clear" w:color="auto" w:fill="CFF0FC"/>
          </w:tcPr>
          <w:p>
            <w:pPr>
              <w:jc w:val="right"/>
              <w:ind w:right="80"/>
              <w:spacing w:after="0" w:line="183" w:lineRule="exact"/>
              <w:rPr>
                <w:sz w:val="20"/>
                <w:szCs w:val="20"/>
                <w:color w:val="auto"/>
              </w:rPr>
            </w:pPr>
            <w:r>
              <w:rPr>
                <w:rFonts w:ascii="Arial" w:cs="Arial" w:eastAsia="Arial" w:hAnsi="Arial"/>
                <w:sz w:val="16"/>
                <w:szCs w:val="16"/>
                <w:b w:val="1"/>
                <w:bCs w:val="1"/>
                <w:color w:val="auto"/>
              </w:rPr>
              <w:t>1,842</w:t>
            </w:r>
          </w:p>
        </w:tc>
        <w:tc>
          <w:tcPr>
            <w:tcW w:w="540" w:type="dxa"/>
            <w:vAlign w:val="bottom"/>
            <w:gridSpan w:val="2"/>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2,783</w:t>
            </w:r>
          </w:p>
        </w:tc>
        <w:tc>
          <w:tcPr>
            <w:tcW w:w="560" w:type="dxa"/>
            <w:vAlign w:val="bottom"/>
            <w:tcBorders>
              <w:left w:val="single" w:sz="8" w:color="CFF0FC"/>
            </w:tcBorders>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ind w:right="148"/>
              <w:spacing w:after="0" w:line="183" w:lineRule="exact"/>
              <w:rPr>
                <w:sz w:val="20"/>
                <w:szCs w:val="20"/>
                <w:color w:val="auto"/>
              </w:rPr>
            </w:pPr>
            <w:r>
              <w:rPr>
                <w:rFonts w:ascii="Arial" w:cs="Arial" w:eastAsia="Arial" w:hAnsi="Arial"/>
                <w:sz w:val="16"/>
                <w:szCs w:val="16"/>
                <w:color w:val="auto"/>
              </w:rPr>
              <w:t>849</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1,934</w:t>
            </w:r>
          </w:p>
        </w:tc>
        <w:tc>
          <w:tcPr>
            <w:tcW w:w="120" w:type="dxa"/>
            <w:vAlign w:val="bottom"/>
            <w:tcBorders>
              <w:lef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Technology/technical know-how</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1,781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2,635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tcPr>
          <w:p>
            <w:pPr>
              <w:jc w:val="right"/>
              <w:ind w:right="148"/>
              <w:spacing w:after="0"/>
              <w:rPr>
                <w:sz w:val="20"/>
                <w:szCs w:val="20"/>
                <w:color w:val="auto"/>
              </w:rPr>
            </w:pPr>
            <w:r>
              <w:rPr>
                <w:rFonts w:ascii="Arial" w:cs="Arial" w:eastAsia="Arial" w:hAnsi="Arial"/>
                <w:sz w:val="16"/>
                <w:szCs w:val="16"/>
                <w:color w:val="auto"/>
              </w:rPr>
              <w:t>998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Trade names</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1,066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321</w:t>
            </w:r>
          </w:p>
        </w:tc>
        <w:tc>
          <w:tcPr>
            <w:tcW w:w="10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745</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1,067</w:t>
            </w:r>
          </w:p>
        </w:tc>
        <w:tc>
          <w:tcPr>
            <w:tcW w:w="220" w:type="dxa"/>
            <w:vAlign w:val="bottom"/>
            <w:tcBorders>
              <w:lef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ind w:right="148"/>
              <w:spacing w:after="0"/>
              <w:rPr>
                <w:sz w:val="20"/>
                <w:szCs w:val="20"/>
                <w:color w:val="auto"/>
              </w:rPr>
            </w:pPr>
            <w:r>
              <w:rPr>
                <w:rFonts w:ascii="Arial" w:cs="Arial" w:eastAsia="Arial" w:hAnsi="Arial"/>
                <w:sz w:val="16"/>
                <w:szCs w:val="16"/>
                <w:color w:val="auto"/>
              </w:rPr>
              <w:t>283</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w:t>
            </w:r>
          </w:p>
        </w:tc>
        <w:tc>
          <w:tcPr>
            <w:tcW w:w="120" w:type="dxa"/>
            <w:vAlign w:val="bottom"/>
            <w:tcBorders>
              <w:lef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1,643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559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1,637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tcPr>
          <w:p>
            <w:pPr>
              <w:jc w:val="right"/>
              <w:ind w:right="148"/>
              <w:spacing w:after="0"/>
              <w:rPr>
                <w:sz w:val="20"/>
                <w:szCs w:val="20"/>
                <w:color w:val="auto"/>
              </w:rPr>
            </w:pPr>
            <w:r>
              <w:rPr>
                <w:rFonts w:ascii="Arial" w:cs="Arial" w:eastAsia="Arial" w:hAnsi="Arial"/>
                <w:sz w:val="16"/>
                <w:szCs w:val="16"/>
                <w:color w:val="auto"/>
              </w:rPr>
              <w:t>1,004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Borders>
              <w:right w:val="single" w:sz="8" w:color="CFF0FC"/>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tcBorders>
              <w:right w:val="single" w:sz="8" w:color="CFF0FC"/>
            </w:tcBorders>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8,389</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3,462</w:t>
            </w:r>
          </w:p>
        </w:tc>
        <w:tc>
          <w:tcPr>
            <w:tcW w:w="360" w:type="dxa"/>
            <w:vAlign w:val="bottom"/>
            <w:tcBorders>
              <w:left w:val="single" w:sz="8" w:color="CFF0FC"/>
            </w:tcBorders>
            <w:gridSpan w:val="3"/>
            <w:shd w:val="clear" w:color="auto" w:fill="CFF0FC"/>
          </w:tcPr>
          <w:p>
            <w:pPr>
              <w:ind w:left="220"/>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gridSpan w:val="4"/>
            <w:shd w:val="clear" w:color="auto" w:fill="CFF0FC"/>
          </w:tcPr>
          <w:p>
            <w:pPr>
              <w:jc w:val="right"/>
              <w:ind w:right="80"/>
              <w:spacing w:after="0" w:line="183" w:lineRule="exact"/>
              <w:rPr>
                <w:sz w:val="20"/>
                <w:szCs w:val="20"/>
                <w:color w:val="auto"/>
              </w:rPr>
            </w:pPr>
            <w:r>
              <w:rPr>
                <w:rFonts w:ascii="Arial" w:cs="Arial" w:eastAsia="Arial" w:hAnsi="Arial"/>
                <w:sz w:val="16"/>
                <w:szCs w:val="16"/>
                <w:b w:val="1"/>
                <w:bCs w:val="1"/>
                <w:color w:val="auto"/>
              </w:rPr>
              <w:t>4,927</w:t>
            </w:r>
          </w:p>
        </w:tc>
        <w:tc>
          <w:tcPr>
            <w:tcW w:w="540" w:type="dxa"/>
            <w:vAlign w:val="bottom"/>
            <w:gridSpan w:val="2"/>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8,122</w:t>
            </w:r>
          </w:p>
        </w:tc>
        <w:tc>
          <w:tcPr>
            <w:tcW w:w="560" w:type="dxa"/>
            <w:vAlign w:val="bottom"/>
            <w:tcBorders>
              <w:left w:val="single" w:sz="8" w:color="CFF0FC"/>
            </w:tcBorders>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148"/>
              <w:spacing w:after="0" w:line="183" w:lineRule="exact"/>
              <w:rPr>
                <w:sz w:val="20"/>
                <w:szCs w:val="20"/>
                <w:color w:val="auto"/>
              </w:rPr>
            </w:pPr>
            <w:r>
              <w:rPr>
                <w:rFonts w:ascii="Arial" w:cs="Arial" w:eastAsia="Arial" w:hAnsi="Arial"/>
                <w:sz w:val="16"/>
                <w:szCs w:val="16"/>
                <w:color w:val="auto"/>
              </w:rPr>
              <w:t>3,134</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4,988</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420" w:type="dxa"/>
            <w:vAlign w:val="bottom"/>
            <w:gridSpan w:val="8"/>
          </w:tcPr>
          <w:p>
            <w:pPr>
              <w:spacing w:after="0"/>
              <w:rPr>
                <w:sz w:val="20"/>
                <w:szCs w:val="20"/>
                <w:color w:val="auto"/>
              </w:rPr>
            </w:pPr>
            <w:r>
              <w:rPr>
                <w:rFonts w:ascii="Arial" w:cs="Arial" w:eastAsia="Arial" w:hAnsi="Arial"/>
                <w:sz w:val="16"/>
                <w:szCs w:val="16"/>
                <w:color w:val="auto"/>
              </w:rPr>
              <w:t>Amortization expense charged to income was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73"/>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2025</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Third Quarter</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113</w:t>
            </w:r>
          </w:p>
        </w:tc>
        <w:tc>
          <w:tcPr>
            <w:tcW w:w="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101</w:t>
            </w:r>
          </w:p>
        </w:tc>
        <w:tc>
          <w:tcPr>
            <w:tcW w:w="120" w:type="dxa"/>
            <w:vAlign w:val="bottom"/>
            <w:tcBorders>
              <w:lef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gridSpan w:val="4"/>
          </w:tcPr>
          <w:p>
            <w:pPr>
              <w:spacing w:after="0"/>
              <w:rPr>
                <w:sz w:val="20"/>
                <w:szCs w:val="20"/>
                <w:color w:val="auto"/>
              </w:rPr>
            </w:pPr>
            <w:r>
              <w:rPr>
                <w:rFonts w:ascii="Arial" w:cs="Arial" w:eastAsia="Arial" w:hAnsi="Arial"/>
                <w:sz w:val="16"/>
                <w:szCs w:val="16"/>
                <w:color w:val="auto"/>
              </w:rPr>
              <w:t>Nine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334</w:t>
            </w:r>
          </w:p>
        </w:tc>
        <w:tc>
          <w:tcPr>
            <w:tcW w:w="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-5987415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-5970270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-5987415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-5970270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-1006475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-989330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-1006475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-989330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-1006475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-989330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-1006475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-989330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-1006475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-989330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-1006475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-989330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Based on the carrying value of intangible assets at September 30, 2026, amortization expense for the subsequent five years is estimated to be: fourth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of 2026: $124 million; 2027: $484 million; 2028: $473 million; 2029: $457 million; 2030: $448 million; and 2031: $426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3" w:name="page14"/>
    <w:bookmarkEnd w:id="13"/>
    <w:p>
      <w:pPr>
        <w:ind w:left="280" w:hanging="272"/>
        <w:spacing w:after="0"/>
        <w:tabs>
          <w:tab w:leader="none" w:pos="2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Arial" w:cs="Arial" w:eastAsia="Arial" w:hAnsi="Arial"/>
                <w:sz w:val="16"/>
                <w:szCs w:val="16"/>
                <w:color w:val="auto"/>
              </w:rPr>
              <w:t>Dec. 31,</w:t>
            </w:r>
          </w:p>
        </w:tc>
      </w:tr>
      <w:tr>
        <w:trPr>
          <w:trHeight w:val="203"/>
        </w:trPr>
        <w:tc>
          <w:tcPr>
            <w:tcW w:w="4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r>
      <w:tr>
        <w:trPr>
          <w:trHeight w:val="183"/>
        </w:trPr>
        <w:tc>
          <w:tcPr>
            <w:tcW w:w="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3.90%</w:t>
            </w:r>
          </w:p>
        </w:tc>
        <w:tc>
          <w:tcPr>
            <w:tcW w:w="462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Senior Notes due 2028</w:t>
            </w:r>
          </w:p>
        </w:tc>
        <w:tc>
          <w:tcPr>
            <w:tcW w:w="284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1,490</w:t>
            </w:r>
          </w:p>
        </w:tc>
        <w:tc>
          <w:tcPr>
            <w:tcW w:w="5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1,484</w:t>
            </w:r>
          </w:p>
        </w:tc>
        <w:tc>
          <w:tcPr>
            <w:tcW w:w="100" w:type="dxa"/>
            <w:vAlign w:val="bottom"/>
            <w:shd w:val="clear" w:color="auto" w:fill="CFF0FC"/>
          </w:tcPr>
          <w:p>
            <w:pPr>
              <w:spacing w:after="0"/>
              <w:rPr>
                <w:sz w:val="15"/>
                <w:szCs w:val="15"/>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2.65%</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2030</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1,247</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Guaranteed Notes due 2032</w:t>
            </w:r>
          </w:p>
        </w:tc>
        <w:tc>
          <w:tcPr>
            <w:tcW w:w="2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1,132</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0.25%</w:t>
            </w:r>
          </w:p>
        </w:tc>
        <w:tc>
          <w:tcPr>
            <w:tcW w:w="4620" w:type="dxa"/>
            <w:vAlign w:val="bottom"/>
          </w:tcPr>
          <w:p>
            <w:pPr>
              <w:ind w:left="40"/>
              <w:spacing w:after="0"/>
              <w:rPr>
                <w:sz w:val="20"/>
                <w:szCs w:val="20"/>
                <w:color w:val="auto"/>
              </w:rPr>
            </w:pPr>
            <w:r>
              <w:rPr>
                <w:rFonts w:ascii="Arial" w:cs="Arial" w:eastAsia="Arial" w:hAnsi="Arial"/>
                <w:sz w:val="16"/>
                <w:szCs w:val="16"/>
                <w:color w:val="auto"/>
              </w:rPr>
              <w:t>Notes due 2027</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0.50%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2031</w:t>
            </w:r>
          </w:p>
        </w:tc>
        <w:tc>
          <w:tcPr>
            <w:tcW w:w="2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1,022</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5.15%</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2036</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992</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4.30%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2029</w:t>
            </w:r>
          </w:p>
        </w:tc>
        <w:tc>
          <w:tcPr>
            <w:tcW w:w="2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849</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4.50%</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2028</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4.55%</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2031</w:t>
            </w:r>
          </w:p>
        </w:tc>
        <w:tc>
          <w:tcPr>
            <w:tcW w:w="2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4.80%</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2033</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4.85%</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2033</w:t>
            </w:r>
          </w:p>
        </w:tc>
        <w:tc>
          <w:tcPr>
            <w:tcW w:w="2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495</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5.00%</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2029</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5.00%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2034</w:t>
            </w:r>
          </w:p>
        </w:tc>
        <w:tc>
          <w:tcPr>
            <w:tcW w:w="2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7.00%</w:t>
            </w:r>
          </w:p>
        </w:tc>
        <w:tc>
          <w:tcPr>
            <w:tcW w:w="4620" w:type="dxa"/>
            <w:vAlign w:val="bottom"/>
          </w:tcPr>
          <w:p>
            <w:pPr>
              <w:ind w:left="40"/>
              <w:spacing w:after="0"/>
              <w:rPr>
                <w:sz w:val="20"/>
                <w:szCs w:val="20"/>
                <w:color w:val="auto"/>
              </w:rPr>
            </w:pPr>
            <w:r>
              <w:rPr>
                <w:rFonts w:ascii="Arial" w:cs="Arial" w:eastAsia="Arial" w:hAnsi="Arial"/>
                <w:sz w:val="16"/>
                <w:szCs w:val="16"/>
                <w:color w:val="auto"/>
              </w:rPr>
              <w:t>Notes due 2038</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5.95%</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2041</w:t>
            </w:r>
          </w:p>
        </w:tc>
        <w:tc>
          <w:tcPr>
            <w:tcW w:w="2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110</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5.13%</w:t>
            </w:r>
          </w:p>
        </w:tc>
        <w:tc>
          <w:tcPr>
            <w:tcW w:w="4620" w:type="dxa"/>
            <w:vAlign w:val="bottom"/>
          </w:tcPr>
          <w:p>
            <w:pPr>
              <w:ind w:left="40"/>
              <w:spacing w:after="0"/>
              <w:rPr>
                <w:sz w:val="20"/>
                <w:szCs w:val="20"/>
                <w:color w:val="auto"/>
              </w:rPr>
            </w:pPr>
            <w:r>
              <w:rPr>
                <w:rFonts w:ascii="Arial" w:cs="Arial" w:eastAsia="Arial" w:hAnsi="Arial"/>
                <w:sz w:val="16"/>
                <w:szCs w:val="16"/>
                <w:color w:val="auto"/>
              </w:rPr>
              <w:t>Notes due 2043</w:t>
            </w: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5.00%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2027</w:t>
            </w:r>
          </w:p>
        </w:tc>
        <w:tc>
          <w:tcPr>
            <w:tcW w:w="2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Other</w:t>
            </w:r>
          </w:p>
        </w:tc>
        <w:tc>
          <w:tcPr>
            <w:tcW w:w="4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203"/>
        </w:trPr>
        <w:tc>
          <w:tcPr>
            <w:tcW w:w="480" w:type="dxa"/>
            <w:vAlign w:val="bottom"/>
            <w:shd w:val="clear" w:color="auto" w:fill="CFF0FC"/>
          </w:tcPr>
          <w:p>
            <w:pPr>
              <w:spacing w:after="0"/>
              <w:rPr>
                <w:sz w:val="17"/>
                <w:szCs w:val="17"/>
                <w:color w:val="auto"/>
              </w:rPr>
            </w:pPr>
          </w:p>
        </w:tc>
        <w:tc>
          <w:tcPr>
            <w:tcW w:w="4620" w:type="dxa"/>
            <w:vAlign w:val="bottom"/>
            <w:shd w:val="clear" w:color="auto" w:fill="CFF0FC"/>
          </w:tcPr>
          <w:p>
            <w:pPr>
              <w:spacing w:after="0"/>
              <w:rPr>
                <w:sz w:val="17"/>
                <w:szCs w:val="17"/>
                <w:color w:val="auto"/>
              </w:rPr>
            </w:pPr>
          </w:p>
        </w:tc>
        <w:tc>
          <w:tcPr>
            <w:tcW w:w="25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11,147</w:t>
            </w:r>
          </w:p>
        </w:tc>
        <w:tc>
          <w:tcPr>
            <w:tcW w:w="5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9,742</w:t>
            </w:r>
          </w:p>
        </w:tc>
        <w:tc>
          <w:tcPr>
            <w:tcW w:w="100" w:type="dxa"/>
            <w:vAlign w:val="bottom"/>
            <w:shd w:val="clear" w:color="auto" w:fill="CFF0FC"/>
          </w:tcPr>
          <w:p>
            <w:pPr>
              <w:spacing w:after="0"/>
              <w:rPr>
                <w:sz w:val="17"/>
                <w:szCs w:val="17"/>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462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September 30, 2026 and December 31, 2025, was $10.4 billion and $9.4 billion, respectively.</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September 30, 2026, SLB had committed credit facility agreements with commercial banks aggregating $5.0 billion, of which $2.0 billion matures in February 2029 and $3.0 billion matures in December 2030. These committed facilities support commercial paper programs in the United States and Europe. There were no borrowings under these facilities at September 30, 2026 or December 31, 2025.</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Commercial paper borrowings are classified as long-term debt to the extent they are backed up by available and unused committed credit facilities maturing in more than one year and to the extent it is SLB’s intent to maintain these obligations for longer than one year. There were no borrowings under the commercial paper programs at September 30, 2026 and December 31, 2025.</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Limited fully and unconditionally guarantees the publicly-held debt securities issued by Schlumberger Investment S.A., an indirect wholly-owned subsidiary of SLB Limited.</w:t>
      </w:r>
    </w:p>
    <w:p>
      <w:pPr>
        <w:spacing w:after="0" w:line="15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September 30, 2026, were as follows:</w:t>
      </w:r>
    </w:p>
    <w:p>
      <w:pPr>
        <w:spacing w:after="0" w:line="113" w:lineRule="exact"/>
        <w:rPr>
          <w:sz w:val="20"/>
          <w:szCs w:val="20"/>
          <w:color w:val="auto"/>
        </w:rPr>
      </w:pPr>
    </w:p>
    <w:p>
      <w:pPr>
        <w:jc w:val="both"/>
        <w:ind w:left="1020" w:hanging="503"/>
        <w:spacing w:after="0" w:line="251"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SLB entered into cross-currency interest rate swaps in order to hedge changes in the fair value of its €0.5 billion 0.25% Notes due 2027 and €0.5 billion 0.50% Notes due 2031 that were issued by a US-dollar functional currency subsidiary. These cross-currency interest rate swaps effectively convert the Euro-denominated notes to US-dollar denominated debt with fixed annual interest rates of 2.51% and 2.76%, respectively.</w:t>
      </w:r>
    </w:p>
    <w:p>
      <w:pPr>
        <w:spacing w:after="0" w:line="1" w:lineRule="exact"/>
        <w:rPr>
          <w:rFonts w:ascii="Times New Roman" w:cs="Times New Roman" w:eastAsia="Times New Roman" w:hAnsi="Times New Roman"/>
          <w:sz w:val="16"/>
          <w:szCs w:val="16"/>
          <w:color w:val="auto"/>
        </w:rPr>
      </w:pPr>
    </w:p>
    <w:p>
      <w:pPr>
        <w:jc w:val="both"/>
        <w:ind w:left="1020" w:hanging="503"/>
        <w:spacing w:after="0" w:line="252"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4" w:name="page15"/>
    <w:bookmarkEnd w:id="14"/>
    <w:p>
      <w:pPr>
        <w:jc w:val="both"/>
        <w:ind w:left="1020" w:hanging="503"/>
        <w:spacing w:after="0" w:line="259"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cross-currency interest rate swaps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4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 30, 2026</w:t>
            </w:r>
          </w:p>
        </w:tc>
        <w:tc>
          <w:tcPr>
            <w:tcW w:w="2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2025</w:t>
            </w:r>
          </w:p>
        </w:tc>
        <w:tc>
          <w:tcPr>
            <w:tcW w:w="100" w:type="dxa"/>
            <w:vAlign w:val="bottom"/>
          </w:tcPr>
          <w:p>
            <w:pPr>
              <w:spacing w:after="0"/>
              <w:rPr>
                <w:sz w:val="24"/>
                <w:szCs w:val="24"/>
                <w:color w:val="auto"/>
              </w:rPr>
            </w:pPr>
          </w:p>
        </w:tc>
      </w:tr>
      <w:tr>
        <w:trPr>
          <w:trHeight w:val="183"/>
        </w:trPr>
        <w:tc>
          <w:tcPr>
            <w:tcW w:w="45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Other current assets</w:t>
            </w:r>
          </w:p>
        </w:tc>
        <w:tc>
          <w:tcPr>
            <w:tcW w:w="4480" w:type="dxa"/>
            <w:vAlign w:val="bottom"/>
            <w:gridSpan w:val="2"/>
            <w:shd w:val="clear" w:color="auto" w:fill="CFF0FC"/>
          </w:tcPr>
          <w:p>
            <w:pPr>
              <w:jc w:val="right"/>
              <w:ind w:right="119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49</w:t>
            </w:r>
          </w:p>
        </w:tc>
        <w:tc>
          <w:tcPr>
            <w:tcW w:w="4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93</w:t>
            </w:r>
          </w:p>
        </w:tc>
        <w:tc>
          <w:tcPr>
            <w:tcW w:w="100" w:type="dxa"/>
            <w:vAlign w:val="bottom"/>
            <w:shd w:val="clear" w:color="auto" w:fill="CFF0FC"/>
          </w:tcPr>
          <w:p>
            <w:pPr>
              <w:spacing w:after="0"/>
              <w:rPr>
                <w:sz w:val="15"/>
                <w:szCs w:val="15"/>
                <w:color w:val="auto"/>
              </w:rPr>
            </w:pPr>
          </w:p>
        </w:tc>
      </w:tr>
      <w:tr>
        <w:trPr>
          <w:trHeight w:val="189"/>
        </w:trPr>
        <w:tc>
          <w:tcPr>
            <w:tcW w:w="4560" w:type="dxa"/>
            <w:vAlign w:val="bottom"/>
          </w:tcPr>
          <w:p>
            <w:pPr>
              <w:spacing w:after="0"/>
              <w:rPr>
                <w:sz w:val="20"/>
                <w:szCs w:val="20"/>
                <w:color w:val="auto"/>
              </w:rPr>
            </w:pPr>
            <w:r>
              <w:rPr>
                <w:rFonts w:ascii="Arial" w:cs="Arial" w:eastAsia="Arial" w:hAnsi="Arial"/>
                <w:sz w:val="16"/>
                <w:szCs w:val="16"/>
                <w:i w:val="1"/>
                <w:iCs w:val="1"/>
                <w:color w:val="auto"/>
              </w:rPr>
              <w:t>Other Assets</w:t>
            </w:r>
          </w:p>
        </w:tc>
        <w:tc>
          <w:tcPr>
            <w:tcW w:w="448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6"/>
                <w:szCs w:val="16"/>
                <w:color w:val="auto"/>
              </w:rPr>
            </w:pPr>
          </w:p>
        </w:tc>
      </w:tr>
      <w:tr>
        <w:trPr>
          <w:trHeight w:val="189"/>
        </w:trPr>
        <w:tc>
          <w:tcPr>
            <w:tcW w:w="45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4480" w:type="dxa"/>
            <w:vAlign w:val="bottom"/>
            <w:gridSpan w:val="2"/>
            <w:shd w:val="clear" w:color="auto" w:fill="CFF0FC"/>
          </w:tcPr>
          <w:p>
            <w:pPr>
              <w:jc w:val="right"/>
              <w:ind w:right="1199"/>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6"/>
                <w:szCs w:val="16"/>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$5.8 billion and $6.3 billion in various foreign currencies as of September 30, 2026 and December 31, 2025, respectively.</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September 30, 2026 and December 31, 2025.</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42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rPr>
              <w:t>Gain (Loss) Recognized in Income</w:t>
            </w:r>
          </w:p>
        </w:tc>
        <w:tc>
          <w:tcPr>
            <w:tcW w:w="6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680" w:type="dxa"/>
            <w:vAlign w:val="bottom"/>
            <w:tcBorders>
              <w:bottom w:val="single" w:sz="8" w:color="auto"/>
            </w:tcBorders>
            <w:gridSpan w:val="5"/>
          </w:tcPr>
          <w:p>
            <w:pPr>
              <w:jc w:val="right"/>
              <w:ind w:right="200"/>
              <w:spacing w:after="0" w:line="183" w:lineRule="exact"/>
              <w:rPr>
                <w:sz w:val="20"/>
                <w:szCs w:val="20"/>
                <w:color w:val="auto"/>
              </w:rPr>
            </w:pPr>
            <w:r>
              <w:rPr>
                <w:rFonts w:ascii="Arial" w:cs="Arial" w:eastAsia="Arial" w:hAnsi="Arial"/>
                <w:sz w:val="16"/>
                <w:szCs w:val="16"/>
                <w:b w:val="1"/>
                <w:bCs w:val="1"/>
                <w:color w:val="auto"/>
              </w:rPr>
              <w:t>Third Quarter</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59"/>
              <w:spacing w:after="0" w:line="183" w:lineRule="exact"/>
              <w:rPr>
                <w:sz w:val="20"/>
                <w:szCs w:val="20"/>
                <w:color w:val="auto"/>
              </w:rPr>
            </w:pPr>
            <w:r>
              <w:rPr>
                <w:rFonts w:ascii="Arial" w:cs="Arial" w:eastAsia="Arial" w:hAnsi="Arial"/>
                <w:sz w:val="16"/>
                <w:szCs w:val="16"/>
                <w:b w:val="1"/>
                <w:bCs w:val="1"/>
                <w:color w:val="auto"/>
              </w:rPr>
              <w:t>Nine Months</w:t>
            </w:r>
          </w:p>
        </w:tc>
        <w:tc>
          <w:tcPr>
            <w:tcW w:w="140" w:type="dxa"/>
            <w:vAlign w:val="bottom"/>
          </w:tcPr>
          <w:p>
            <w:pPr>
              <w:spacing w:after="0"/>
              <w:rPr>
                <w:sz w:val="15"/>
                <w:szCs w:val="15"/>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2026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17"/>
                <w:szCs w:val="17"/>
                <w:color w:val="auto"/>
              </w:rPr>
            </w:pPr>
          </w:p>
        </w:tc>
        <w:tc>
          <w:tcPr>
            <w:tcW w:w="2880" w:type="dxa"/>
            <w:vAlign w:val="bottom"/>
            <w:gridSpan w:val="2"/>
          </w:tcPr>
          <w:p>
            <w:pPr>
              <w:ind w:left="80"/>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183"/>
        </w:trPr>
        <w:tc>
          <w:tcPr>
            <w:tcW w:w="4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Derivatives designated as cash flow hedges:</w:t>
            </w:r>
          </w:p>
        </w:tc>
        <w:tc>
          <w:tcPr>
            <w:tcW w:w="6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rPr>
                <w:sz w:val="20"/>
                <w:szCs w:val="20"/>
                <w:color w:val="auto"/>
              </w:rPr>
            </w:pPr>
            <w:r>
              <w:rPr>
                <w:rFonts w:ascii="Arial" w:cs="Arial" w:eastAsia="Arial" w:hAnsi="Arial"/>
                <w:sz w:val="16"/>
                <w:szCs w:val="16"/>
                <w:color w:val="auto"/>
              </w:rPr>
              <w:t>Cross-currency interest rate swaps</w:t>
            </w:r>
          </w:p>
        </w:tc>
        <w:tc>
          <w:tcPr>
            <w:tcW w:w="600" w:type="dxa"/>
            <w:vAlign w:val="bottom"/>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8"/>
              </w:rPr>
              <w:t>(10)</w:t>
            </w:r>
          </w:p>
        </w:tc>
        <w:tc>
          <w:tcPr>
            <w:tcW w:w="6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(52)</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(153)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415</w:t>
            </w:r>
          </w:p>
        </w:tc>
        <w:tc>
          <w:tcPr>
            <w:tcW w:w="140" w:type="dxa"/>
            <w:vAlign w:val="bottom"/>
          </w:tcPr>
          <w:p>
            <w:pPr>
              <w:spacing w:after="0"/>
              <w:rPr>
                <w:sz w:val="16"/>
                <w:szCs w:val="16"/>
                <w:color w:val="auto"/>
              </w:rPr>
            </w:pPr>
          </w:p>
        </w:tc>
        <w:tc>
          <w:tcPr>
            <w:tcW w:w="2880" w:type="dxa"/>
            <w:vAlign w:val="bottom"/>
            <w:gridSpan w:val="2"/>
          </w:tcPr>
          <w:p>
            <w:pPr>
              <w:ind w:left="8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42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Cross-currency interest rate swaps</w:t>
            </w:r>
          </w:p>
        </w:tc>
        <w:tc>
          <w:tcPr>
            <w:tcW w:w="6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98"/>
              </w:rPr>
              <w:t>(18)</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(53)</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w:t>
            </w:r>
          </w:p>
        </w:tc>
        <w:tc>
          <w:tcPr>
            <w:tcW w:w="2880" w:type="dxa"/>
            <w:vAlign w:val="bottom"/>
            <w:gridSpan w:val="2"/>
            <w:shd w:val="clear" w:color="auto" w:fill="CFF0FC"/>
          </w:tcPr>
          <w:p>
            <w:pPr>
              <w:ind w:left="80"/>
              <w:spacing w:after="0"/>
              <w:rPr>
                <w:sz w:val="20"/>
                <w:szCs w:val="20"/>
                <w:color w:val="auto"/>
              </w:rPr>
            </w:pPr>
            <w:r>
              <w:rPr>
                <w:rFonts w:ascii="Arial" w:cs="Arial" w:eastAsia="Arial" w:hAnsi="Arial"/>
                <w:sz w:val="16"/>
                <w:szCs w:val="16"/>
                <w:i w:val="1"/>
                <w:iCs w:val="1"/>
                <w:color w:val="auto"/>
              </w:rPr>
              <w:t>Interest expense</w:t>
            </w: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rPr>
                <w:sz w:val="20"/>
                <w:szCs w:val="20"/>
                <w:color w:val="auto"/>
              </w:rPr>
            </w:pPr>
            <w:r>
              <w:rPr>
                <w:rFonts w:ascii="Arial" w:cs="Arial" w:eastAsia="Arial" w:hAnsi="Arial"/>
                <w:sz w:val="16"/>
                <w:szCs w:val="16"/>
                <w:color w:val="auto"/>
              </w:rPr>
              <w:t>Foreign currency forward contracts</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(31)</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2880" w:type="dxa"/>
            <w:vAlign w:val="bottom"/>
            <w:gridSpan w:val="2"/>
          </w:tcPr>
          <w:p>
            <w:pPr>
              <w:ind w:left="8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4200" w:type="dxa"/>
            <w:vAlign w:val="bottom"/>
            <w:shd w:val="clear" w:color="auto" w:fill="CFF0FC"/>
          </w:tcPr>
          <w:p>
            <w:pPr>
              <w:ind w:left="80"/>
              <w:spacing w:after="0"/>
              <w:rPr>
                <w:sz w:val="20"/>
                <w:szCs w:val="20"/>
                <w:color w:val="auto"/>
              </w:rPr>
            </w:pPr>
            <w:r>
              <w:rPr>
                <w:rFonts w:ascii="Arial" w:cs="Arial" w:eastAsia="Arial" w:hAnsi="Arial"/>
                <w:sz w:val="16"/>
                <w:szCs w:val="16"/>
                <w:color w:val="auto"/>
              </w:rPr>
              <w:t>Foreign currency forward contracts</w:t>
            </w:r>
          </w:p>
        </w:tc>
        <w:tc>
          <w:tcPr>
            <w:tcW w:w="6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(7)</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ind w:left="80"/>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Pr>
          <w:p>
            <w:pPr>
              <w:spacing w:after="0"/>
              <w:rPr>
                <w:sz w:val="15"/>
                <w:szCs w:val="15"/>
                <w:color w:val="auto"/>
              </w:rPr>
            </w:pPr>
          </w:p>
        </w:tc>
        <w:tc>
          <w:tcPr>
            <w:tcW w:w="600" w:type="dxa"/>
            <w:vAlign w:val="bottom"/>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w w:val="98"/>
              </w:rPr>
              <w:t>(31)</w:t>
            </w:r>
          </w:p>
        </w:tc>
        <w:tc>
          <w:tcPr>
            <w:tcW w:w="680" w:type="dxa"/>
            <w:vAlign w:val="bottom"/>
            <w:gridSpan w:val="2"/>
          </w:tcPr>
          <w:p>
            <w:pPr>
              <w:jc w:val="right"/>
              <w:ind w:right="500"/>
              <w:spacing w:after="0" w:line="183" w:lineRule="exact"/>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(59)</w:t>
            </w:r>
          </w:p>
        </w:tc>
        <w:tc>
          <w:tcPr>
            <w:tcW w:w="240" w:type="dxa"/>
            <w:vAlign w:val="bottom"/>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(216)</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369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Derivatives not designated as hedges:</w:t>
            </w: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line="169" w:lineRule="exact"/>
              <w:rPr>
                <w:sz w:val="20"/>
                <w:szCs w:val="20"/>
                <w:color w:val="auto"/>
              </w:rPr>
            </w:pPr>
            <w:r>
              <w:rPr>
                <w:rFonts w:ascii="Arial" w:cs="Arial" w:eastAsia="Arial" w:hAnsi="Arial"/>
                <w:sz w:val="16"/>
                <w:szCs w:val="16"/>
                <w:color w:val="auto"/>
              </w:rPr>
              <w:t>Foreign currency forward contracts</w:t>
            </w:r>
          </w:p>
        </w:tc>
        <w:tc>
          <w:tcPr>
            <w:tcW w:w="600" w:type="dxa"/>
            <w:vAlign w:val="bottom"/>
          </w:tcPr>
          <w:p>
            <w:pPr>
              <w:jc w:val="right"/>
              <w:ind w:right="442"/>
              <w:spacing w:after="0" w:line="169" w:lineRule="exact"/>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ind w:right="100"/>
              <w:spacing w:after="0" w:line="169" w:lineRule="exact"/>
              <w:rPr>
                <w:sz w:val="20"/>
                <w:szCs w:val="20"/>
                <w:color w:val="auto"/>
              </w:rPr>
            </w:pPr>
            <w:r>
              <w:rPr>
                <w:rFonts w:ascii="Arial" w:cs="Arial" w:eastAsia="Arial" w:hAnsi="Arial"/>
                <w:sz w:val="16"/>
                <w:szCs w:val="16"/>
                <w:b w:val="1"/>
                <w:bCs w:val="1"/>
                <w:color w:val="auto"/>
                <w:w w:val="98"/>
              </w:rPr>
              <w:t>(13)</w:t>
            </w:r>
          </w:p>
        </w:tc>
        <w:tc>
          <w:tcPr>
            <w:tcW w:w="680" w:type="dxa"/>
            <w:vAlign w:val="bottom"/>
            <w:gridSpan w:val="2"/>
          </w:tcPr>
          <w:p>
            <w:pPr>
              <w:jc w:val="right"/>
              <w:ind w:right="500"/>
              <w:spacing w:after="0" w:line="169" w:lineRule="exact"/>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(22)</w:t>
            </w:r>
          </w:p>
        </w:tc>
        <w:tc>
          <w:tcPr>
            <w:tcW w:w="240" w:type="dxa"/>
            <w:vAlign w:val="bottom"/>
            <w:gridSpan w:val="2"/>
          </w:tcPr>
          <w:p>
            <w:pPr>
              <w:jc w:val="right"/>
              <w:ind w:right="60"/>
              <w:spacing w:after="0" w:line="169" w:lineRule="exact"/>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(5)</w:t>
            </w:r>
          </w:p>
        </w:tc>
        <w:tc>
          <w:tcPr>
            <w:tcW w:w="18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c>
          <w:tcPr>
            <w:tcW w:w="140" w:type="dxa"/>
            <w:vAlign w:val="bottom"/>
          </w:tcPr>
          <w:p>
            <w:pPr>
              <w:spacing w:after="0"/>
              <w:rPr>
                <w:sz w:val="16"/>
                <w:szCs w:val="16"/>
                <w:color w:val="auto"/>
              </w:rPr>
            </w:pPr>
          </w:p>
        </w:tc>
        <w:tc>
          <w:tcPr>
            <w:tcW w:w="2880" w:type="dxa"/>
            <w:vAlign w:val="bottom"/>
            <w:gridSpan w:val="2"/>
          </w:tcPr>
          <w:p>
            <w:pPr>
              <w:ind w:left="80"/>
              <w:spacing w:after="0" w:line="169" w:lineRule="exact"/>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-419735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-419735</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-419735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-419735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ind w:left="360" w:hanging="352"/>
        <w:spacing w:after="0"/>
        <w:tabs>
          <w:tab w:leader="none" w:pos="3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by segment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Third Quarter 2026</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80"/>
              <w:spacing w:after="0" w:line="163" w:lineRule="exact"/>
              <w:rPr>
                <w:sz w:val="20"/>
                <w:szCs w:val="20"/>
                <w:color w:val="auto"/>
              </w:rPr>
            </w:pPr>
            <w:r>
              <w:rPr>
                <w:rFonts w:ascii="Arial" w:cs="Arial" w:eastAsia="Arial" w:hAnsi="Arial"/>
                <w:sz w:val="16"/>
                <w:szCs w:val="16"/>
                <w:b w:val="1"/>
                <w:bCs w:val="1"/>
                <w:color w:val="auto"/>
                <w:w w:val="99"/>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w w:val="98"/>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rPr>
              <w:t>Capital</w:t>
            </w:r>
          </w:p>
        </w:tc>
      </w:tr>
      <w:tr>
        <w:trPr>
          <w:trHeight w:val="243"/>
        </w:trPr>
        <w:tc>
          <w:tcPr>
            <w:tcW w:w="3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Before Taxes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b w:val="1"/>
                <w:bCs w:val="1"/>
                <w:color w:val="auto"/>
                <w:w w:val="97"/>
                <w:vertAlign w:val="superscript"/>
              </w:rPr>
              <w:t>(5)</w:t>
            </w:r>
          </w:p>
        </w:tc>
        <w:tc>
          <w:tcPr>
            <w:tcW w:w="120" w:type="dxa"/>
            <w:vAlign w:val="bottom"/>
          </w:tcPr>
          <w:p>
            <w:pPr>
              <w:spacing w:after="0"/>
              <w:rPr>
                <w:sz w:val="21"/>
                <w:szCs w:val="21"/>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693</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194</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34</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83</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1,634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2,888</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475</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157</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166</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4,000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646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170</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544</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120</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(310)</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(141)</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16"/>
                <w:szCs w:val="16"/>
                <w:color w:val="auto"/>
              </w:rPr>
            </w:pPr>
          </w:p>
        </w:tc>
      </w:tr>
      <w:tr>
        <w:trPr>
          <w:trHeight w:val="203"/>
        </w:trPr>
        <w:tc>
          <w:tcPr>
            <w:tcW w:w="30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(204)</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040" w:type="dxa"/>
            <w:vAlign w:val="bottom"/>
          </w:tcPr>
          <w:p>
            <w:pPr>
              <w:spacing w:after="0" w:line="203"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0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(133)</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(242)</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0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9,449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1,019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698</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682</w:t>
            </w:r>
          </w:p>
        </w:tc>
        <w:tc>
          <w:tcPr>
            <w:tcW w:w="120" w:type="dxa"/>
            <w:vAlign w:val="bottom"/>
            <w:shd w:val="clear" w:color="auto" w:fill="CFF0FC"/>
          </w:tcPr>
          <w:p>
            <w:pPr>
              <w:spacing w:after="0"/>
              <w:rPr>
                <w:sz w:val="19"/>
                <w:szCs w:val="19"/>
                <w:color w:val="auto"/>
              </w:rPr>
            </w:pPr>
          </w:p>
        </w:tc>
      </w:tr>
      <w:tr>
        <w:trPr>
          <w:trHeight w:val="445"/>
        </w:trPr>
        <w:tc>
          <w:tcPr>
            <w:tcW w:w="30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120" w:type="dxa"/>
            <w:vAlign w:val="bottom"/>
            <w:tcBorders>
              <w:top w:val="single" w:sz="8" w:color="CFF0FC"/>
            </w:tcBorders>
          </w:tcPr>
          <w:p>
            <w:pPr>
              <w:spacing w:after="0"/>
              <w:rPr>
                <w:sz w:val="24"/>
                <w:szCs w:val="24"/>
                <w:color w:val="auto"/>
              </w:rPr>
            </w:pP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color w:val="auto"/>
              </w:rPr>
              <w:t>Third Quarter 2025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99"/>
              <w:spacing w:after="0" w:line="168" w:lineRule="exact"/>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line="163" w:lineRule="exact"/>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color w:val="auto"/>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color w:val="auto"/>
              </w:rPr>
              <w:t>Capital</w:t>
            </w:r>
          </w:p>
        </w:tc>
      </w:tr>
      <w:tr>
        <w:trPr>
          <w:trHeight w:val="243"/>
        </w:trPr>
        <w:tc>
          <w:tcPr>
            <w:tcW w:w="3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Before Taxes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6"/>
              </w:rPr>
              <w:t xml:space="preserve">Investments </w:t>
            </w:r>
            <w:r>
              <w:rPr>
                <w:rFonts w:ascii="Arial" w:cs="Arial" w:eastAsia="Arial" w:hAnsi="Arial"/>
                <w:sz w:val="21"/>
                <w:szCs w:val="21"/>
                <w:color w:val="auto"/>
                <w:w w:val="96"/>
                <w:vertAlign w:val="superscript"/>
              </w:rPr>
              <w:t>(5)</w:t>
            </w:r>
          </w:p>
        </w:tc>
        <w:tc>
          <w:tcPr>
            <w:tcW w:w="120" w:type="dxa"/>
            <w:vAlign w:val="bottom"/>
          </w:tcPr>
          <w:p>
            <w:pPr>
              <w:spacing w:after="0"/>
              <w:rPr>
                <w:sz w:val="21"/>
                <w:szCs w:val="21"/>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658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187</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(250)</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6"/>
                <w:szCs w:val="16"/>
                <w:color w:val="auto"/>
              </w:rPr>
            </w:pPr>
          </w:p>
        </w:tc>
      </w:tr>
      <w:tr>
        <w:trPr>
          <w:trHeight w:val="203"/>
        </w:trPr>
        <w:tc>
          <w:tcPr>
            <w:tcW w:w="30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040" w:type="dxa"/>
            <w:vAlign w:val="bottom"/>
          </w:tcPr>
          <w:p>
            <w:pPr>
              <w:spacing w:after="0" w:line="203"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0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(142)</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(318)</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0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8,928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1,000</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638</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581</w:t>
            </w:r>
          </w:p>
        </w:tc>
        <w:tc>
          <w:tcPr>
            <w:tcW w:w="120" w:type="dxa"/>
            <w:vAlign w:val="bottom"/>
            <w:shd w:val="clear" w:color="auto" w:fill="CFF0FC"/>
          </w:tcPr>
          <w:p>
            <w:pPr>
              <w:spacing w:after="0"/>
              <w:rPr>
                <w:sz w:val="17"/>
                <w:szCs w:val="17"/>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-2322830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-2305050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-2322830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-2305050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-2322830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-2305050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-2322830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49" w:lineRule="exact"/>
        <w:rPr>
          <w:sz w:val="20"/>
          <w:szCs w:val="20"/>
          <w:color w:val="auto"/>
        </w:rPr>
      </w:pPr>
    </w:p>
    <w:p>
      <w:pPr>
        <w:ind w:left="380" w:hanging="372"/>
        <w:spacing w:after="0" w:line="222"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6"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($4 million in 2026; $- million in 2025).</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2026; $- million in 2025).</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Capital investments includes capital expenditures, APS investments, and exploration data costs capitalized.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2026</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3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9"/>
              <w:spacing w:after="0" w:line="182" w:lineRule="exact"/>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80"/>
              <w:spacing w:after="0" w:line="163" w:lineRule="exact"/>
              <w:rPr>
                <w:sz w:val="20"/>
                <w:szCs w:val="20"/>
                <w:color w:val="auto"/>
              </w:rPr>
            </w:pPr>
            <w:r>
              <w:rPr>
                <w:rFonts w:ascii="Arial" w:cs="Arial" w:eastAsia="Arial" w:hAnsi="Arial"/>
                <w:sz w:val="16"/>
                <w:szCs w:val="16"/>
                <w:b w:val="1"/>
                <w:bCs w:val="1"/>
                <w:color w:val="auto"/>
                <w:w w:val="99"/>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w w:val="98"/>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rPr>
              <w:t>Capital</w:t>
            </w:r>
          </w:p>
        </w:tc>
      </w:tr>
      <w:tr>
        <w:trPr>
          <w:trHeight w:val="243"/>
        </w:trPr>
        <w:tc>
          <w:tcPr>
            <w:tcW w:w="3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Before Taxes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b w:val="1"/>
                <w:bCs w:val="1"/>
                <w:color w:val="auto"/>
                <w:w w:val="97"/>
                <w:vertAlign w:val="superscript"/>
              </w:rPr>
              <w:t>(5)</w:t>
            </w:r>
          </w:p>
        </w:tc>
        <w:tc>
          <w:tcPr>
            <w:tcW w:w="120" w:type="dxa"/>
            <w:vAlign w:val="bottom"/>
          </w:tcPr>
          <w:p>
            <w:pPr>
              <w:spacing w:after="0"/>
              <w:rPr>
                <w:sz w:val="21"/>
                <w:szCs w:val="21"/>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2,030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522</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115</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211</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4,783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754</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319</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8,427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1,315</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479</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410</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11,278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1,728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458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464</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1,492</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258</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352</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(868)</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(409)</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120" w:type="dxa"/>
            <w:vAlign w:val="bottom"/>
          </w:tcPr>
          <w:p>
            <w:pPr>
              <w:spacing w:after="0"/>
              <w:rPr>
                <w:sz w:val="16"/>
                <w:szCs w:val="16"/>
                <w:color w:val="auto"/>
              </w:rPr>
            </w:pPr>
          </w:p>
        </w:tc>
      </w:tr>
      <w:tr>
        <w:trPr>
          <w:trHeight w:val="203"/>
        </w:trPr>
        <w:tc>
          <w:tcPr>
            <w:tcW w:w="30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(643)</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040" w:type="dxa"/>
            <w:vAlign w:val="bottom"/>
          </w:tcPr>
          <w:p>
            <w:pPr>
              <w:spacing w:after="0" w:line="203"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0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(377)</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(352)</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0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27,142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2,994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2,095</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1,835</w:t>
            </w:r>
          </w:p>
        </w:tc>
        <w:tc>
          <w:tcPr>
            <w:tcW w:w="120" w:type="dxa"/>
            <w:vAlign w:val="bottom"/>
            <w:shd w:val="clear" w:color="auto" w:fill="CFF0FC"/>
          </w:tcPr>
          <w:p>
            <w:pPr>
              <w:spacing w:after="0"/>
              <w:rPr>
                <w:sz w:val="19"/>
                <w:szCs w:val="19"/>
                <w:color w:val="auto"/>
              </w:rPr>
            </w:pPr>
          </w:p>
        </w:tc>
      </w:tr>
      <w:tr>
        <w:trPr>
          <w:trHeight w:val="364"/>
        </w:trPr>
        <w:tc>
          <w:tcPr>
            <w:tcW w:w="30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120" w:type="dxa"/>
            <w:vAlign w:val="bottom"/>
            <w:tcBorders>
              <w:top w:val="single" w:sz="8" w:color="CFF0FC"/>
            </w:tcBorders>
          </w:tcPr>
          <w:p>
            <w:pPr>
              <w:spacing w:after="0"/>
              <w:rPr>
                <w:sz w:val="24"/>
                <w:szCs w:val="24"/>
                <w:color w:val="auto"/>
              </w:rPr>
            </w:pP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color w:val="auto"/>
              </w:rPr>
              <w:t>Nine Months 2025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3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99"/>
              <w:spacing w:after="0" w:line="182" w:lineRule="exact"/>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line="163" w:lineRule="exact"/>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color w:val="auto"/>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color w:val="auto"/>
              </w:rPr>
              <w:t>Capital</w:t>
            </w:r>
          </w:p>
        </w:tc>
      </w:tr>
      <w:tr>
        <w:trPr>
          <w:trHeight w:val="243"/>
        </w:trPr>
        <w:tc>
          <w:tcPr>
            <w:tcW w:w="3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Before Taxes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6"/>
              </w:rPr>
              <w:t xml:space="preserve">Investments </w:t>
            </w:r>
            <w:r>
              <w:rPr>
                <w:rFonts w:ascii="Arial" w:cs="Arial" w:eastAsia="Arial" w:hAnsi="Arial"/>
                <w:sz w:val="21"/>
                <w:szCs w:val="21"/>
                <w:color w:val="auto"/>
                <w:w w:val="96"/>
                <w:vertAlign w:val="superscript"/>
              </w:rPr>
              <w:t>(5)</w:t>
            </w:r>
          </w:p>
        </w:tc>
        <w:tc>
          <w:tcPr>
            <w:tcW w:w="120" w:type="dxa"/>
            <w:vAlign w:val="bottom"/>
          </w:tcPr>
          <w:p>
            <w:pPr>
              <w:spacing w:after="0"/>
              <w:rPr>
                <w:sz w:val="21"/>
                <w:szCs w:val="21"/>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117</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172</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5,072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9,247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(642)</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(239)</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6"/>
                <w:szCs w:val="16"/>
                <w:color w:val="auto"/>
              </w:rPr>
            </w:pPr>
          </w:p>
        </w:tc>
      </w:tr>
      <w:tr>
        <w:trPr>
          <w:trHeight w:val="203"/>
        </w:trPr>
        <w:tc>
          <w:tcPr>
            <w:tcW w:w="30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(550)</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040" w:type="dxa"/>
            <w:vAlign w:val="bottom"/>
          </w:tcPr>
          <w:p>
            <w:pPr>
              <w:spacing w:after="0" w:line="203"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0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(425)</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(546)</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0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25,963</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3,348</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1,911</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1,658</w:t>
            </w:r>
          </w:p>
        </w:tc>
        <w:tc>
          <w:tcPr>
            <w:tcW w:w="120" w:type="dxa"/>
            <w:vAlign w:val="bottom"/>
            <w:shd w:val="clear" w:color="auto" w:fill="CFF0FC"/>
          </w:tcPr>
          <w:p>
            <w:pPr>
              <w:spacing w:after="0"/>
              <w:rPr>
                <w:sz w:val="17"/>
                <w:szCs w:val="17"/>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-2279650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-2262505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-2279650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-2262505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-2279650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-2262505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54" w:lineRule="exact"/>
        <w:rPr>
          <w:sz w:val="20"/>
          <w:szCs w:val="20"/>
          <w:color w:val="auto"/>
        </w:rPr>
      </w:pPr>
    </w:p>
    <w:p>
      <w:pPr>
        <w:ind w:left="380" w:hanging="372"/>
        <w:spacing w:after="0" w:line="222"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6"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($14 million in 2026; $1 million in 2025).</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2026; $6 million in 2025).</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Capital investments includes capital expenditures, APS investments, and exploration data costs capitalized.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Total assets by segment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39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Sept.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9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41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1,024</w:t>
            </w:r>
          </w:p>
        </w:tc>
        <w:tc>
          <w:tcPr>
            <w:tcW w:w="4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Reservoir Performance</w:t>
            </w: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4,159</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3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6,564</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Production Systems</w:t>
            </w: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9,987</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3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2,432</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Eliminations and other</w:t>
            </w: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1,066</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Goodwill and intangibles</w:t>
            </w:r>
          </w:p>
        </w:tc>
        <w:tc>
          <w:tcPr>
            <w:tcW w:w="3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22,190</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Cash and short-term investments</w:t>
            </w: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3,551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All other assets</w:t>
            </w:r>
          </w:p>
        </w:tc>
        <w:tc>
          <w:tcPr>
            <w:tcW w:w="39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5,227</w:t>
            </w:r>
          </w:p>
        </w:tc>
        <w:tc>
          <w:tcPr>
            <w:tcW w:w="2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416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56,200</w:t>
            </w:r>
          </w:p>
        </w:tc>
        <w:tc>
          <w:tcPr>
            <w:tcW w:w="4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54,868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920" w:type="dxa"/>
            <w:vAlign w:val="bottom"/>
            <w:vMerge w:val="restart"/>
          </w:tcPr>
          <w:p>
            <w:pPr>
              <w:jc w:val="right"/>
              <w:ind w:right="2079"/>
              <w:spacing w:after="0"/>
              <w:rPr>
                <w:sz w:val="20"/>
                <w:szCs w:val="20"/>
                <w:color w:val="auto"/>
              </w:rPr>
            </w:pPr>
            <w:r>
              <w:rPr>
                <w:rFonts w:ascii="Arial" w:cs="Arial" w:eastAsia="Arial" w:hAnsi="Arial"/>
                <w:sz w:val="16"/>
                <w:szCs w:val="16"/>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9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9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-1045210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Segment assets consist of receivables, inventories, fixed assets, exploration data costs capitalized, and APS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Third Quarter</w:t>
            </w:r>
          </w:p>
        </w:tc>
        <w:tc>
          <w:tcPr>
            <w:tcW w:w="8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2025</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2025</w:t>
            </w:r>
          </w:p>
        </w:tc>
        <w:tc>
          <w:tcPr>
            <w:tcW w:w="120" w:type="dxa"/>
            <w:vAlign w:val="bottom"/>
          </w:tcPr>
          <w:p>
            <w:pPr>
              <w:spacing w:after="0"/>
              <w:rPr>
                <w:sz w:val="15"/>
                <w:szCs w:val="15"/>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North America</w:t>
            </w:r>
          </w:p>
        </w:tc>
        <w:tc>
          <w:tcPr>
            <w:tcW w:w="800" w:type="dxa"/>
            <w:vAlign w:val="bottom"/>
            <w:gridSpan w:val="2"/>
            <w:shd w:val="clear" w:color="auto" w:fill="CFF0FC"/>
          </w:tcPr>
          <w:p>
            <w:pPr>
              <w:jc w:val="right"/>
              <w:ind w:right="619"/>
              <w:spacing w:after="0" w:line="183" w:lineRule="exact"/>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9"/>
              </w:rPr>
              <w:t>2,401</w:t>
            </w:r>
          </w:p>
        </w:tc>
        <w:tc>
          <w:tcPr>
            <w:tcW w:w="64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1,930</w:t>
            </w:r>
          </w:p>
        </w:tc>
        <w:tc>
          <w:tcPr>
            <w:tcW w:w="5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6,812</w:t>
            </w:r>
          </w:p>
        </w:tc>
        <w:tc>
          <w:tcPr>
            <w:tcW w:w="640" w:type="dxa"/>
            <w:vAlign w:val="bottom"/>
            <w:gridSpan w:val="2"/>
            <w:shd w:val="clear" w:color="auto" w:fill="CFF0FC"/>
          </w:tcPr>
          <w:p>
            <w:pPr>
              <w:jc w:val="right"/>
              <w:ind w:right="24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5,303</w:t>
            </w:r>
          </w:p>
        </w:tc>
        <w:tc>
          <w:tcPr>
            <w:tcW w:w="120" w:type="dxa"/>
            <w:vAlign w:val="bottom"/>
            <w:shd w:val="clear" w:color="auto" w:fill="CFF0FC"/>
          </w:tcPr>
          <w:p>
            <w:pPr>
              <w:spacing w:after="0"/>
              <w:rPr>
                <w:sz w:val="15"/>
                <w:szCs w:val="15"/>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Latin America</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1,749</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4,992</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4,469</w:t>
            </w:r>
          </w:p>
        </w:tc>
        <w:tc>
          <w:tcPr>
            <w:tcW w:w="120" w:type="dxa"/>
            <w:vAlign w:val="bottom"/>
          </w:tcPr>
          <w:p>
            <w:pPr>
              <w:spacing w:after="0"/>
              <w:rPr>
                <w:sz w:val="16"/>
                <w:szCs w:val="16"/>
                <w:color w:val="auto"/>
              </w:rPr>
            </w:pPr>
          </w:p>
        </w:tc>
      </w:tr>
      <w:tr>
        <w:trPr>
          <w:trHeight w:val="203"/>
        </w:trPr>
        <w:tc>
          <w:tcPr>
            <w:tcW w:w="544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2,437</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7,078</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7,038</w:t>
            </w:r>
          </w:p>
        </w:tc>
        <w:tc>
          <w:tcPr>
            <w:tcW w:w="120" w:type="dxa"/>
            <w:vAlign w:val="bottom"/>
            <w:shd w:val="clear" w:color="auto" w:fill="CFF0FC"/>
          </w:tcPr>
          <w:p>
            <w:pPr>
              <w:spacing w:after="0"/>
              <w:rPr>
                <w:sz w:val="17"/>
                <w:szCs w:val="17"/>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Middle East &amp; Asia</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2,807</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8,064</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8,983</w:t>
            </w:r>
          </w:p>
        </w:tc>
        <w:tc>
          <w:tcPr>
            <w:tcW w:w="120" w:type="dxa"/>
            <w:vAlign w:val="bottom"/>
          </w:tcPr>
          <w:p>
            <w:pPr>
              <w:spacing w:after="0"/>
              <w:rPr>
                <w:sz w:val="16"/>
                <w:szCs w:val="16"/>
                <w:color w:val="auto"/>
              </w:rPr>
            </w:pPr>
          </w:p>
        </w:tc>
      </w:tr>
      <w:tr>
        <w:trPr>
          <w:trHeight w:val="189"/>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55</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196</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440" w:type="dxa"/>
            <w:vAlign w:val="bottom"/>
          </w:tcPr>
          <w:p>
            <w:pPr>
              <w:spacing w:after="0"/>
              <w:rPr>
                <w:sz w:val="15"/>
                <w:szCs w:val="15"/>
                <w:color w:val="auto"/>
              </w:rPr>
            </w:pPr>
          </w:p>
        </w:tc>
        <w:tc>
          <w:tcPr>
            <w:tcW w:w="800" w:type="dxa"/>
            <w:vAlign w:val="bottom"/>
            <w:gridSpan w:val="2"/>
          </w:tcPr>
          <w:p>
            <w:pPr>
              <w:jc w:val="right"/>
              <w:ind w:right="619"/>
              <w:spacing w:after="0" w:line="183" w:lineRule="exact"/>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9"/>
              </w:rPr>
              <w:t>9,449</w:t>
            </w:r>
          </w:p>
        </w:tc>
        <w:tc>
          <w:tcPr>
            <w:tcW w:w="64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8,928</w:t>
            </w:r>
          </w:p>
        </w:tc>
        <w:tc>
          <w:tcPr>
            <w:tcW w:w="520" w:type="dxa"/>
            <w:vAlign w:val="bottom"/>
            <w:gridSpan w:val="2"/>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27,142</w:t>
            </w:r>
          </w:p>
        </w:tc>
        <w:tc>
          <w:tcPr>
            <w:tcW w:w="640" w:type="dxa"/>
            <w:vAlign w:val="bottom"/>
            <w:gridSpan w:val="2"/>
          </w:tcPr>
          <w:p>
            <w:pPr>
              <w:jc w:val="right"/>
              <w:ind w:right="248"/>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25,963</w:t>
            </w:r>
          </w:p>
        </w:tc>
        <w:tc>
          <w:tcPr>
            <w:tcW w:w="12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-153670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-153670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8"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6"/>
                <w:szCs w:val="16"/>
                <w:b w:val="1"/>
                <w:bCs w:val="1"/>
                <w:color w:val="auto"/>
              </w:rPr>
              <w:t>Third Quarter 2026</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Other</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8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168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523</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693</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1,472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1,634</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579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2,274</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2,888</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1,335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2,642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4,000</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231</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544</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(310)</w:t>
            </w:r>
          </w:p>
        </w:tc>
      </w:tr>
      <w:tr>
        <w:trPr>
          <w:trHeight w:val="183"/>
        </w:trPr>
        <w:tc>
          <w:tcPr>
            <w:tcW w:w="3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2,401</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6,993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9,449</w:t>
            </w:r>
          </w:p>
        </w:tc>
        <w:tc>
          <w:tcPr>
            <w:tcW w:w="120" w:type="dxa"/>
            <w:vAlign w:val="bottom"/>
          </w:tcPr>
          <w:p>
            <w:pPr>
              <w:spacing w:after="0"/>
              <w:rPr>
                <w:sz w:val="15"/>
                <w:szCs w:val="15"/>
                <w:color w:val="auto"/>
              </w:rPr>
            </w:pP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4"/>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color w:val="auto"/>
              </w:rPr>
              <w:t>Third Quarter 2025</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8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500</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658</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1,682</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2,967</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3,474</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1,930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6,916</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8,928</w:t>
            </w:r>
          </w:p>
        </w:tc>
        <w:tc>
          <w:tcPr>
            <w:tcW w:w="120" w:type="dxa"/>
            <w:vAlign w:val="bottom"/>
            <w:shd w:val="clear" w:color="auto" w:fill="CFF0FC"/>
          </w:tcPr>
          <w:p>
            <w:pPr>
              <w:spacing w:after="0"/>
              <w:rPr>
                <w:sz w:val="17"/>
                <w:szCs w:val="17"/>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6"/>
                <w:szCs w:val="16"/>
                <w:b w:val="1"/>
                <w:bCs w:val="1"/>
                <w:color w:val="auto"/>
              </w:rPr>
              <w:t>Nine Months 2026</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8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535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1,492</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721"/>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2,030</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443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4,325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4,783</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1,676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6,624</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8,427</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7,392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11,278</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930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1,492</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(204)</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(629)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(868)</w:t>
            </w:r>
          </w:p>
        </w:tc>
      </w:tr>
      <w:tr>
        <w:trPr>
          <w:trHeight w:val="183"/>
        </w:trPr>
        <w:tc>
          <w:tcPr>
            <w:tcW w:w="3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6,812</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20,134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196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27,142</w:t>
            </w:r>
          </w:p>
        </w:tc>
        <w:tc>
          <w:tcPr>
            <w:tcW w:w="120" w:type="dxa"/>
            <w:vAlign w:val="bottom"/>
          </w:tcPr>
          <w:p>
            <w:pPr>
              <w:spacing w:after="0"/>
              <w:rPr>
                <w:sz w:val="15"/>
                <w:szCs w:val="15"/>
                <w:color w:val="auto"/>
              </w:rPr>
            </w:pP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color w:val="auto"/>
              </w:rPr>
              <w:t>Nine Months 2025</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8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1,377</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721"/>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1,836</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4,633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5,072</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7,146</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9,247</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(642)</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5,303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20,490</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721"/>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170</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25,963</w:t>
            </w:r>
          </w:p>
        </w:tc>
        <w:tc>
          <w:tcPr>
            <w:tcW w:w="120" w:type="dxa"/>
            <w:vAlign w:val="bottom"/>
            <w:shd w:val="clear" w:color="auto" w:fill="CFF0FC"/>
          </w:tcPr>
          <w:p>
            <w:pPr>
              <w:spacing w:after="0"/>
              <w:rPr>
                <w:sz w:val="17"/>
                <w:szCs w:val="17"/>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Significant segment expenses, which represent the difference between segment revenue and pretax segment income,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Third Quarter 2026</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b w:val="1"/>
                <w:bCs w:val="1"/>
                <w:color w:val="auto"/>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Digital</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r>
      <w:tr>
        <w:trPr>
          <w:trHeight w:val="182"/>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840" w:type="dxa"/>
            <w:vAlign w:val="bottom"/>
            <w:shd w:val="clear" w:color="auto" w:fill="CFF0FC"/>
          </w:tcPr>
          <w:p>
            <w:pPr>
              <w:jc w:val="right"/>
              <w:ind w:right="68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7"/>
              </w:rPr>
              <w:t>191</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384</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576</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472</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248</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808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2,302</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118</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188</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456</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642</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840" w:type="dxa"/>
            <w:vAlign w:val="bottom"/>
          </w:tcPr>
          <w:p>
            <w:pPr>
              <w:jc w:val="right"/>
              <w:ind w:right="68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7"/>
              </w:rPr>
              <w:t>499</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1,368</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4"/>
              </w:rPr>
              <w:t>2,413</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3,354</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5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Third Quarter 2025</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color w:val="auto"/>
                <w:w w:val="96"/>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Digital</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840" w:type="dxa"/>
            <w:vAlign w:val="bottom"/>
            <w:shd w:val="clear" w:color="auto" w:fill="CFF0FC"/>
          </w:tcPr>
          <w:p>
            <w:pPr>
              <w:jc w:val="right"/>
              <w:ind w:right="68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7"/>
              </w:rPr>
              <w:t>185</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393</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586</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404</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2,005</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176</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2"/>
        </w:trPr>
        <w:tc>
          <w:tcPr>
            <w:tcW w:w="5780" w:type="dxa"/>
            <w:vAlign w:val="bottom"/>
          </w:tcPr>
          <w:p>
            <w:pPr>
              <w:spacing w:after="0"/>
              <w:rPr>
                <w:sz w:val="15"/>
                <w:szCs w:val="15"/>
                <w:color w:val="auto"/>
              </w:rPr>
            </w:pP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w w:val="97"/>
              </w:rPr>
              <w:t>471</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1,370</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4"/>
              </w:rPr>
              <w:t>2,409</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2,915</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-1636395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-1636395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-1636395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Nine Months 2026</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b w:val="1"/>
                <w:bCs w:val="1"/>
                <w:color w:val="auto"/>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Digital</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566</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1,160</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4"/>
              </w:rPr>
              <w:t>1,737</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1,420</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762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4"/>
              </w:rPr>
              <w:t>2,327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6,445</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348</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458</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265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485</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691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410</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562</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1,274</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1,878</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817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1,508</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4,029</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4"/>
              </w:rPr>
              <w:t>7,112</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9,550</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1"/>
        </w:trPr>
        <w:tc>
          <w:tcPr>
            <w:tcW w:w="5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Nine Months 2025</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color w:val="auto"/>
                <w:w w:val="96"/>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Digital</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557</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1,207</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4"/>
              </w:rPr>
              <w:t>1,781</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877</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879</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2,427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5,526</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487</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1,270</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1,780</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1,371</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4,164</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4"/>
              </w:rPr>
              <w:t>7,210</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7,727</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-1636395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-1636395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-1636395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Other segment expenses include transportation, mobilization, lease, professional fees, and other costs.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$0.6 billion at September 30, 2026 and $0.4 billion at December 31, 2025.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$6.8 billion at September 30, 2026, of which approximately 80% is expected to be recognized as revenue over the next 12 months.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Billings and cash collections in excess of revenue was $2.7 billion at September 30, 2026 and $2.3 billion at December 31, 2025. Such amounts are included within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Third Quarter 2026 Compared to Second Quarter 2026</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Third Quarter 2026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6"/>
                <w:szCs w:val="16"/>
                <w:color w:val="auto"/>
              </w:rPr>
              <w:t>Second Quarter 2026</w:t>
            </w: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39"/>
              <w:spacing w:after="0" w:line="168" w:lineRule="exact"/>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79"/>
              <w:spacing w:after="0" w:line="168" w:lineRule="exact"/>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Before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Before Taxes</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693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194</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697</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194</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1,634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2,888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646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(310)</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(167)</w:t>
            </w:r>
          </w:p>
        </w:tc>
      </w:tr>
      <w:tr>
        <w:trPr>
          <w:trHeight w:val="202"/>
        </w:trPr>
        <w:tc>
          <w:tcPr>
            <w:tcW w:w="356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(204)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w:t>
            </w:r>
          </w:p>
        </w:tc>
      </w:tr>
      <w:tr>
        <w:trPr>
          <w:trHeight w:val="203"/>
        </w:trPr>
        <w:tc>
          <w:tcPr>
            <w:tcW w:w="3560" w:type="dxa"/>
            <w:vAlign w:val="bottom"/>
          </w:tcPr>
          <w:p>
            <w:pPr>
              <w:spacing w:after="0" w:line="203"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r>
      <w:tr>
        <w:trPr>
          <w:trHeight w:val="203"/>
        </w:trPr>
        <w:tc>
          <w:tcPr>
            <w:tcW w:w="356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(133)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9,449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1,019</w:t>
            </w:r>
          </w:p>
        </w:tc>
        <w:tc>
          <w:tcPr>
            <w:tcW w:w="1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8,972</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1,019</w:t>
            </w:r>
          </w:p>
        </w:tc>
        <w:tc>
          <w:tcPr>
            <w:tcW w:w="120" w:type="dxa"/>
            <w:vAlign w:val="bottom"/>
            <w:shd w:val="clear" w:color="auto" w:fill="CFF0FC"/>
          </w:tcPr>
          <w:p>
            <w:pPr>
              <w:spacing w:after="0"/>
              <w:rPr>
                <w:sz w:val="17"/>
                <w:szCs w:val="17"/>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62" w:lineRule="exact"/>
        <w:rPr>
          <w:sz w:val="20"/>
          <w:szCs w:val="20"/>
          <w:color w:val="auto"/>
        </w:rPr>
      </w:pPr>
    </w:p>
    <w:p>
      <w:pPr>
        <w:ind w:left="380" w:hanging="372"/>
        <w:spacing w:after="0" w:line="222" w:lineRule="auto"/>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6"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($4 million in the third quarter of 2026; $5 million in the second quarter of 2026).</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the third quarter of 2026; $- million in the second quarter of 2026).</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Third-quarter 2026 revenue of $9.4 billion increased 5% compared to the second quarter of 2026 with all geographic areas growing sequentially — led by a gradual recovery in the Middle East, growth in North America land and broadening international activity in deepwater offshore basins.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In the Middle East, revenue grew 13% sequentially despite late-quarter disruptions. Outside the region, growth was supported by higher activity in U.S. Land, highlighted by ChampionX achieving its highest quarterly revenue since the acquisition in July 2025.</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Energy security and supply shocks continue to drive a quest for international supply diversification, reserve replacement and sustained production — driving a distinct upcycle, despite near-term uncertainty in the Middle East.</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SLB's international outlook continues to strengthen, driven by deepwater momentum across Latin America, Europe, Sub-Saharan Africa and Asia, underscored by recent SLB OneSubsea contract awards. Furthermore, international diversification is accelerating as major U.S. shale operators expand abroad and partner with national oil companies across global basins.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Digital revenue of $693 million decreased 1% sequentially, primarily reflecting a $48 million decrease in Digital Exploration revenue following strong sales of exploration data licenses and transfer fees in Brazil and Indonesia in the prior quarter. This decline was largely offset by higher Platforms &amp; Applications sales and continued growth in Digital Operations.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Digital pretax operating margin of 28% increased 27 basis points (bps) sequentially, primarily due to improved profitability in Platforms &amp; Applications and Digital Operations, partially offset by lower profitability in Digital Exploration following reduced sales of exploration data licenses and transfer fees.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Reservoir Performance revenue of $1.6 billion increased 5% sequentially, driven by higher intervention, evaluation and stimulation services, particularly in the Middle East.</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Reservoir Performance pretax operating margin of 16% increased 140 bps sequentially, driven by improved profitability in the Middle East as operations recovered, particularly across evaluation, stimulation and intervention services.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Well Construction revenue of $2.9 billion increased 5% sequentially, driven by higher drilling activity in the Middle East, led by strong drilling fluids sales and increased drilling measurements activity.</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Well Construction pretax operating margin of 16% increased 122 bps sequentially, driven primarily by improved profitability in the Middle East as operations recovered during the quarter.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231F20"/>
        </w:rPr>
        <w:t>Production Systems revenue of $4.0 billion increased 6% sequentially, driven by higher sales of completions, production chemicals and artificial lift in the Middle East, as well as stronger SLB OneSubsea revenue in Europe &amp; Africa.</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Production Systems pretax operating margin of 16%, increased 60 bps sequentially driven by improved profitability in SLB OneSubsea, artificial lift, completions and production chemicals, supported by the recovery in Middle East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w:t>
      </w:r>
    </w:p>
    <w:p>
      <w:pPr>
        <w:spacing w:after="0" w:line="11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All Other revenue of $544 million increased $39 million sequentially driven by strong growth in Data Center Solutions, where revenue increased 23% or $44 million.</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All Other pretax operating income of $136 million decreased $6 million sequentially as ramp-up costs associated with new Data Center Solutions projects impacted profitability.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Nine Months 2026 Compared to Nine Months 2025</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Nine Months 2026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6"/>
                <w:szCs w:val="16"/>
                <w:color w:val="auto"/>
              </w:rPr>
              <w:t>Nine Months 2025</w:t>
            </w:r>
          </w:p>
        </w:tc>
      </w:tr>
      <w:tr>
        <w:trPr>
          <w:trHeight w:val="168"/>
        </w:trPr>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59"/>
              <w:spacing w:after="0" w:line="168" w:lineRule="exact"/>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39"/>
              <w:spacing w:after="0" w:line="168" w:lineRule="exact"/>
              <w:rPr>
                <w:sz w:val="20"/>
                <w:szCs w:val="20"/>
                <w:color w:val="auto"/>
              </w:rPr>
            </w:pPr>
            <w:r>
              <w:rPr>
                <w:rFonts w:ascii="Arial" w:cs="Arial" w:eastAsia="Arial" w:hAnsi="Arial"/>
                <w:sz w:val="16"/>
                <w:szCs w:val="16"/>
                <w:color w:val="auto"/>
                <w:w w:val="99"/>
              </w:rPr>
              <w:t>Income</w:t>
            </w:r>
          </w:p>
        </w:tc>
        <w:tc>
          <w:tcPr>
            <w:tcW w:w="120" w:type="dxa"/>
            <w:vAlign w:val="bottom"/>
          </w:tcPr>
          <w:p>
            <w:pPr>
              <w:spacing w:after="0"/>
              <w:rPr>
                <w:sz w:val="14"/>
                <w:szCs w:val="14"/>
                <w:color w:val="auto"/>
              </w:rPr>
            </w:pPr>
          </w:p>
        </w:tc>
      </w:tr>
      <w:tr>
        <w:trPr>
          <w:trHeight w:val="203"/>
        </w:trPr>
        <w:tc>
          <w:tcPr>
            <w:tcW w:w="3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Before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Before Taxes</w:t>
            </w:r>
          </w:p>
        </w:tc>
        <w:tc>
          <w:tcPr>
            <w:tcW w:w="120" w:type="dxa"/>
            <w:vAlign w:val="bottom"/>
          </w:tcPr>
          <w:p>
            <w:pPr>
              <w:spacing w:after="0"/>
              <w:rPr>
                <w:sz w:val="17"/>
                <w:szCs w:val="17"/>
                <w:color w:val="auto"/>
              </w:rPr>
            </w:pPr>
          </w:p>
        </w:tc>
      </w:tr>
      <w:tr>
        <w:trPr>
          <w:trHeight w:val="183"/>
        </w:trPr>
        <w:tc>
          <w:tcPr>
            <w:tcW w:w="3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1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2,030</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522</w:t>
            </w:r>
          </w:p>
        </w:tc>
        <w:tc>
          <w:tcPr>
            <w:tcW w:w="1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465</w:t>
            </w:r>
          </w:p>
        </w:tc>
        <w:tc>
          <w:tcPr>
            <w:tcW w:w="120" w:type="dxa"/>
            <w:vAlign w:val="bottom"/>
            <w:shd w:val="clear" w:color="auto" w:fill="CFF0FC"/>
          </w:tcPr>
          <w:p>
            <w:pPr>
              <w:spacing w:after="0"/>
              <w:rPr>
                <w:sz w:val="15"/>
                <w:szCs w:val="15"/>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color w:val="auto"/>
              </w:rPr>
              <w:t>Reservoir Performance</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4,783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754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5,072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6"/>
                <w:szCs w:val="16"/>
                <w:color w:val="auto"/>
              </w:rPr>
            </w:pPr>
          </w:p>
        </w:tc>
      </w:tr>
      <w:tr>
        <w:trPr>
          <w:trHeight w:val="18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8,427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1,315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w:t>
            </w:r>
          </w:p>
        </w:tc>
        <w:tc>
          <w:tcPr>
            <w:tcW w:w="120" w:type="dxa"/>
            <w:vAlign w:val="bottom"/>
            <w:shd w:val="clear" w:color="auto" w:fill="CFF0FC"/>
          </w:tcPr>
          <w:p>
            <w:pPr>
              <w:spacing w:after="0"/>
              <w:rPr>
                <w:sz w:val="16"/>
                <w:szCs w:val="16"/>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color w:val="auto"/>
              </w:rPr>
              <w:t>Production Systems</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11,278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1,728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16"/>
                <w:szCs w:val="16"/>
                <w:color w:val="auto"/>
              </w:rPr>
            </w:pPr>
          </w:p>
        </w:tc>
      </w:tr>
      <w:tr>
        <w:trPr>
          <w:trHeight w:val="18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FF0FC"/>
          </w:tcPr>
          <w:p>
            <w:pPr>
              <w:spacing w:after="0"/>
              <w:rPr>
                <w:sz w:val="16"/>
                <w:szCs w:val="16"/>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(239)</w:t>
            </w:r>
          </w:p>
        </w:tc>
      </w:tr>
      <w:tr>
        <w:trPr>
          <w:trHeight w:val="203"/>
        </w:trPr>
        <w:tc>
          <w:tcPr>
            <w:tcW w:w="358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(643)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(550)</w:t>
            </w: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7"/>
                <w:szCs w:val="17"/>
                <w:color w:val="auto"/>
              </w:rPr>
            </w:pPr>
          </w:p>
        </w:tc>
      </w:tr>
      <w:tr>
        <w:trPr>
          <w:trHeight w:val="203"/>
        </w:trPr>
        <w:tc>
          <w:tcPr>
            <w:tcW w:w="3580" w:type="dxa"/>
            <w:vAlign w:val="bottom"/>
            <w:shd w:val="clear" w:color="auto" w:fill="CFF0FC"/>
          </w:tcPr>
          <w:p>
            <w:pPr>
              <w:spacing w:after="0" w:line="203"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(377)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(425)</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(546)</w:t>
            </w:r>
          </w:p>
        </w:tc>
      </w:tr>
      <w:tr>
        <w:trPr>
          <w:trHeight w:val="20"/>
        </w:trPr>
        <w:tc>
          <w:tcPr>
            <w:tcW w:w="3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27,142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2,994</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25,963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3,348</w:t>
            </w:r>
          </w:p>
        </w:tc>
        <w:tc>
          <w:tcPr>
            <w:tcW w:w="120" w:type="dxa"/>
            <w:vAlign w:val="bottom"/>
            <w:shd w:val="clear" w:color="auto" w:fill="CFF0FC"/>
          </w:tcPr>
          <w:p>
            <w:pPr>
              <w:spacing w:after="0"/>
              <w:rPr>
                <w:sz w:val="17"/>
                <w:szCs w:val="17"/>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1" w:lineRule="exact"/>
        <w:rPr>
          <w:sz w:val="20"/>
          <w:szCs w:val="20"/>
          <w:color w:val="auto"/>
        </w:rPr>
      </w:pPr>
    </w:p>
    <w:p>
      <w:pPr>
        <w:ind w:left="380" w:hanging="372"/>
        <w:spacing w:after="0" w:line="222" w:lineRule="auto"/>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6"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($14 million in 2026; $1 million in 2025).</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2026; $6 million in 2025).</w:t>
      </w:r>
    </w:p>
    <w:p>
      <w:pPr>
        <w:spacing w:after="0" w:line="10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Nine-month 2026 revenue of $27.1 billion increased 5% or $1.2 billion year on year. Excluding the impact of the ChampionX acquisition in the third quarter last year, revenue declined year on year by 4% or $0.9 billion. This decrease was largely attributable to a 16%, or $1.1 billion, decline in revenue in the Middle East due to operational disruptions related to the conflict in the region.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Digital revenue of $2.0 billion increased 11%, or $194 million, year on year driven by a $152 million increase in Digital Operations and $53 million of higher sales of exploration data licenses and transfer fees.</w:t>
      </w:r>
    </w:p>
    <w:p>
      <w:pPr>
        <w:spacing w:after="0" w:line="12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231F20"/>
        </w:rPr>
        <w:t>Digital pretax operating margin of 26% increased 41 bps year on year driven by higher Digital Exploration sales and improved profitability in Digital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Reservoir Performance revenue of $4.8 billion decreased 6% year on year due to lower stimulation and intervention activity, primarily driven by operational disruptions caused by the Middle East conflict.</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Reservoir Performance pretax operating margin of 16% contracted 212 bps year on year primarily due to the operational disruptions caused by the Middle East conflict.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231F20"/>
        </w:rPr>
        <w:t>Well Construction revenue of $8.4 billion decreased 5% year on year primarily due to lower activity resulting from the Middle East conflict.</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Well Construction pretax operating margin of 16% contracted 346 bps year on year primarily due to lower profitability as a result of the Middle East conflict compounded by pricing headwinds in select markets.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231F20"/>
        </w:rPr>
        <w:t>Production Systems revenue of $11.3 billion increased 22% year on year from the acquired ChampionX production chemicals and artificial lift businesses. Excluding the impact of the acquisition, Production Systems revenue for the first nine months of 2026 was essentially flat year on year as the decline in the Middle East was offset by growth in other regions.</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231F20"/>
        </w:rPr>
        <w:t>Production Systems pretax operating margin of 15% decreased 111 bps year on year primarily due to lower profitability in surface production systems, SLB OneSubsea and completions.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All Other revenue of $1.5 billion decreased $50 million year on year. The absence of $215 million in APS revenue following the divestiture of the Palliser asset in Canada in the second quarter of 2025 was offset by a $226 million increase in Data Center Solutions revenue. The remaining decrease was primarily attributable to reduced revenue in SLB Capturi.</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All Other pretax operating income of $391 million decreased $23 million due to lower profitability in APS projects following the Palliser divestiture partially offset by higher profitability in Data Center Solutions as a result of the higher revenue.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Expense</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Interest expense of $377 million for the first nine months of 2026 decreased by $55 million as compared to the same period of 2025. This decrease was primarily driven by lower average outstanding commercial paper borrowings in the first nine months of 2026 as compared to the same period of 2025.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&amp; Other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45"/>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color w:val="auto"/>
                <w:w w:val="99"/>
              </w:rPr>
              <w:t>Second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Third Quarter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w w:val="99"/>
              </w:rPr>
              <w:t>Quarter</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line="183" w:lineRule="exact"/>
              <w:rPr>
                <w:sz w:val="20"/>
                <w:szCs w:val="20"/>
                <w:color w:val="auto"/>
              </w:rPr>
            </w:pPr>
            <w:r>
              <w:rPr>
                <w:rFonts w:ascii="Arial" w:cs="Arial" w:eastAsia="Arial" w:hAnsi="Arial"/>
                <w:sz w:val="16"/>
                <w:szCs w:val="16"/>
                <w:color w:val="auto"/>
              </w:rPr>
              <w:t>2026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Earnings of equity method investments</w:t>
            </w:r>
          </w:p>
        </w:tc>
        <w:tc>
          <w:tcPr>
            <w:tcW w:w="240" w:type="dxa"/>
            <w:vAlign w:val="bottom"/>
            <w:gridSpan w:val="2"/>
            <w:shd w:val="clear" w:color="auto" w:fill="CFF0FC"/>
          </w:tcPr>
          <w:p>
            <w:pPr>
              <w:jc w:val="right"/>
              <w:ind w:right="9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43</w:t>
            </w:r>
          </w:p>
        </w:tc>
        <w:tc>
          <w:tcPr>
            <w:tcW w:w="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w:t>
            </w:r>
          </w:p>
        </w:tc>
        <w:tc>
          <w:tcPr>
            <w:tcW w:w="480" w:type="dxa"/>
            <w:vAlign w:val="bottom"/>
            <w:gridSpan w:val="2"/>
            <w:shd w:val="clear" w:color="auto" w:fill="CFF0FC"/>
          </w:tcPr>
          <w:p>
            <w:pPr>
              <w:jc w:val="right"/>
              <w:ind w:right="84"/>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80</w:t>
            </w:r>
          </w:p>
        </w:tc>
        <w:tc>
          <w:tcPr>
            <w:tcW w:w="620" w:type="dxa"/>
            <w:vAlign w:val="bottom"/>
            <w:gridSpan w:val="2"/>
            <w:shd w:val="clear" w:color="auto" w:fill="CFF0FC"/>
          </w:tcPr>
          <w:p>
            <w:pPr>
              <w:jc w:val="right"/>
              <w:ind w:right="224"/>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Interest income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Gain on sale of Palliser APS project</w:t>
            </w:r>
          </w:p>
        </w:tc>
        <w:tc>
          <w:tcPr>
            <w:tcW w:w="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68</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187</w:t>
            </w: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decrease in earnings of equity method investments for the first nine months of 2026 as compared to the same period of 2025 was primarily associated with equity investments in rig-related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 </w:t>
      </w:r>
      <w:r>
        <w:rPr>
          <w:rFonts w:ascii="Arial" w:cs="Arial" w:eastAsia="Arial" w:hAnsi="Arial"/>
          <w:sz w:val="16"/>
          <w:szCs w:val="16"/>
          <w:color w:val="auto"/>
        </w:rPr>
        <w:t>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b w:val="1"/>
                <w:bCs w:val="1"/>
                <w:color w:val="auto"/>
              </w:rPr>
              <w:t>Third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rPr>
              <w:t>Second</w:t>
            </w:r>
          </w:p>
        </w:tc>
        <w:tc>
          <w:tcPr>
            <w:tcW w:w="1820" w:type="dxa"/>
            <w:vAlign w:val="bottom"/>
            <w:gridSpan w:val="3"/>
            <w:vMerge w:val="restart"/>
          </w:tcPr>
          <w:p>
            <w:pPr>
              <w:ind w:left="820"/>
              <w:spacing w:after="0"/>
              <w:rPr>
                <w:sz w:val="20"/>
                <w:szCs w:val="20"/>
                <w:color w:val="auto"/>
              </w:rPr>
            </w:pPr>
            <w:r>
              <w:rPr>
                <w:rFonts w:ascii="Arial" w:cs="Arial" w:eastAsia="Arial" w:hAnsi="Arial"/>
                <w:sz w:val="16"/>
                <w:szCs w:val="16"/>
                <w:b w:val="1"/>
                <w:bCs w:val="1"/>
                <w:color w:val="auto"/>
              </w:rPr>
              <w:t>Nine Months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b w:val="1"/>
                <w:bCs w:val="1"/>
                <w:color w:val="auto"/>
              </w:rPr>
              <w:t>Quarter</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rPr>
              <w:t>Quarter</w:t>
            </w:r>
          </w:p>
        </w:tc>
        <w:tc>
          <w:tcPr>
            <w:tcW w:w="182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900" w:type="dxa"/>
            <w:vAlign w:val="bottom"/>
            <w:tcBorders>
              <w:bottom w:val="single" w:sz="8" w:color="auto"/>
            </w:tcBorders>
          </w:tcPr>
          <w:p>
            <w:pPr>
              <w:jc w:val="center"/>
              <w:ind w:left="179"/>
              <w:spacing w:after="0" w:line="183" w:lineRule="exact"/>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2026</w:t>
            </w:r>
          </w:p>
        </w:tc>
        <w:tc>
          <w:tcPr>
            <w:tcW w:w="280" w:type="dxa"/>
            <w:vAlign w:val="bottom"/>
          </w:tcPr>
          <w:p>
            <w:pPr>
              <w:spacing w:after="0"/>
              <w:rPr>
                <w:sz w:val="15"/>
                <w:szCs w:val="15"/>
                <w:color w:val="auto"/>
              </w:rPr>
            </w:pPr>
          </w:p>
        </w:tc>
        <w:tc>
          <w:tcPr>
            <w:tcW w:w="11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2026</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Research &amp; engineering</w:t>
            </w:r>
          </w:p>
        </w:tc>
        <w:tc>
          <w:tcPr>
            <w:tcW w:w="5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1.7%</w:t>
            </w:r>
          </w:p>
        </w:tc>
        <w:tc>
          <w:tcPr>
            <w:tcW w:w="1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1.9%</w:t>
            </w:r>
          </w:p>
        </w:tc>
        <w:tc>
          <w:tcPr>
            <w:tcW w:w="14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1.8%</w:t>
            </w:r>
          </w:p>
        </w:tc>
        <w:tc>
          <w:tcPr>
            <w:tcW w:w="4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6"/>
                <w:szCs w:val="16"/>
                <w:color w:val="auto"/>
              </w:rPr>
              <w:t>General &amp; administrative</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0.9%</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0.9%</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w:t>
            </w: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5540" w:right="1740" w:hanging="5525"/>
        <w:spacing w:after="0" w:line="568" w:lineRule="auto"/>
        <w:rPr>
          <w:sz w:val="20"/>
          <w:szCs w:val="20"/>
          <w:color w:val="auto"/>
        </w:rPr>
      </w:pPr>
      <w:r>
        <w:rPr>
          <w:rFonts w:ascii="Arial" w:cs="Arial" w:eastAsia="Arial" w:hAnsi="Arial"/>
          <w:sz w:val="16"/>
          <w:szCs w:val="16"/>
          <w:color w:val="auto"/>
        </w:rPr>
        <w:t>The effective tax rate was 23% for the third quarter of 2026 as compared to 20% for the second quarter of 2026. The increase in the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6"/>
          <w:szCs w:val="16"/>
          <w:color w:val="auto"/>
        </w:rPr>
        <w:t xml:space="preserve">effective tax rate was primarily due to the $187 million pension settlement charge recorded during the third quarter of 2026, described in Note 2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which is not tax deductible. The effective tax rate for both the first nine months of 2026 and 2025 was 21%.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1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SLB recorded charges and credits during the first nine months of 2026 and 2025. These charges and credits, which are summarized below,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4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3"/>
        </w:trPr>
        <w:tc>
          <w:tcPr>
            <w:tcW w:w="44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13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15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Third quarter:</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120"/>
              <w:spacing w:after="0"/>
              <w:rPr>
                <w:sz w:val="20"/>
                <w:szCs w:val="20"/>
                <w:color w:val="auto"/>
              </w:rPr>
            </w:pPr>
            <w:r>
              <w:rPr>
                <w:rFonts w:ascii="Arial" w:cs="Arial" w:eastAsia="Arial" w:hAnsi="Arial"/>
                <w:sz w:val="16"/>
                <w:szCs w:val="16"/>
                <w:color w:val="auto"/>
              </w:rPr>
              <w:t>Pension settlement charge</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Merger and integration</w:t>
            </w:r>
          </w:p>
        </w:tc>
        <w:tc>
          <w:tcPr>
            <w:tcW w:w="13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352</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6"/>
                <w:szCs w:val="16"/>
                <w:b w:val="1"/>
                <w:bCs w:val="1"/>
                <w:color w:val="auto"/>
              </w:rPr>
              <w:t>2025:</w:t>
            </w: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4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72"/>
        </w:trPr>
        <w:tc>
          <w:tcPr>
            <w:tcW w:w="4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3"/>
        </w:trPr>
        <w:tc>
          <w:tcPr>
            <w:tcW w:w="44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13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5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20"/>
                <w:szCs w:val="20"/>
                <w:color w:val="auto"/>
              </w:rPr>
            </w:pPr>
            <w:r>
              <w:rPr>
                <w:rFonts w:ascii="Arial" w:cs="Arial" w:eastAsia="Arial" w:hAnsi="Arial"/>
                <w:sz w:val="16"/>
                <w:szCs w:val="16"/>
                <w:i w:val="1"/>
                <w:iCs w:val="1"/>
                <w:color w:val="auto"/>
              </w:rPr>
              <w:t>Second quarter:</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Impairment of equity method investment</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Gain on sale of Palliser APS project</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Third quarter:</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Amortization of inventory fair value adjustment</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Acquisition-related professional fees</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Acquisition-related employee benefits</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60"/>
              <w:spacing w:after="0"/>
              <w:rPr>
                <w:sz w:val="20"/>
                <w:szCs w:val="20"/>
                <w:color w:val="auto"/>
              </w:rPr>
            </w:pPr>
            <w:r>
              <w:rPr>
                <w:rFonts w:ascii="Arial" w:cs="Arial" w:eastAsia="Arial" w:hAnsi="Arial"/>
                <w:sz w:val="16"/>
                <w:szCs w:val="16"/>
                <w:color w:val="auto"/>
              </w:rPr>
              <w:t>Impairment of equity-method investment</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13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546</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4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45"/>
        </w:trPr>
        <w:tc>
          <w:tcPr>
            <w:tcW w:w="6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Sept.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Sept. 30,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b w:val="1"/>
                <w:bCs w:val="1"/>
                <w:color w:val="auto"/>
              </w:rPr>
              <w:t>Components of Liquidity:</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2025</w:t>
            </w:r>
          </w:p>
        </w:tc>
        <w:tc>
          <w:tcPr>
            <w:tcW w:w="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w:t>
            </w:r>
          </w:p>
        </w:tc>
        <w:tc>
          <w:tcPr>
            <w:tcW w:w="6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2,621</w:t>
            </w:r>
          </w:p>
        </w:tc>
        <w:tc>
          <w:tcPr>
            <w:tcW w:w="16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3,014</w:t>
            </w:r>
          </w:p>
        </w:tc>
        <w:tc>
          <w:tcPr>
            <w:tcW w:w="180" w:type="dxa"/>
            <w:vAlign w:val="bottom"/>
            <w:tcBorders>
              <w:left w:val="single" w:sz="8" w:color="CFF0FC"/>
            </w:tcBorders>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Short-term investments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930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571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(1,653)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(1,923)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Long-term debt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(11,147)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39"/>
              <w:spacing w:after="0"/>
              <w:rPr>
                <w:sz w:val="20"/>
                <w:szCs w:val="20"/>
                <w:color w:val="auto"/>
              </w:rPr>
            </w:pPr>
            <w:r>
              <w:rPr>
                <w:rFonts w:ascii="Arial" w:cs="Arial" w:eastAsia="Arial" w:hAnsi="Arial"/>
                <w:sz w:val="16"/>
                <w:szCs w:val="16"/>
                <w:color w:val="auto"/>
              </w:rPr>
              <w:t>(10,843)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(9,742)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Net debt </w:t>
            </w:r>
            <w:r>
              <w:rPr>
                <w:rFonts w:ascii="Arial" w:cs="Arial" w:eastAsia="Arial" w:hAnsi="Arial"/>
                <w:sz w:val="21"/>
                <w:szCs w:val="21"/>
                <w:color w:val="auto"/>
                <w:vertAlign w:val="superscript"/>
              </w:rPr>
              <w:t>(1)</w:t>
            </w:r>
          </w:p>
        </w:tc>
        <w:tc>
          <w:tcPr>
            <w:tcW w:w="6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gridSpan w:val="3"/>
            <w:shd w:val="clear" w:color="auto" w:fill="CFF0FC"/>
          </w:tcPr>
          <w:p>
            <w:pPr>
              <w:jc w:val="right"/>
              <w:ind w:right="100"/>
              <w:spacing w:after="0" w:line="183" w:lineRule="exact"/>
              <w:rPr>
                <w:sz w:val="20"/>
                <w:szCs w:val="20"/>
                <w:color w:val="auto"/>
              </w:rPr>
            </w:pPr>
            <w:r>
              <w:rPr>
                <w:rFonts w:ascii="Arial" w:cs="Arial" w:eastAsia="Arial" w:hAnsi="Arial"/>
                <w:sz w:val="16"/>
                <w:szCs w:val="16"/>
                <w:b w:val="1"/>
                <w:bCs w:val="1"/>
                <w:color w:val="auto"/>
              </w:rPr>
              <w:t>(9,249)</w:t>
            </w:r>
          </w:p>
        </w:tc>
        <w:tc>
          <w:tcPr>
            <w:tcW w:w="34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00" w:type="dxa"/>
            <w:vAlign w:val="bottom"/>
            <w:gridSpan w:val="3"/>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(9,181)</w:t>
            </w:r>
          </w:p>
        </w:tc>
        <w:tc>
          <w:tcPr>
            <w:tcW w:w="2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(7,424)</w:t>
            </w: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140" w:type="dxa"/>
            <w:vAlign w:val="bottom"/>
            <w:vMerge w:val="restart"/>
          </w:tcPr>
          <w:p>
            <w:pPr>
              <w:spacing w:after="0"/>
              <w:rPr>
                <w:sz w:val="20"/>
                <w:szCs w:val="20"/>
                <w:color w:val="auto"/>
              </w:rPr>
            </w:pPr>
            <w:r>
              <w:rPr>
                <w:rFonts w:ascii="Arial" w:cs="Arial" w:eastAsia="Arial" w:hAnsi="Arial"/>
                <w:sz w:val="16"/>
                <w:szCs w:val="16"/>
                <w:b w:val="1"/>
                <w:bCs w:val="1"/>
                <w:color w:val="auto"/>
              </w:rPr>
              <w:t>Changes in Liquidity:</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8"/>
          </w:tcPr>
          <w:p>
            <w:pPr>
              <w:ind w:left="80"/>
              <w:spacing w:after="0"/>
              <w:rPr>
                <w:sz w:val="20"/>
                <w:szCs w:val="20"/>
                <w:color w:val="auto"/>
              </w:rPr>
            </w:pPr>
            <w:r>
              <w:rPr>
                <w:rFonts w:ascii="Arial" w:cs="Arial" w:eastAsia="Arial" w:hAnsi="Arial"/>
                <w:sz w:val="16"/>
                <w:szCs w:val="16"/>
                <w:b w:val="1"/>
                <w:bCs w:val="1"/>
                <w:color w:val="auto"/>
              </w:rPr>
              <w:t>Nine Months Ended Sept. 30,</w:t>
            </w: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3"/>
          </w:tcPr>
          <w:p>
            <w:pPr>
              <w:ind w:left="200"/>
              <w:spacing w:after="0" w:line="183" w:lineRule="exact"/>
              <w:rPr>
                <w:sz w:val="20"/>
                <w:szCs w:val="20"/>
                <w:color w:val="auto"/>
              </w:rPr>
            </w:pPr>
            <w:r>
              <w:rPr>
                <w:rFonts w:ascii="Arial" w:cs="Arial" w:eastAsia="Arial" w:hAnsi="Arial"/>
                <w:sz w:val="16"/>
                <w:szCs w:val="16"/>
                <w:b w:val="1"/>
                <w:bCs w:val="1"/>
                <w:color w:val="auto"/>
              </w:rPr>
              <w:t>2026</w:t>
            </w: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2,356</w:t>
            </w:r>
          </w:p>
        </w:tc>
        <w:tc>
          <w:tcPr>
            <w:tcW w:w="28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line="203"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2,095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Non-cash pension settlement expense</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Gain on sale of Palliser APS project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Impairment of equity method investment</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Earnings of equity method investments, less dividends received</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Deferred taxes</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(27)</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Increase in working capital</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(1,546)</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Other</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 from operations</w:t>
            </w:r>
          </w:p>
        </w:tc>
        <w:tc>
          <w:tcPr>
            <w:tcW w:w="4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3,356</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left w:val="single" w:sz="8" w:color="CFF0FC"/>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40" w:type="dxa"/>
            <w:vAlign w:val="bottom"/>
          </w:tcPr>
          <w:p>
            <w:pPr>
              <w:spacing w:after="0" w:line="183" w:lineRule="exact"/>
              <w:rPr>
                <w:sz w:val="20"/>
                <w:szCs w:val="20"/>
                <w:color w:val="auto"/>
              </w:rPr>
            </w:pPr>
            <w:r>
              <w:rPr>
                <w:rFonts w:ascii="Arial" w:cs="Arial" w:eastAsia="Arial" w:hAnsi="Arial"/>
                <w:sz w:val="16"/>
                <w:szCs w:val="16"/>
                <w:color w:val="auto"/>
              </w:rPr>
              <w:t>Capital expenditures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(1,287)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APS investments</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(340)</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Exploration data costs capitalized</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4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1,521</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left w:val="single" w:sz="8" w:color="CFF0FC"/>
              <w:bottom w:val="single" w:sz="8" w:color="auto"/>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1,826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40" w:type="dxa"/>
            <w:vAlign w:val="bottom"/>
          </w:tcPr>
          <w:p>
            <w:pPr>
              <w:spacing w:after="0" w:line="183" w:lineRule="exact"/>
              <w:rPr>
                <w:sz w:val="20"/>
                <w:szCs w:val="20"/>
                <w:color w:val="auto"/>
              </w:rPr>
            </w:pPr>
            <w:r>
              <w:rPr>
                <w:rFonts w:ascii="Arial" w:cs="Arial" w:eastAsia="Arial" w:hAnsi="Arial"/>
                <w:sz w:val="16"/>
                <w:szCs w:val="16"/>
                <w:color w:val="auto"/>
              </w:rPr>
              <w:t>Stock repurchase program</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(1,755)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(2,414)</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Dividends paid</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(1,305)</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Proceeds from employee stock purchase plan</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120</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Net debt assumed in connection with ChampionX acquisition</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investments, net of cash acquired and debt assumed</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(583)</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Proceeds from the sale of Palliser APS project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ChampionX Drilling Technologies business</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Purchase of Blue Chip Swap securities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Blue Chip securities</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Taxes paid on net settled stock-based compensation awards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(99)</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40" w:type="dxa"/>
            <w:vAlign w:val="bottom"/>
          </w:tcPr>
          <w:p>
            <w:pPr>
              <w:spacing w:after="0" w:line="183" w:lineRule="exact"/>
              <w:rPr>
                <w:sz w:val="20"/>
                <w:szCs w:val="20"/>
                <w:color w:val="auto"/>
              </w:rPr>
            </w:pPr>
            <w:r>
              <w:rPr>
                <w:rFonts w:ascii="Arial" w:cs="Arial" w:eastAsia="Arial" w:hAnsi="Arial"/>
                <w:sz w:val="16"/>
                <w:szCs w:val="16"/>
                <w:b w:val="1"/>
                <w:bCs w:val="1"/>
                <w:color w:val="auto"/>
              </w:rPr>
              <w:t>Increase in net debt before impact of changes in foreign exchange rates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(1,945)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Impact of changes in foreign exchange rates on net debt</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120</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40" w:type="dxa"/>
            <w:vAlign w:val="bottom"/>
          </w:tcPr>
          <w:p>
            <w:pPr>
              <w:spacing w:after="0" w:line="183" w:lineRule="exact"/>
              <w:rPr>
                <w:sz w:val="20"/>
                <w:szCs w:val="20"/>
                <w:color w:val="auto"/>
              </w:rPr>
            </w:pPr>
            <w:r>
              <w:rPr>
                <w:rFonts w:ascii="Arial" w:cs="Arial" w:eastAsia="Arial" w:hAnsi="Arial"/>
                <w:sz w:val="16"/>
                <w:szCs w:val="16"/>
                <w:b w:val="1"/>
                <w:bCs w:val="1"/>
                <w:color w:val="auto"/>
              </w:rPr>
              <w:t>Increase in net debt</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(1,825)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Net debt, beginning of period</w:t>
            </w: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(7,424)</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(7,405)</w:t>
            </w:r>
          </w:p>
        </w:tc>
        <w:tc>
          <w:tcPr>
            <w:tcW w:w="0" w:type="dxa"/>
            <w:vAlign w:val="bottom"/>
          </w:tcPr>
          <w:p>
            <w:pPr>
              <w:spacing w:after="0"/>
              <w:rPr>
                <w:sz w:val="1"/>
                <w:szCs w:val="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40" w:type="dxa"/>
            <w:vAlign w:val="bottom"/>
          </w:tcPr>
          <w:p>
            <w:pPr>
              <w:spacing w:after="0" w:line="169" w:lineRule="exact"/>
              <w:rPr>
                <w:sz w:val="20"/>
                <w:szCs w:val="20"/>
                <w:color w:val="auto"/>
              </w:rPr>
            </w:pPr>
            <w:r>
              <w:rPr>
                <w:rFonts w:ascii="Arial" w:cs="Arial" w:eastAsia="Arial" w:hAnsi="Arial"/>
                <w:sz w:val="16"/>
                <w:szCs w:val="16"/>
                <w:b w:val="1"/>
                <w:bCs w:val="1"/>
                <w:color w:val="auto"/>
              </w:rPr>
              <w:t>Net debt, end of period</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69" w:lineRule="exact"/>
              <w:rPr>
                <w:sz w:val="20"/>
                <w:szCs w:val="20"/>
                <w:color w:val="auto"/>
              </w:rPr>
            </w:pPr>
            <w:r>
              <w:rPr>
                <w:rFonts w:ascii="Arial" w:cs="Arial" w:eastAsia="Arial" w:hAnsi="Arial"/>
                <w:sz w:val="16"/>
                <w:szCs w:val="16"/>
                <w:b w:val="1"/>
                <w:bCs w:val="1"/>
                <w:color w:val="auto"/>
              </w:rPr>
              <w:t>(9,249)</w:t>
            </w:r>
          </w:p>
        </w:tc>
        <w:tc>
          <w:tcPr>
            <w:tcW w:w="18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(9,181)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-4457065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-4439920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-4457065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-4439920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-4457065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-2596515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-2099310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-650875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-402590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left="380" w:hanging="372"/>
        <w:spacing w:after="0" w:line="228"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65"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133" w:lineRule="exact"/>
        <w:rPr>
          <w:rFonts w:ascii="Arial" w:cs="Arial" w:eastAsia="Arial" w:hAnsi="Arial"/>
          <w:sz w:val="19"/>
          <w:szCs w:val="19"/>
          <w:color w:val="auto"/>
          <w:vertAlign w:val="superscript"/>
        </w:rPr>
      </w:pPr>
    </w:p>
    <w:p>
      <w:pPr>
        <w:jc w:val="both"/>
        <w:ind w:left="380" w:hanging="372"/>
        <w:spacing w:after="0" w:line="233"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Key liquidity events during the first nine months of 2026 and 2025 included:</w:t>
      </w:r>
    </w:p>
    <w:p>
      <w:pPr>
        <w:spacing w:after="0" w:line="113" w:lineRule="exact"/>
        <w:rPr>
          <w:sz w:val="20"/>
          <w:szCs w:val="20"/>
          <w:color w:val="auto"/>
        </w:rPr>
      </w:pPr>
    </w:p>
    <w:p>
      <w:pPr>
        <w:jc w:val="both"/>
        <w:ind w:left="380" w:hanging="372"/>
        <w:spacing w:after="0" w:line="266" w:lineRule="auto"/>
        <w:tabs>
          <w:tab w:leader="none" w:pos="3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investments (consisting of capital expenditures, APS investments and exploration data costs capitalized) were $1.8 billion during the first nine months of 2026 compared to $1.7 billion during the first nine months of 2025. Capital investments for the full year 2026 are expected to be approximately $2.5 billion.</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2026, SLB announced a 3.5% increase to its quarterly cash dividend from $0.285 per share of outstanding common stock to $0.295 per share, beginning with the dividend payable in April 2026. Dividends paid during the first nine months of 2026 and 2025 were $1.3 billion and $1.2 billion, respectively.</w:t>
      </w:r>
    </w:p>
    <w:p>
      <w:pPr>
        <w:spacing w:after="0" w:line="62" w:lineRule="exact"/>
        <w:rPr>
          <w:rFonts w:ascii="Times New Roman" w:cs="Times New Roman" w:eastAsia="Times New Roman" w:hAnsi="Times New Roman"/>
          <w:sz w:val="16"/>
          <w:szCs w:val="16"/>
          <w:color w:val="auto"/>
        </w:rPr>
      </w:pPr>
    </w:p>
    <w:p>
      <w:pPr>
        <w:ind w:left="380" w:right="20" w:hanging="372"/>
        <w:spacing w:after="0" w:line="285" w:lineRule="auto"/>
        <w:tabs>
          <w:tab w:leader="none" w:pos="3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2026, SLB issued $500 million of 4.55% Senior Notes due 2031, $500 million of 4.80% Senior Notes due 2033, and $1.0 billion of 5.15% Senior Notes due 2036.</w:t>
      </w:r>
    </w:p>
    <w:p>
      <w:pPr>
        <w:spacing w:after="0" w:line="48"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As of September 30, 2026, SLB had cumulatively repurchased approximately $7.6 billion of SLB common stock under its $10 billion share repurchase program.</w:t>
      </w:r>
    </w:p>
    <w:p>
      <w:pPr>
        <w:spacing w:after="0" w:line="12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The following table summarizes the activity under the share repurchase program: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45"/>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Total cost</w:t>
            </w:r>
          </w:p>
        </w:tc>
        <w:tc>
          <w:tcPr>
            <w:tcW w:w="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Average price</w:t>
            </w:r>
          </w:p>
        </w:tc>
      </w:tr>
      <w:tr>
        <w:trPr>
          <w:trHeight w:val="189"/>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paid per</w:t>
            </w:r>
          </w:p>
        </w:tc>
      </w:tr>
      <w:tr>
        <w:trPr>
          <w:trHeight w:val="203"/>
        </w:trPr>
        <w:tc>
          <w:tcPr>
            <w:tcW w:w="6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purchased</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share</w:t>
            </w:r>
          </w:p>
        </w:tc>
        <w:tc>
          <w:tcPr>
            <w:tcW w:w="100" w:type="dxa"/>
            <w:vAlign w:val="bottom"/>
          </w:tcPr>
          <w:p>
            <w:pPr>
              <w:spacing w:after="0"/>
              <w:rPr>
                <w:sz w:val="17"/>
                <w:szCs w:val="17"/>
                <w:color w:val="auto"/>
              </w:rPr>
            </w:pPr>
          </w:p>
        </w:tc>
      </w:tr>
      <w:tr>
        <w:trPr>
          <w:trHeight w:val="183"/>
        </w:trPr>
        <w:tc>
          <w:tcPr>
            <w:tcW w:w="63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Nine months ended September 30, 2026</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1,755</w:t>
            </w:r>
          </w:p>
        </w:tc>
        <w:tc>
          <w:tcPr>
            <w:tcW w:w="15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34.0</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51.57</w:t>
            </w:r>
          </w:p>
        </w:tc>
        <w:tc>
          <w:tcPr>
            <w:tcW w:w="100" w:type="dxa"/>
            <w:vAlign w:val="bottom"/>
            <w:shd w:val="clear" w:color="auto" w:fill="CFF0FC"/>
          </w:tcPr>
          <w:p>
            <w:pPr>
              <w:spacing w:after="0"/>
              <w:rPr>
                <w:sz w:val="15"/>
                <w:szCs w:val="15"/>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6"/>
                <w:szCs w:val="16"/>
                <w:color w:val="auto"/>
              </w:rPr>
              <w:t>Nine months ended September 30, 2025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2,414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18"/>
                <w:szCs w:val="18"/>
                <w:color w:val="auto"/>
              </w:rPr>
            </w:pPr>
          </w:p>
        </w:tc>
      </w:tr>
    </w:tbl>
    <w:p>
      <w:pPr>
        <w:spacing w:after="0" w:line="68"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of 2025, SLB repaid its $0.5 billion 1.40% Senior Notes due 2025.</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of 2025, SLB fully repaid all the $0.6 billion of debt assumed in connection with the acquisition of ChampionX.</w:t>
      </w:r>
    </w:p>
    <w:p>
      <w:pPr>
        <w:spacing w:after="0" w:line="125"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of 2025 and concurrent with the close of the ChampionX acquisition, the ChampionX Drilling Technologies business was disposed of and SLB received $286 million of proceeds.</w:t>
      </w:r>
    </w:p>
    <w:p>
      <w:pPr>
        <w:spacing w:after="0" w:line="48"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2025, SLB completed the sale of its interest in the Palliser APS project in Canada in exchange for net cash proceeds of $338 million, of which $22 million were received in the third quarter of 2025.</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September 30, 2026, SLB had $3.6 billion of cash and short-term investments on hand and committed debt facility agreements with commercial banks aggregating $5.0 billion, all of which was available. SLB believes these amounts, along with cash generated by ongoing operations, are sufficient to meet future business requirements for the next 12 months and beyond.</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has a global footprint in more than 100 countries. As of September 30, 2026, only three of those countries individually accounted for greater than 5% of SLB’s net receivable balance. Only one of those countries, the United States, represented greater than 10% of such receivables.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August 31, 2026, SLB announced that it signed an agreement to acquire Kelvion, a global provider of thermal management and heat exchange technologies. The acquisition strengthens SLB’s Data Center Solutions business with critical thermal management technologies and expands SLB's role in data center infrastructure, which is one of the world’s fastest-growing industrial and technology markets. Under the terms of the agreement, SLB will acquire Kelvion for approximately $3.4 billion in cash and will assume approximately $0.7 billion of debt. The transaction is subject to customary closing conditions and regulatory approvals and is expected to close in the first half of 2027.</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third-quarter 2026 Form 10-Q,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the benefits of the proposed transaction between SLB and Kelvion and the anticipated timing of such transaction;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6" w:name="page27"/>
    <w:bookmarkEnd w:id="26"/>
    <w:p>
      <w:pPr>
        <w:jc w:val="both"/>
        <w:spacing w:after="0" w:line="249" w:lineRule="auto"/>
        <w:rPr>
          <w:sz w:val="20"/>
          <w:szCs w:val="20"/>
          <w:color w:val="auto"/>
        </w:rPr>
      </w:pPr>
      <w:r>
        <w:rPr>
          <w:rFonts w:ascii="Arial" w:cs="Arial" w:eastAsia="Arial" w:hAnsi="Arial"/>
          <w:sz w:val="16"/>
          <w:szCs w:val="16"/>
          <w:color w:val="auto"/>
        </w:rPr>
        <w:t>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the terms and timing of the proposed transaction between SLB and Kelvion; the ability of SLB and Kelvion to integrate the business successfully and to achieve anticipated synergies and value creation from the proposed transaction; the ability to secure government regulatory approvals on the terms expected, at all or in a timely manner; and other risks and uncertainties detailed in this Form 10-Q and our most recent Form 10-K and Forms 8-K filed with or furnished to the SEC.</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October 28, 2026, and SLB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2025. SLB’s exposure to market risk has not changed materially since December 31, 2025.</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11—Contingencies, in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the date of this filing, there have been no material changes from the risk factors disclosed in Part I, Item 1A, of SLB’s Annual Report on Form 10-K for the fiscal year ended December 31, 2025.</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September 30, 2026, SLB had repurchased approximately $7.6 billion of SLB common stock under this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September 30, 2026 was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345"/>
        </w:trPr>
        <w:tc>
          <w:tcPr>
            <w:tcW w:w="5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Total number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rPr>
              <w:t>Maximum</w:t>
            </w:r>
          </w:p>
        </w:tc>
      </w:tr>
      <w:tr>
        <w:trPr>
          <w:trHeight w:val="189"/>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purchased as</w:t>
            </w:r>
          </w:p>
        </w:tc>
        <w:tc>
          <w:tcPr>
            <w:tcW w:w="26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w w:val="99"/>
              </w:rPr>
              <w:t>value of shares</w:t>
            </w:r>
          </w:p>
        </w:tc>
      </w:tr>
      <w:tr>
        <w:trPr>
          <w:trHeight w:val="189"/>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26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that may yet be</w:t>
            </w:r>
          </w:p>
        </w:tc>
      </w:tr>
      <w:tr>
        <w:trPr>
          <w:trHeight w:val="189"/>
        </w:trPr>
        <w:tc>
          <w:tcPr>
            <w:tcW w:w="54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Total number</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announced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rPr>
              <w:t>purchased</w:t>
            </w:r>
          </w:p>
        </w:tc>
      </w:tr>
      <w:tr>
        <w:trPr>
          <w:trHeight w:val="189"/>
        </w:trPr>
        <w:tc>
          <w:tcPr>
            <w:tcW w:w="54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Average price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plans or</w:t>
            </w:r>
          </w:p>
        </w:tc>
        <w:tc>
          <w:tcPr>
            <w:tcW w:w="26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w w:val="99"/>
              </w:rPr>
              <w:t>under the plans</w:t>
            </w:r>
          </w:p>
        </w:tc>
      </w:tr>
      <w:tr>
        <w:trPr>
          <w:trHeight w:val="203"/>
        </w:trPr>
        <w:tc>
          <w:tcPr>
            <w:tcW w:w="54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9"/>
              </w:rPr>
              <w:t>paid per share</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or programs</w:t>
            </w:r>
          </w:p>
        </w:tc>
        <w:tc>
          <w:tcPr>
            <w:tcW w:w="100" w:type="dxa"/>
            <w:vAlign w:val="bottom"/>
          </w:tcPr>
          <w:p>
            <w:pPr>
              <w:spacing w:after="0"/>
              <w:rPr>
                <w:sz w:val="17"/>
                <w:szCs w:val="17"/>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July 2026</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5,168.7</w:t>
            </w:r>
          </w:p>
        </w:tc>
        <w:tc>
          <w:tcPr>
            <w:tcW w:w="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47.38</w:t>
            </w:r>
          </w:p>
        </w:tc>
        <w:tc>
          <w:tcPr>
            <w:tcW w:w="1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5,168.7</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2,783,546</w:t>
            </w:r>
          </w:p>
        </w:tc>
        <w:tc>
          <w:tcPr>
            <w:tcW w:w="100" w:type="dxa"/>
            <w:vAlign w:val="bottom"/>
            <w:shd w:val="clear" w:color="auto" w:fill="CFF0FC"/>
          </w:tcPr>
          <w:p>
            <w:pPr>
              <w:spacing w:after="0"/>
              <w:rPr>
                <w:sz w:val="15"/>
                <w:szCs w:val="15"/>
                <w:color w:val="auto"/>
              </w:rPr>
            </w:pPr>
          </w:p>
        </w:tc>
      </w:tr>
      <w:tr>
        <w:trPr>
          <w:trHeight w:val="189"/>
        </w:trPr>
        <w:tc>
          <w:tcPr>
            <w:tcW w:w="5420" w:type="dxa"/>
            <w:vAlign w:val="bottom"/>
          </w:tcPr>
          <w:p>
            <w:pPr>
              <w:spacing w:after="0"/>
              <w:rPr>
                <w:sz w:val="20"/>
                <w:szCs w:val="20"/>
                <w:color w:val="auto"/>
              </w:rPr>
            </w:pPr>
            <w:r>
              <w:rPr>
                <w:rFonts w:ascii="Arial" w:cs="Arial" w:eastAsia="Arial" w:hAnsi="Arial"/>
                <w:sz w:val="16"/>
                <w:szCs w:val="16"/>
                <w:color w:val="auto"/>
              </w:rPr>
              <w:t>August 2026</w:t>
            </w:r>
          </w:p>
        </w:tc>
        <w:tc>
          <w:tcPr>
            <w:tcW w:w="1360" w:type="dxa"/>
            <w:vAlign w:val="bottom"/>
          </w:tcPr>
          <w:p>
            <w:pPr>
              <w:jc w:val="right"/>
              <w:spacing w:after="0"/>
              <w:rPr>
                <w:sz w:val="20"/>
                <w:szCs w:val="20"/>
                <w:color w:val="auto"/>
              </w:rPr>
            </w:pPr>
            <w:r>
              <w:rPr>
                <w:rFonts w:ascii="Arial" w:cs="Arial" w:eastAsia="Arial" w:hAnsi="Arial"/>
                <w:sz w:val="16"/>
                <w:szCs w:val="16"/>
                <w:color w:val="auto"/>
              </w:rPr>
              <w:t>3,601.0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52.36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3,601.0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2,595,014</w:t>
            </w:r>
          </w:p>
        </w:tc>
        <w:tc>
          <w:tcPr>
            <w:tcW w:w="100" w:type="dxa"/>
            <w:vAlign w:val="bottom"/>
          </w:tcPr>
          <w:p>
            <w:pPr>
              <w:spacing w:after="0"/>
              <w:rPr>
                <w:sz w:val="16"/>
                <w:szCs w:val="16"/>
                <w:color w:val="auto"/>
              </w:rPr>
            </w:pPr>
          </w:p>
        </w:tc>
      </w:tr>
      <w:tr>
        <w:trPr>
          <w:trHeight w:val="189"/>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September 2026</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4,101.0</w:t>
            </w:r>
          </w:p>
        </w:tc>
        <w:tc>
          <w:tcPr>
            <w:tcW w:w="2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54.39</w:t>
            </w:r>
          </w:p>
        </w:tc>
        <w:tc>
          <w:tcPr>
            <w:tcW w:w="2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4,101.0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2,371,954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4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12,870.7</w:t>
            </w:r>
          </w:p>
        </w:tc>
        <w:tc>
          <w:tcPr>
            <w:tcW w:w="4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51.01</w:t>
            </w:r>
          </w:p>
        </w:tc>
        <w:tc>
          <w:tcPr>
            <w:tcW w:w="1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12,870.7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-153670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2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SLB’s residual transactions or dealings with the government of Iran during the third quarter of 2026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383" w:lineRule="exact"/>
        <w:rPr>
          <w:sz w:val="20"/>
          <w:szCs w:val="20"/>
          <w:color w:val="auto"/>
        </w:rPr>
      </w:pPr>
    </w:p>
    <w:p>
      <w:pPr>
        <w:ind w:left="520" w:right="20"/>
        <w:spacing w:after="0" w:line="286" w:lineRule="auto"/>
        <w:rPr>
          <w:rFonts w:ascii="Arial" w:cs="Arial" w:eastAsia="Arial" w:hAnsi="Arial"/>
          <w:sz w:val="16"/>
          <w:szCs w:val="16"/>
          <w:color w:val="auto"/>
        </w:rPr>
      </w:pPr>
      <w:hyperlink r:id="rId280">
        <w:r>
          <w:rPr>
            <w:rFonts w:ascii="Arial" w:cs="Arial" w:eastAsia="Arial" w:hAnsi="Arial"/>
            <w:sz w:val="16"/>
            <w:szCs w:val="16"/>
            <w:color w:val="auto"/>
          </w:rPr>
          <w:t>Exhibit 3.1—Articles of Incorporation of SLB N.V. (SLB Limited) (incorporated by reference to Exhibit 3.1 to SLB’s Quarterly Report on Form 10-Q for</w:t>
        </w:r>
      </w:hyperlink>
      <w:r>
        <w:rPr>
          <w:rFonts w:ascii="Arial" w:cs="Arial" w:eastAsia="Arial" w:hAnsi="Arial"/>
          <w:sz w:val="16"/>
          <w:szCs w:val="16"/>
          <w:color w:val="auto"/>
        </w:rPr>
        <w:t xml:space="preserve"> </w:t>
      </w:r>
      <w:hyperlink r:id="rId280">
        <w:r>
          <w:rPr>
            <w:rFonts w:ascii="Arial" w:cs="Arial" w:eastAsia="Arial" w:hAnsi="Arial"/>
            <w:sz w:val="16"/>
            <w:szCs w:val="16"/>
            <w:color w:val="auto"/>
          </w:rPr>
          <w:t>the quarter ended September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-165735</wp:posOffset>
            </wp:positionV>
            <wp:extent cx="62179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217920"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18357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835785" cy="8255"/>
                    </a:xfrm>
                    <a:prstGeom prst="rect">
                      <a:avLst/>
                    </a:prstGeom>
                    <a:noFill/>
                  </pic:spPr>
                </pic:pic>
              </a:graphicData>
            </a:graphic>
          </wp:anchor>
        </w:drawing>
      </w:r>
    </w:p>
    <w:p>
      <w:pPr>
        <w:spacing w:after="0" w:line="109" w:lineRule="exact"/>
        <w:rPr>
          <w:sz w:val="20"/>
          <w:szCs w:val="20"/>
          <w:color w:val="auto"/>
        </w:rPr>
      </w:pPr>
    </w:p>
    <w:p>
      <w:pPr>
        <w:ind w:left="520" w:right="20"/>
        <w:spacing w:after="0" w:line="286" w:lineRule="auto"/>
        <w:rPr>
          <w:rFonts w:ascii="Arial" w:cs="Arial" w:eastAsia="Arial" w:hAnsi="Arial"/>
          <w:sz w:val="16"/>
          <w:szCs w:val="16"/>
          <w:color w:val="auto"/>
        </w:rPr>
      </w:pPr>
      <w:hyperlink r:id="rId283">
        <w:r>
          <w:rPr>
            <w:rFonts w:ascii="Arial" w:cs="Arial" w:eastAsia="Arial" w:hAnsi="Arial"/>
            <w:sz w:val="16"/>
            <w:szCs w:val="16"/>
            <w:color w:val="auto"/>
          </w:rPr>
          <w:t>Exhibit 3.2—Amended and Restated By-Laws of SLB N.V. (SLB Limited) (incorporated by reference to Exhibit 3.2 to SLB’s Quarterly Report on Form</w:t>
        </w:r>
      </w:hyperlink>
      <w:r>
        <w:rPr>
          <w:rFonts w:ascii="Arial" w:cs="Arial" w:eastAsia="Arial" w:hAnsi="Arial"/>
          <w:sz w:val="16"/>
          <w:szCs w:val="16"/>
          <w:color w:val="auto"/>
        </w:rPr>
        <w:t xml:space="preserve"> </w:t>
      </w:r>
      <w:hyperlink r:id="rId283">
        <w:r>
          <w:rPr>
            <w:rFonts w:ascii="Arial" w:cs="Arial" w:eastAsia="Arial" w:hAnsi="Arial"/>
            <w:sz w:val="16"/>
            <w:szCs w:val="16"/>
            <w:color w:val="auto"/>
          </w:rPr>
          <w:t>10-Q for the quarter ended September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-165735</wp:posOffset>
            </wp:positionV>
            <wp:extent cx="62179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6217920"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22415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2241550" cy="8255"/>
                    </a:xfrm>
                    <a:prstGeom prst="rect">
                      <a:avLst/>
                    </a:prstGeom>
                    <a:noFill/>
                  </pic:spPr>
                </pic:pic>
              </a:graphicData>
            </a:graphic>
          </wp:anchor>
        </w:drawing>
      </w:r>
    </w:p>
    <w:p>
      <w:pPr>
        <w:spacing w:after="0" w:line="109" w:lineRule="exact"/>
        <w:rPr>
          <w:sz w:val="20"/>
          <w:szCs w:val="20"/>
          <w:color w:val="auto"/>
        </w:rPr>
      </w:pPr>
    </w:p>
    <w:p>
      <w:pPr>
        <w:ind w:left="620" w:hanging="103"/>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Exhibit 22—Issuers of Registered Guaranteed Debt Securities</w:t>
      </w:r>
    </w:p>
    <w:p>
      <w:pPr>
        <w:spacing w:after="0" w:line="194" w:lineRule="exact"/>
        <w:rPr>
          <w:rFonts w:ascii="Arial" w:cs="Arial" w:eastAsia="Arial" w:hAnsi="Arial"/>
          <w:sz w:val="16"/>
          <w:szCs w:val="16"/>
          <w:color w:val="auto"/>
        </w:rPr>
      </w:pPr>
    </w:p>
    <w:p>
      <w:pPr>
        <w:ind w:left="520" w:right="20" w:hanging="3"/>
        <w:spacing w:after="0" w:line="286" w:lineRule="auto"/>
        <w:tabs>
          <w:tab w:leader="none" w:pos="6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Exhibit 31.1—Certification of Chief Executive Officer pursuant to Rule 13a-14(a) of the Securities Exchange Act of 1934, as amended, as adopted pursuant to Section 302 of the Sarbanes-Oxley Act of 2002</w:t>
      </w:r>
    </w:p>
    <w:p>
      <w:pPr>
        <w:spacing w:after="0" w:line="128" w:lineRule="exact"/>
        <w:rPr>
          <w:rFonts w:ascii="Arial" w:cs="Arial" w:eastAsia="Arial" w:hAnsi="Arial"/>
          <w:sz w:val="16"/>
          <w:szCs w:val="16"/>
          <w:color w:val="auto"/>
        </w:rPr>
      </w:pPr>
    </w:p>
    <w:p>
      <w:pPr>
        <w:ind w:left="520" w:right="20" w:hanging="3"/>
        <w:spacing w:after="0" w:line="286" w:lineRule="auto"/>
        <w:tabs>
          <w:tab w:leader="none" w:pos="6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Exhibit 31.2—Certification of Chief Financial Officer pursuant to Rule 13a-14(a)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-765810</wp:posOffset>
            </wp:positionV>
            <wp:extent cx="2270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2270125"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-525780</wp:posOffset>
            </wp:positionV>
            <wp:extent cx="60839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-405765</wp:posOffset>
            </wp:positionV>
            <wp:extent cx="2687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2687320" cy="8890"/>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-165735</wp:posOffset>
            </wp:positionV>
            <wp:extent cx="60839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2687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09" w:lineRule="exact"/>
        <w:rPr>
          <w:sz w:val="20"/>
          <w:szCs w:val="20"/>
          <w:color w:val="auto"/>
        </w:rPr>
      </w:pPr>
    </w:p>
    <w:p>
      <w:pPr>
        <w:ind w:left="520" w:hanging="3"/>
        <w:spacing w:after="0" w:line="286"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Exhibit 32.1—Certification of Chief Executive Officer pursuant to 18 U.S.C. Section 1350, as adopted pursuant to Section 906 of the Sarbanes-Oxley Act of 2002</w:t>
      </w:r>
    </w:p>
    <w:p>
      <w:pPr>
        <w:spacing w:after="0" w:line="128" w:lineRule="exact"/>
        <w:rPr>
          <w:rFonts w:ascii="Arial" w:cs="Arial" w:eastAsia="Arial" w:hAnsi="Arial"/>
          <w:sz w:val="16"/>
          <w:szCs w:val="16"/>
          <w:color w:val="auto"/>
        </w:rPr>
      </w:pPr>
    </w:p>
    <w:p>
      <w:pPr>
        <w:ind w:left="520" w:hanging="3"/>
        <w:spacing w:after="0" w:line="286"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Exhibit 32.2—Certification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-525780</wp:posOffset>
            </wp:positionV>
            <wp:extent cx="60382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603821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-405765</wp:posOffset>
            </wp:positionV>
            <wp:extent cx="8115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81153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-165735</wp:posOffset>
            </wp:positionV>
            <wp:extent cx="60382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603821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8115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109" w:lineRule="exact"/>
        <w:rPr>
          <w:sz w:val="20"/>
          <w:szCs w:val="20"/>
          <w:color w:val="auto"/>
        </w:rPr>
      </w:pPr>
    </w:p>
    <w:p>
      <w:pPr>
        <w:ind w:left="620" w:hanging="103"/>
        <w:spacing w:after="0"/>
        <w:tabs>
          <w:tab w:leader="none" w:pos="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Exhibit 95—Mine Safety Disclosures</w:t>
      </w:r>
    </w:p>
    <w:p>
      <w:pPr>
        <w:spacing w:after="0" w:line="194" w:lineRule="exact"/>
        <w:rPr>
          <w:rFonts w:ascii="Arial" w:cs="Arial" w:eastAsia="Arial" w:hAnsi="Arial"/>
          <w:sz w:val="16"/>
          <w:szCs w:val="16"/>
          <w:color w:val="auto"/>
        </w:rPr>
      </w:pPr>
    </w:p>
    <w:p>
      <w:pPr>
        <w:ind w:left="520" w:hanging="3"/>
        <w:spacing w:after="0" w:line="286" w:lineRule="auto"/>
        <w:tabs>
          <w:tab w:leader="none" w:pos="643"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28" w:lineRule="exact"/>
        <w:rPr>
          <w:rFonts w:ascii="Arial" w:cs="Arial" w:eastAsia="Arial" w:hAnsi="Arial"/>
          <w:sz w:val="16"/>
          <w:szCs w:val="16"/>
          <w:color w:val="auto"/>
        </w:rPr>
      </w:pPr>
    </w:p>
    <w:p>
      <w:pPr>
        <w:ind w:left="620" w:hanging="103"/>
        <w:spacing w:after="0"/>
        <w:tabs>
          <w:tab w:leader="none" w:pos="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194" w:lineRule="exact"/>
        <w:rPr>
          <w:rFonts w:ascii="Arial" w:cs="Arial" w:eastAsia="Arial" w:hAnsi="Arial"/>
          <w:sz w:val="16"/>
          <w:szCs w:val="16"/>
          <w:color w:val="auto"/>
        </w:rPr>
      </w:pPr>
    </w:p>
    <w:p>
      <w:pPr>
        <w:ind w:right="4000" w:firstLine="517"/>
        <w:spacing w:after="0" w:line="440" w:lineRule="auto"/>
        <w:tabs>
          <w:tab w:leader="none" w:pos="61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 * Filed with this Form 10-Q.</w:t>
      </w:r>
    </w:p>
    <w:p>
      <w:pPr>
        <w:ind w:left="180" w:hanging="172"/>
        <w:spacing w:after="0"/>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-1273175</wp:posOffset>
            </wp:positionV>
            <wp:extent cx="11029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SLB LIMITED</w:t>
      </w:r>
    </w:p>
    <w:p>
      <w:pPr>
        <w:spacing w:after="0" w:line="235" w:lineRule="exact"/>
        <w:rPr>
          <w:sz w:val="20"/>
          <w:szCs w:val="20"/>
          <w:color w:val="auto"/>
        </w:rPr>
      </w:pPr>
    </w:p>
    <w:p>
      <w:pPr>
        <w:spacing w:after="0"/>
        <w:tabs>
          <w:tab w:leader="none" w:pos="560" w:val="left"/>
          <w:tab w:leader="none" w:pos="5720" w:val="left"/>
        </w:tabs>
        <w:rPr>
          <w:sz w:val="20"/>
          <w:szCs w:val="20"/>
          <w:color w:val="auto"/>
        </w:rPr>
      </w:pPr>
      <w:r>
        <w:rPr>
          <w:rFonts w:ascii="Arial" w:cs="Arial" w:eastAsia="Arial" w:hAnsi="Arial"/>
          <w:sz w:val="16"/>
          <w:szCs w:val="16"/>
          <w:color w:val="auto"/>
        </w:rPr>
        <w:t>Date:</w:t>
        <w:tab/>
        <w:t>October 28, 2026</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12065</wp:posOffset>
            </wp:positionV>
            <wp:extent cx="3488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Howard Guild</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is an indirect wholly-owned subsidiary of SLB Limited (the “Guarantor”).</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September 30, 2026, SISA was the issuer of its 4.500% Senior Notes due 2028, 2.650% Senior Notes due 2030, 4.550% Senior Notes due 2031, 4.800% Senior Notes due 2033, 4.850% Senior Notes due 2033, 5.000% Senior Notes due 2034, and 5.150% Senior Notes due 2036 (together, the “SISA Notes”). The Guarantor fully and unconditionally guarantees the SISA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1544955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SLB N.V. (SLB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40" w:hanging="513"/>
        <w:spacing w:after="0" w:line="28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Date: October 28, 2026</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12065</wp:posOffset>
            </wp:positionV>
            <wp:extent cx="2854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2" w:name="page33"/>
    <w:bookmarkEnd w:id="32"/>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SLB N.V. (SLB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60" w:hanging="513"/>
        <w:spacing w:after="0" w:line="28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October 28, 2026</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12065</wp:posOffset>
            </wp:positionV>
            <wp:extent cx="28460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Stephane Biguet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3" w:name="page34"/>
    <w:bookmarkEnd w:id="33"/>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SLB N.V. (SLB Limited) (the “Company”) for the quarterly period ended September 30, 2026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Date: October 28, 2026</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Chief Executive Officer</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SLB Limited and will be retained by SLB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4" w:name="page35"/>
    <w:bookmarkEnd w:id="34"/>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SLB N.V. (SLB Limited) (the “Company”) for the quarterly period ended September 30, 2026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Date: October 28, 2026</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Stephane Biguet</w:t>
      </w:r>
    </w:p>
    <w:p>
      <w:pPr>
        <w:spacing w:after="0" w:line="3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Executive Vice President and Chief Financial Officer</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SLB Limited and will be retained by SLB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5" w:name="page36"/>
    <w:bookmarkEnd w:id="35"/>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SLB. The disclosure is with respect to the three months ended September 30, 2026. Due to timing and other factors, the data may not agree with the mine data retrieval system maintained by the MSHA at www.MSHA.gov.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September 30, 2026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20" w:type="dxa"/>
            <w:vAlign w:val="bottom"/>
          </w:tcPr>
          <w:p>
            <w:pPr>
              <w:jc w:val="center"/>
              <w:spacing w:after="0"/>
              <w:rPr>
                <w:sz w:val="20"/>
                <w:szCs w:val="20"/>
                <w:color w:val="auto"/>
              </w:rPr>
            </w:pPr>
            <w:r>
              <w:rPr>
                <w:rFonts w:ascii="Arial" w:cs="Arial" w:eastAsia="Arial" w:hAnsi="Arial"/>
                <w:sz w:val="14"/>
                <w:szCs w:val="14"/>
                <w:color w:val="auto"/>
              </w:rPr>
              <w:t>Legal</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00" w:type="dxa"/>
            <w:vAlign w:val="bottom"/>
          </w:tcPr>
          <w:p>
            <w:pPr>
              <w:jc w:val="center"/>
              <w:spacing w:after="0"/>
              <w:rPr>
                <w:sz w:val="20"/>
                <w:szCs w:val="20"/>
                <w:color w:val="auto"/>
              </w:rPr>
            </w:pPr>
            <w:r>
              <w:rPr>
                <w:rFonts w:ascii="Arial" w:cs="Arial" w:eastAsia="Arial" w:hAnsi="Arial"/>
                <w:sz w:val="14"/>
                <w:szCs w:val="14"/>
                <w:color w:val="auto"/>
              </w:rPr>
              <w:t>Total</w:t>
            </w:r>
          </w:p>
        </w:tc>
        <w:tc>
          <w:tcPr>
            <w:tcW w:w="76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2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20" w:type="dxa"/>
            <w:vAlign w:val="bottom"/>
          </w:tcPr>
          <w:p>
            <w:pPr>
              <w:jc w:val="center"/>
              <w:spacing w:after="0"/>
              <w:rPr>
                <w:sz w:val="20"/>
                <w:szCs w:val="20"/>
                <w:color w:val="auto"/>
              </w:rPr>
            </w:pPr>
            <w:r>
              <w:rPr>
                <w:rFonts w:ascii="Arial" w:cs="Arial" w:eastAsia="Arial" w:hAnsi="Arial"/>
                <w:sz w:val="14"/>
                <w:szCs w:val="14"/>
                <w:color w:val="auto"/>
              </w:rPr>
              <w:t>Legal</w:t>
            </w: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00" w:type="dxa"/>
            <w:vAlign w:val="bottom"/>
          </w:tcPr>
          <w:p>
            <w:pPr>
              <w:jc w:val="center"/>
              <w:spacing w:after="0"/>
              <w:rPr>
                <w:sz w:val="20"/>
                <w:szCs w:val="20"/>
                <w:color w:val="auto"/>
              </w:rPr>
            </w:pPr>
            <w:r>
              <w:rPr>
                <w:rFonts w:ascii="Arial" w:cs="Arial" w:eastAsia="Arial" w:hAnsi="Arial"/>
                <w:sz w:val="14"/>
                <w:szCs w:val="14"/>
                <w:color w:val="auto"/>
              </w:rPr>
              <w:t>Number</w:t>
            </w:r>
          </w:p>
        </w:tc>
        <w:tc>
          <w:tcPr>
            <w:tcW w:w="760" w:type="dxa"/>
            <w:vAlign w:val="bottom"/>
          </w:tcPr>
          <w:p>
            <w:pPr>
              <w:jc w:val="center"/>
              <w:spacing w:after="0"/>
              <w:rPr>
                <w:sz w:val="20"/>
                <w:szCs w:val="20"/>
                <w:color w:val="auto"/>
              </w:rPr>
            </w:pPr>
            <w:r>
              <w:rPr>
                <w:rFonts w:ascii="Arial" w:cs="Arial" w:eastAsia="Arial" w:hAnsi="Arial"/>
                <w:sz w:val="14"/>
                <w:szCs w:val="14"/>
                <w:color w:val="auto"/>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20" w:type="dxa"/>
            <w:vAlign w:val="bottom"/>
          </w:tcPr>
          <w:p>
            <w:pPr>
              <w:jc w:val="center"/>
              <w:spacing w:after="0"/>
              <w:rPr>
                <w:sz w:val="20"/>
                <w:szCs w:val="20"/>
                <w:color w:val="auto"/>
              </w:rPr>
            </w:pPr>
            <w:r>
              <w:rPr>
                <w:rFonts w:ascii="Arial" w:cs="Arial" w:eastAsia="Arial" w:hAnsi="Arial"/>
                <w:sz w:val="14"/>
                <w:szCs w:val="14"/>
                <w:color w:val="auto"/>
              </w:rPr>
              <w:t>of Last Day</w:t>
            </w:r>
          </w:p>
        </w:tc>
        <w:tc>
          <w:tcPr>
            <w:tcW w:w="6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2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44"/>
        </w:trPr>
        <w:tc>
          <w:tcPr>
            <w:tcW w:w="2960" w:type="dxa"/>
            <w:vAlign w:val="bottom"/>
            <w:gridSpan w:val="2"/>
          </w:tcPr>
          <w:p>
            <w:pPr>
              <w:spacing w:after="0" w:line="145" w:lineRule="exact"/>
              <w:rPr>
                <w:sz w:val="20"/>
                <w:szCs w:val="20"/>
                <w:color w:val="auto"/>
              </w:rPr>
            </w:pPr>
            <w:r>
              <w:rPr>
                <w:rFonts w:ascii="Arial" w:cs="Arial" w:eastAsia="Arial" w:hAnsi="Arial"/>
                <w:sz w:val="14"/>
                <w:szCs w:val="14"/>
                <w:color w:val="auto"/>
              </w:rPr>
              <w:t>Mine or Operating Name/ MSHA Section 104</w:t>
            </w:r>
          </w:p>
        </w:tc>
        <w:tc>
          <w:tcPr>
            <w:tcW w:w="640" w:type="dxa"/>
            <w:vAlign w:val="bottom"/>
          </w:tcPr>
          <w:p>
            <w:pPr>
              <w:ind w:left="80"/>
              <w:spacing w:after="0" w:line="145" w:lineRule="exact"/>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580" w:type="dxa"/>
            <w:vAlign w:val="bottom"/>
          </w:tcPr>
          <w:p>
            <w:pPr>
              <w:ind w:left="60"/>
              <w:spacing w:after="0" w:line="145" w:lineRule="exact"/>
              <w:rPr>
                <w:sz w:val="20"/>
                <w:szCs w:val="20"/>
                <w:color w:val="auto"/>
              </w:rPr>
            </w:pPr>
            <w:r>
              <w:rPr>
                <w:rFonts w:ascii="Arial" w:cs="Arial" w:eastAsia="Arial" w:hAnsi="Arial"/>
                <w:sz w:val="14"/>
                <w:szCs w:val="14"/>
                <w:color w:val="auto"/>
              </w:rPr>
              <w:t>Section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rPr>
              <w:t>Assessments</w:t>
            </w:r>
          </w:p>
        </w:tc>
        <w:tc>
          <w:tcPr>
            <w:tcW w:w="700" w:type="dxa"/>
            <w:vAlign w:val="bottom"/>
          </w:tcPr>
          <w:p>
            <w:pPr>
              <w:jc w:val="center"/>
              <w:spacing w:after="0" w:line="145" w:lineRule="exact"/>
              <w:rPr>
                <w:sz w:val="20"/>
                <w:szCs w:val="20"/>
                <w:color w:val="auto"/>
              </w:rPr>
            </w:pPr>
            <w:r>
              <w:rPr>
                <w:rFonts w:ascii="Arial" w:cs="Arial" w:eastAsia="Arial" w:hAnsi="Arial"/>
                <w:sz w:val="14"/>
                <w:szCs w:val="14"/>
                <w:color w:val="auto"/>
              </w:rPr>
              <w:t>of Mining</w:t>
            </w: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104(e)</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9"/>
              </w:rPr>
              <w:t>of Period</w:t>
            </w: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rPr>
              <w:t>Initiated</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Resolved</w:t>
            </w:r>
          </w:p>
        </w:tc>
      </w:tr>
      <w:tr>
        <w:trPr>
          <w:trHeight w:val="180"/>
        </w:trPr>
        <w:tc>
          <w:tcPr>
            <w:tcW w:w="2120" w:type="dxa"/>
            <w:vAlign w:val="bottom"/>
          </w:tcPr>
          <w:p>
            <w:pPr>
              <w:ind w:left="380"/>
              <w:spacing w:after="0"/>
              <w:rPr>
                <w:sz w:val="20"/>
                <w:szCs w:val="20"/>
                <w:color w:val="auto"/>
              </w:rPr>
            </w:pPr>
            <w:r>
              <w:rPr>
                <w:rFonts w:ascii="Arial" w:cs="Arial" w:eastAsia="Arial" w:hAnsi="Arial"/>
                <w:sz w:val="14"/>
                <w:szCs w:val="14"/>
                <w:color w:val="auto"/>
              </w:rPr>
              <w:t>Identification Number</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S&amp;S</w:t>
            </w:r>
          </w:p>
        </w:tc>
        <w:tc>
          <w:tcPr>
            <w:tcW w:w="640" w:type="dxa"/>
            <w:vAlign w:val="bottom"/>
          </w:tcPr>
          <w:p>
            <w:pPr>
              <w:jc w:val="center"/>
              <w:spacing w:after="0"/>
              <w:rPr>
                <w:sz w:val="20"/>
                <w:szCs w:val="20"/>
                <w:color w:val="auto"/>
              </w:rPr>
            </w:pPr>
            <w:r>
              <w:rPr>
                <w:rFonts w:ascii="Arial" w:cs="Arial" w:eastAsia="Arial" w:hAnsi="Arial"/>
                <w:sz w:val="14"/>
                <w:szCs w:val="14"/>
                <w:color w:val="auto"/>
              </w:rPr>
              <w:t>104(b)</w:t>
            </w:r>
          </w:p>
        </w:tc>
        <w:tc>
          <w:tcPr>
            <w:tcW w:w="740" w:type="dxa"/>
            <w:vAlign w:val="bottom"/>
          </w:tcPr>
          <w:p>
            <w:pPr>
              <w:jc w:val="center"/>
              <w:spacing w:after="0"/>
              <w:rPr>
                <w:sz w:val="20"/>
                <w:szCs w:val="20"/>
                <w:color w:val="auto"/>
              </w:rPr>
            </w:pPr>
            <w:r>
              <w:rPr>
                <w:rFonts w:ascii="Arial" w:cs="Arial" w:eastAsia="Arial" w:hAnsi="Arial"/>
                <w:sz w:val="14"/>
                <w:szCs w:val="14"/>
                <w:color w:val="auto"/>
              </w:rPr>
              <w:t>and</w:t>
            </w:r>
          </w:p>
        </w:tc>
        <w:tc>
          <w:tcPr>
            <w:tcW w:w="780" w:type="dxa"/>
            <w:vAlign w:val="bottom"/>
          </w:tcPr>
          <w:p>
            <w:pPr>
              <w:jc w:val="center"/>
              <w:spacing w:after="0"/>
              <w:rPr>
                <w:sz w:val="20"/>
                <w:szCs w:val="20"/>
                <w:color w:val="auto"/>
              </w:rPr>
            </w:pPr>
            <w:r>
              <w:rPr>
                <w:rFonts w:ascii="Arial" w:cs="Arial" w:eastAsia="Arial" w:hAnsi="Arial"/>
                <w:sz w:val="14"/>
                <w:szCs w:val="14"/>
                <w:color w:val="auto"/>
              </w:rPr>
              <w:t>110(b)(2)</w:t>
            </w: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107(a)</w:t>
            </w:r>
          </w:p>
        </w:tc>
        <w:tc>
          <w:tcPr>
            <w:tcW w:w="1060" w:type="dxa"/>
            <w:vAlign w:val="bottom"/>
          </w:tcPr>
          <w:p>
            <w:pPr>
              <w:jc w:val="center"/>
              <w:spacing w:after="0" w:line="180"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104(e)</w:t>
            </w:r>
          </w:p>
        </w:tc>
        <w:tc>
          <w:tcPr>
            <w:tcW w:w="840" w:type="dxa"/>
            <w:vAlign w:val="bottom"/>
          </w:tcPr>
          <w:p>
            <w:pPr>
              <w:jc w:val="center"/>
              <w:spacing w:after="0"/>
              <w:rPr>
                <w:sz w:val="20"/>
                <w:szCs w:val="20"/>
                <w:color w:val="auto"/>
              </w:rPr>
            </w:pPr>
            <w:r>
              <w:rPr>
                <w:rFonts w:ascii="Arial" w:cs="Arial" w:eastAsia="Arial" w:hAnsi="Arial"/>
                <w:sz w:val="14"/>
                <w:szCs w:val="14"/>
                <w:color w:val="auto"/>
              </w:rPr>
              <w:t>(yes/no)</w:t>
            </w:r>
          </w:p>
        </w:tc>
        <w:tc>
          <w:tcPr>
            <w:tcW w:w="8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During</w:t>
            </w:r>
          </w:p>
        </w:tc>
        <w:tc>
          <w:tcPr>
            <w:tcW w:w="720" w:type="dxa"/>
            <w:vAlign w:val="bottom"/>
          </w:tcPr>
          <w:p>
            <w:pPr>
              <w:jc w:val="center"/>
              <w:spacing w:after="0"/>
              <w:rPr>
                <w:sz w:val="20"/>
                <w:szCs w:val="20"/>
                <w:color w:val="auto"/>
              </w:rPr>
            </w:pPr>
            <w:r>
              <w:rPr>
                <w:rFonts w:ascii="Arial" w:cs="Arial" w:eastAsia="Arial" w:hAnsi="Arial"/>
                <w:sz w:val="14"/>
                <w:szCs w:val="14"/>
                <w:color w:val="auto"/>
              </w:rPr>
              <w:t>During</w:t>
            </w:r>
          </w:p>
        </w:tc>
      </w:tr>
      <w:tr>
        <w:trPr>
          <w:trHeight w:val="171"/>
        </w:trPr>
        <w:tc>
          <w:tcPr>
            <w:tcW w:w="2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Orders</w:t>
            </w:r>
          </w:p>
        </w:tc>
        <w:tc>
          <w:tcPr>
            <w:tcW w:w="1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36"/>
        </w:trPr>
        <w:tc>
          <w:tcPr>
            <w:tcW w:w="2120" w:type="dxa"/>
            <w:vAlign w:val="bottom"/>
          </w:tcPr>
          <w:p>
            <w:pPr>
              <w:spacing w:after="0"/>
              <w:rPr>
                <w:sz w:val="20"/>
                <w:szCs w:val="20"/>
                <w:color w:val="auto"/>
              </w:rPr>
            </w:pPr>
            <w:r>
              <w:rPr>
                <w:rFonts w:ascii="Arial" w:cs="Arial" w:eastAsia="Arial" w:hAnsi="Arial"/>
                <w:sz w:val="14"/>
                <w:szCs w:val="14"/>
                <w:color w:val="auto"/>
              </w:rPr>
              <w:t>Amelia Barite Plant/1600825</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8"/>
        </w:trPr>
        <w:tc>
          <w:tcPr>
            <w:tcW w:w="2120" w:type="dxa"/>
            <w:vAlign w:val="bottom"/>
          </w:tcPr>
          <w:p>
            <w:pPr>
              <w:spacing w:after="0"/>
              <w:rPr>
                <w:sz w:val="20"/>
                <w:szCs w:val="20"/>
                <w:color w:val="auto"/>
              </w:rPr>
            </w:pPr>
            <w:r>
              <w:rPr>
                <w:rFonts w:ascii="Arial" w:cs="Arial" w:eastAsia="Arial" w:hAnsi="Arial"/>
                <w:sz w:val="14"/>
                <w:szCs w:val="14"/>
                <w:color w:val="auto"/>
              </w:rPr>
              <w:t>Battle Mountain Grinding</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267</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120" w:type="dxa"/>
            <w:vAlign w:val="bottom"/>
          </w:tcPr>
          <w:p>
            <w:pPr>
              <w:spacing w:after="0"/>
              <w:rPr>
                <w:sz w:val="20"/>
                <w:szCs w:val="20"/>
                <w:color w:val="auto"/>
              </w:rPr>
            </w:pPr>
            <w:r>
              <w:rPr>
                <w:rFonts w:ascii="Arial" w:cs="Arial" w:eastAsia="Arial" w:hAnsi="Arial"/>
                <w:sz w:val="14"/>
                <w:szCs w:val="14"/>
                <w:color w:val="auto"/>
              </w:rPr>
              <w:t>Plant/2600828</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Greystone Mine/2600411</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8"/>
        </w:trPr>
        <w:tc>
          <w:tcPr>
            <w:tcW w:w="2120" w:type="dxa"/>
            <w:vAlign w:val="bottom"/>
          </w:tcPr>
          <w:p>
            <w:pPr>
              <w:spacing w:after="0"/>
              <w:rPr>
                <w:sz w:val="20"/>
                <w:szCs w:val="20"/>
                <w:color w:val="auto"/>
              </w:rPr>
            </w:pPr>
            <w:r>
              <w:rPr>
                <w:rFonts w:ascii="Arial" w:cs="Arial" w:eastAsia="Arial" w:hAnsi="Arial"/>
                <w:sz w:val="14"/>
                <w:szCs w:val="14"/>
                <w:color w:val="auto"/>
              </w:rPr>
              <w:t>Mountain Springs Beneficiation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120" w:type="dxa"/>
            <w:vAlign w:val="bottom"/>
          </w:tcPr>
          <w:p>
            <w:pPr>
              <w:spacing w:after="0"/>
              <w:rPr>
                <w:sz w:val="20"/>
                <w:szCs w:val="20"/>
                <w:color w:val="auto"/>
              </w:rPr>
            </w:pPr>
            <w:r>
              <w:rPr>
                <w:rFonts w:ascii="Arial" w:cs="Arial" w:eastAsia="Arial" w:hAnsi="Arial"/>
                <w:sz w:val="14"/>
                <w:szCs w:val="14"/>
                <w:color w:val="auto"/>
              </w:rPr>
              <w:t>Plant/2601390</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1020" w:hanging="503"/>
        <w:spacing w:after="0" w:line="256"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September 30, 2026, regardless of whether the assessment has been challenged or appealed, for citations and orders occurring during the quarter ended September 30, 2026.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1383030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9"/>
    </w:lvl>
  </w:abstractNum>
  <w:abstractNum w:abstractNumId="10">
    <w:nsid w:val="333AB105"/>
    <w:multiLevelType w:val="hybridMultilevel"/>
    <w:lvl w:ilvl="0">
      <w:lvlJc w:val="left"/>
      <w:lvlText w:val="%1."/>
      <w:numFmt w:val="decimal"/>
      <w:start w:val="10"/>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lvl w:ilvl="1">
      <w:lvlJc w:val="left"/>
      <w:lvlText w:val="*"/>
      <w:numFmt w:val="bullet"/>
      <w:start w:val="1"/>
    </w:lvl>
  </w:abstractNum>
  <w:abstractNum w:abstractNumId="26">
    <w:nsid w:val="3A95F874"/>
    <w:multiLevelType w:val="hybridMultilevel"/>
    <w:lvl w:ilvl="0">
      <w:lvlJc w:val="left"/>
      <w:lvlText w:val="**"/>
      <w:numFmt w:val="bullet"/>
      <w:start w:val="1"/>
    </w:lvl>
    <w:lvl w:ilvl="1">
      <w:lvlJc w:val="left"/>
      <w:lvlText w:val="*"/>
      <w:numFmt w:val="bullet"/>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280" Type="http://schemas.openxmlformats.org/officeDocument/2006/relationships/hyperlink" Target="https://www.sec.gov/Archives/edgar/data/87347/000119312525246028/slb-ex3_1.htm" TargetMode="External"/><Relationship Id="rId283" Type="http://schemas.openxmlformats.org/officeDocument/2006/relationships/hyperlink" Target="https://www.sec.gov/Archives/edgar/data/87347/000119312525246028/slb-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2026-10-28T10:36:02Z</dcterms:created>
  <dcterms:modified xsi:type="dcterms:W3CDTF">2026-10-28T10:36:02Z</dcterms:modified>
</cp:coreProperties>
</file>