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80"/>
        <w:spacing w:after="0"/>
        <w:rPr>
          <w:sz w:val="20"/>
          <w:szCs w:val="20"/>
          <w:color w:val="auto"/>
        </w:rPr>
      </w:pPr>
      <w:r>
        <w:rPr>
          <w:rFonts w:ascii="Arial" w:cs="Arial" w:eastAsia="Arial" w:hAnsi="Arial"/>
          <w:sz w:val="18"/>
          <w:szCs w:val="18"/>
          <w:b w:val="1"/>
          <w:bCs w:val="1"/>
          <w:color w:val="auto"/>
        </w:rPr>
        <w:t>As filed with the Securities and Exchange Commission on April 1, 2016</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333-207260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-629285</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-629285</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4"/>
          <w:szCs w:val="24"/>
          <w:color w:val="auto"/>
        </w:rPr>
      </w:pPr>
    </w:p>
    <w:p>
      <w:pPr>
        <w:jc w:val="center"/>
        <w:ind w:right="100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000"/>
        <w:spacing w:after="0"/>
        <w:rPr>
          <w:sz w:val="20"/>
          <w:szCs w:val="20"/>
          <w:color w:val="auto"/>
        </w:rPr>
      </w:pPr>
      <w:r>
        <w:rPr>
          <w:rFonts w:ascii="Arial" w:cs="Arial" w:eastAsia="Arial" w:hAnsi="Arial"/>
          <w:sz w:val="32"/>
          <w:szCs w:val="32"/>
          <w:b w:val="1"/>
          <w:bCs w:val="1"/>
          <w:color w:val="auto"/>
        </w:rPr>
        <w:t>SECURITIES AND EXCHANGE COMMISSION</w:t>
      </w:r>
    </w:p>
    <w:p>
      <w:pPr>
        <w:ind w:left="3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2234565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000"/>
        <w:spacing w:after="0"/>
        <w:rPr>
          <w:sz w:val="20"/>
          <w:szCs w:val="20"/>
          <w:color w:val="auto"/>
        </w:rPr>
      </w:pPr>
      <w:r>
        <w:rPr>
          <w:rFonts w:ascii="Arial" w:cs="Arial" w:eastAsia="Arial" w:hAnsi="Arial"/>
          <w:sz w:val="32"/>
          <w:szCs w:val="32"/>
          <w:b w:val="1"/>
          <w:bCs w:val="1"/>
          <w:color w:val="auto"/>
        </w:rPr>
        <w:t>POST-EFFECTIVE AMENDMENT NO. 1</w:t>
      </w:r>
    </w:p>
    <w:p>
      <w:pPr>
        <w:spacing w:after="0" w:line="29" w:lineRule="exact"/>
        <w:rPr>
          <w:sz w:val="24"/>
          <w:szCs w:val="24"/>
          <w:color w:val="auto"/>
        </w:rPr>
      </w:pPr>
    </w:p>
    <w:p>
      <w:pPr>
        <w:jc w:val="center"/>
        <w:ind w:right="1000"/>
        <w:spacing w:after="0"/>
        <w:rPr>
          <w:sz w:val="20"/>
          <w:szCs w:val="20"/>
          <w:color w:val="auto"/>
        </w:rPr>
      </w:pPr>
      <w:r>
        <w:rPr>
          <w:rFonts w:ascii="Arial" w:cs="Arial" w:eastAsia="Arial" w:hAnsi="Arial"/>
          <w:sz w:val="32"/>
          <w:szCs w:val="32"/>
          <w:b w:val="1"/>
          <w:bCs w:val="1"/>
          <w:color w:val="auto"/>
        </w:rPr>
        <w:t>ON FORM S-8 TO</w:t>
      </w:r>
    </w:p>
    <w:p>
      <w:pPr>
        <w:jc w:val="center"/>
        <w:ind w:right="1000"/>
        <w:spacing w:after="0" w:line="237" w:lineRule="auto"/>
        <w:rPr>
          <w:sz w:val="20"/>
          <w:szCs w:val="20"/>
          <w:color w:val="auto"/>
        </w:rPr>
      </w:pPr>
      <w:r>
        <w:rPr>
          <w:rFonts w:ascii="Arial" w:cs="Arial" w:eastAsia="Arial" w:hAnsi="Arial"/>
          <w:sz w:val="32"/>
          <w:szCs w:val="32"/>
          <w:b w:val="1"/>
          <w:bCs w:val="1"/>
          <w:color w:val="auto"/>
        </w:rPr>
        <w:t>FORM S-4</w:t>
      </w:r>
    </w:p>
    <w:p>
      <w:pPr>
        <w:jc w:val="center"/>
        <w:ind w:right="1000"/>
        <w:spacing w:after="0"/>
        <w:rPr>
          <w:sz w:val="20"/>
          <w:szCs w:val="20"/>
          <w:color w:val="auto"/>
        </w:rPr>
      </w:pPr>
      <w:r>
        <w:rPr>
          <w:rFonts w:ascii="Arial" w:cs="Arial" w:eastAsia="Arial" w:hAnsi="Arial"/>
          <w:sz w:val="32"/>
          <w:szCs w:val="32"/>
          <w:b w:val="1"/>
          <w:bCs w:val="1"/>
          <w:color w:val="auto"/>
        </w:rPr>
        <w:t>REGISTRATION STATEMENT</w:t>
      </w:r>
    </w:p>
    <w:p>
      <w:pPr>
        <w:jc w:val="center"/>
        <w:ind w:right="1000"/>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000"/>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2234565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000"/>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1000"/>
        <w:spacing w:after="0"/>
        <w:rPr>
          <w:sz w:val="20"/>
          <w:szCs w:val="20"/>
          <w:color w:val="auto"/>
        </w:rPr>
      </w:pPr>
      <w:r>
        <w:rPr>
          <w:rFonts w:ascii="Arial" w:cs="Arial" w:eastAsia="Arial" w:hAnsi="Arial"/>
          <w:sz w:val="43"/>
          <w:szCs w:val="43"/>
          <w:b w:val="1"/>
          <w:bCs w:val="1"/>
          <w:color w:val="auto"/>
        </w:rPr>
        <w:t>(SCHLUMBERGER LIMITED)</w:t>
      </w:r>
    </w:p>
    <w:p>
      <w:pPr>
        <w:ind w:left="2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2234565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3520" w:type="dxa"/>
            <w:vAlign w:val="bottom"/>
          </w:tcPr>
          <w:p>
            <w:pPr>
              <w:jc w:val="center"/>
              <w:ind w:right="1534"/>
              <w:spacing w:after="0"/>
              <w:rPr>
                <w:sz w:val="20"/>
                <w:szCs w:val="20"/>
                <w:color w:val="auto"/>
              </w:rPr>
            </w:pPr>
            <w:r>
              <w:rPr>
                <w:rFonts w:ascii="Arial" w:cs="Arial" w:eastAsia="Arial" w:hAnsi="Arial"/>
                <w:sz w:val="18"/>
                <w:szCs w:val="18"/>
                <w:b w:val="1"/>
                <w:bCs w:val="1"/>
                <w:color w:val="auto"/>
                <w:w w:val="91"/>
              </w:rPr>
              <w:t>Curaçao</w:t>
            </w:r>
          </w:p>
        </w:tc>
        <w:tc>
          <w:tcPr>
            <w:tcW w:w="2380" w:type="dxa"/>
            <w:vAlign w:val="bottom"/>
          </w:tcPr>
          <w:p>
            <w:pPr>
              <w:jc w:val="center"/>
              <w:ind w:left="182"/>
              <w:spacing w:after="0"/>
              <w:rPr>
                <w:sz w:val="20"/>
                <w:szCs w:val="20"/>
                <w:color w:val="auto"/>
              </w:rPr>
            </w:pPr>
            <w:r>
              <w:rPr>
                <w:rFonts w:ascii="Arial" w:cs="Arial" w:eastAsia="Arial" w:hAnsi="Arial"/>
                <w:sz w:val="18"/>
                <w:szCs w:val="18"/>
                <w:b w:val="1"/>
                <w:bCs w:val="1"/>
                <w:color w:val="auto"/>
                <w:w w:val="89"/>
              </w:rPr>
              <w:t>1389</w:t>
            </w:r>
          </w:p>
        </w:tc>
        <w:tc>
          <w:tcPr>
            <w:tcW w:w="3420" w:type="dxa"/>
            <w:vAlign w:val="bottom"/>
          </w:tcPr>
          <w:p>
            <w:pPr>
              <w:jc w:val="center"/>
              <w:ind w:left="1894"/>
              <w:spacing w:after="0"/>
              <w:rPr>
                <w:sz w:val="20"/>
                <w:szCs w:val="20"/>
                <w:color w:val="auto"/>
              </w:rPr>
            </w:pPr>
            <w:r>
              <w:rPr>
                <w:rFonts w:ascii="Arial" w:cs="Arial" w:eastAsia="Arial" w:hAnsi="Arial"/>
                <w:sz w:val="18"/>
                <w:szCs w:val="18"/>
                <w:b w:val="1"/>
                <w:bCs w:val="1"/>
                <w:color w:val="auto"/>
                <w:w w:val="91"/>
              </w:rPr>
              <w:t>52-0684746</w:t>
            </w:r>
          </w:p>
        </w:tc>
        <w:tc>
          <w:tcPr>
            <w:tcW w:w="0" w:type="dxa"/>
            <w:vAlign w:val="bottom"/>
          </w:tcPr>
          <w:p>
            <w:pPr>
              <w:spacing w:after="0"/>
              <w:rPr>
                <w:sz w:val="1"/>
                <w:szCs w:val="1"/>
                <w:color w:val="auto"/>
              </w:rPr>
            </w:pPr>
          </w:p>
        </w:tc>
      </w:tr>
      <w:tr>
        <w:trPr>
          <w:trHeight w:val="149"/>
        </w:trPr>
        <w:tc>
          <w:tcPr>
            <w:tcW w:w="3520" w:type="dxa"/>
            <w:vAlign w:val="bottom"/>
          </w:tcPr>
          <w:p>
            <w:pPr>
              <w:jc w:val="center"/>
              <w:ind w:right="1554"/>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380" w:type="dxa"/>
            <w:vAlign w:val="bottom"/>
          </w:tcPr>
          <w:p>
            <w:pPr>
              <w:jc w:val="center"/>
              <w:ind w:left="182"/>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3420" w:type="dxa"/>
            <w:vAlign w:val="bottom"/>
          </w:tcPr>
          <w:p>
            <w:pPr>
              <w:jc w:val="center"/>
              <w:ind w:left="1894"/>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520" w:type="dxa"/>
            <w:vAlign w:val="bottom"/>
          </w:tcPr>
          <w:p>
            <w:pPr>
              <w:jc w:val="center"/>
              <w:ind w:right="1554"/>
              <w:spacing w:after="0"/>
              <w:rPr>
                <w:sz w:val="20"/>
                <w:szCs w:val="20"/>
                <w:color w:val="auto"/>
              </w:rPr>
            </w:pPr>
            <w:r>
              <w:rPr>
                <w:rFonts w:ascii="Arial" w:cs="Arial" w:eastAsia="Arial" w:hAnsi="Arial"/>
                <w:sz w:val="14"/>
                <w:szCs w:val="14"/>
                <w:b w:val="1"/>
                <w:bCs w:val="1"/>
                <w:color w:val="auto"/>
                <w:w w:val="94"/>
              </w:rPr>
              <w:t>incorporation or organization)</w:t>
            </w:r>
          </w:p>
        </w:tc>
        <w:tc>
          <w:tcPr>
            <w:tcW w:w="2380" w:type="dxa"/>
            <w:vAlign w:val="bottom"/>
          </w:tcPr>
          <w:p>
            <w:pPr>
              <w:jc w:val="center"/>
              <w:ind w:left="202"/>
              <w:spacing w:after="0"/>
              <w:rPr>
                <w:sz w:val="20"/>
                <w:szCs w:val="20"/>
                <w:color w:val="auto"/>
              </w:rPr>
            </w:pPr>
            <w:r>
              <w:rPr>
                <w:rFonts w:ascii="Arial" w:cs="Arial" w:eastAsia="Arial" w:hAnsi="Arial"/>
                <w:sz w:val="14"/>
                <w:szCs w:val="14"/>
                <w:b w:val="1"/>
                <w:bCs w:val="1"/>
                <w:color w:val="auto"/>
                <w:w w:val="92"/>
              </w:rPr>
              <w:t>Classification Code Number)</w:t>
            </w:r>
          </w:p>
        </w:tc>
        <w:tc>
          <w:tcPr>
            <w:tcW w:w="3420" w:type="dxa"/>
            <w:vAlign w:val="bottom"/>
          </w:tcPr>
          <w:p>
            <w:pPr>
              <w:jc w:val="center"/>
              <w:ind w:left="1894"/>
              <w:spacing w:after="0"/>
              <w:rPr>
                <w:sz w:val="20"/>
                <w:szCs w:val="20"/>
                <w:color w:val="auto"/>
              </w:rPr>
            </w:pPr>
            <w:r>
              <w:rPr>
                <w:rFonts w:ascii="Arial" w:cs="Arial" w:eastAsia="Arial" w:hAnsi="Arial"/>
                <w:sz w:val="14"/>
                <w:szCs w:val="14"/>
                <w:b w:val="1"/>
                <w:bCs w:val="1"/>
                <w:color w:val="auto"/>
                <w:w w:val="96"/>
              </w:rPr>
              <w:t>Identification Number)</w:t>
            </w:r>
          </w:p>
        </w:tc>
        <w:tc>
          <w:tcPr>
            <w:tcW w:w="0" w:type="dxa"/>
            <w:vAlign w:val="bottom"/>
          </w:tcPr>
          <w:p>
            <w:pPr>
              <w:spacing w:after="0"/>
              <w:rPr>
                <w:sz w:val="1"/>
                <w:szCs w:val="1"/>
                <w:color w:val="auto"/>
              </w:rPr>
            </w:pPr>
          </w:p>
        </w:tc>
      </w:tr>
      <w:tr>
        <w:trPr>
          <w:trHeight w:val="350"/>
        </w:trPr>
        <w:tc>
          <w:tcPr>
            <w:tcW w:w="3520" w:type="dxa"/>
            <w:vAlign w:val="bottom"/>
            <w:vMerge w:val="restart"/>
          </w:tcPr>
          <w:p>
            <w:pPr>
              <w:jc w:val="center"/>
              <w:ind w:left="174"/>
              <w:spacing w:after="0"/>
              <w:rPr>
                <w:sz w:val="20"/>
                <w:szCs w:val="20"/>
                <w:color w:val="auto"/>
              </w:rPr>
            </w:pPr>
            <w:r>
              <w:rPr>
                <w:rFonts w:ascii="Arial" w:cs="Arial" w:eastAsia="Arial" w:hAnsi="Arial"/>
                <w:sz w:val="18"/>
                <w:szCs w:val="18"/>
                <w:b w:val="1"/>
                <w:bCs w:val="1"/>
                <w:color w:val="auto"/>
                <w:w w:val="92"/>
              </w:rPr>
              <w:t>42, rue Saint-Dominique</w:t>
            </w:r>
          </w:p>
        </w:tc>
        <w:tc>
          <w:tcPr>
            <w:tcW w:w="2380" w:type="dxa"/>
            <w:vAlign w:val="bottom"/>
            <w:tcBorders>
              <w:bottom w:val="single" w:sz="8" w:color="auto"/>
            </w:tcBorders>
          </w:tcPr>
          <w:p>
            <w:pPr>
              <w:spacing w:after="0"/>
              <w:rPr>
                <w:sz w:val="24"/>
                <w:szCs w:val="24"/>
                <w:color w:val="auto"/>
              </w:rPr>
            </w:pPr>
          </w:p>
        </w:tc>
        <w:tc>
          <w:tcPr>
            <w:tcW w:w="3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62 Buckingham Gate</w:t>
            </w:r>
          </w:p>
        </w:tc>
        <w:tc>
          <w:tcPr>
            <w:tcW w:w="0" w:type="dxa"/>
            <w:vAlign w:val="bottom"/>
          </w:tcPr>
          <w:p>
            <w:pPr>
              <w:spacing w:after="0"/>
              <w:rPr>
                <w:sz w:val="1"/>
                <w:szCs w:val="1"/>
                <w:color w:val="auto"/>
              </w:rPr>
            </w:pPr>
          </w:p>
        </w:tc>
      </w:tr>
      <w:tr>
        <w:trPr>
          <w:trHeight w:val="475"/>
        </w:trPr>
        <w:tc>
          <w:tcPr>
            <w:tcW w:w="3520" w:type="dxa"/>
            <w:vAlign w:val="bottom"/>
            <w:vMerge w:val="continue"/>
          </w:tcPr>
          <w:p>
            <w:pPr>
              <w:spacing w:after="0"/>
              <w:rPr>
                <w:sz w:val="24"/>
                <w:szCs w:val="24"/>
                <w:color w:val="auto"/>
              </w:rPr>
            </w:pPr>
          </w:p>
        </w:tc>
        <w:tc>
          <w:tcPr>
            <w:tcW w:w="238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20" w:type="dxa"/>
            <w:vAlign w:val="bottom"/>
          </w:tcPr>
          <w:p>
            <w:pPr>
              <w:jc w:val="center"/>
              <w:ind w:left="174"/>
              <w:spacing w:after="0"/>
              <w:rPr>
                <w:sz w:val="20"/>
                <w:szCs w:val="20"/>
                <w:color w:val="auto"/>
              </w:rPr>
            </w:pPr>
            <w:r>
              <w:rPr>
                <w:rFonts w:ascii="Arial" w:cs="Arial" w:eastAsia="Arial" w:hAnsi="Arial"/>
                <w:sz w:val="18"/>
                <w:szCs w:val="18"/>
                <w:b w:val="1"/>
                <w:bCs w:val="1"/>
                <w:color w:val="auto"/>
                <w:w w:val="91"/>
              </w:rPr>
              <w:t>Paris, France 75007</w:t>
            </w:r>
          </w:p>
        </w:tc>
        <w:tc>
          <w:tcPr>
            <w:tcW w:w="238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2"/>
              </w:rPr>
              <w:t>London, United Kingdom SW1E 6AJ</w:t>
            </w:r>
          </w:p>
        </w:tc>
        <w:tc>
          <w:tcPr>
            <w:tcW w:w="0" w:type="dxa"/>
            <w:vAlign w:val="bottom"/>
          </w:tcPr>
          <w:p>
            <w:pPr>
              <w:spacing w:after="0"/>
              <w:rPr>
                <w:sz w:val="1"/>
                <w:szCs w:val="1"/>
                <w:color w:val="auto"/>
              </w:rPr>
            </w:pPr>
          </w:p>
        </w:tc>
      </w:tr>
      <w:tr>
        <w:trPr>
          <w:trHeight w:val="234"/>
        </w:trPr>
        <w:tc>
          <w:tcPr>
            <w:tcW w:w="3520" w:type="dxa"/>
            <w:vAlign w:val="bottom"/>
          </w:tcPr>
          <w:p>
            <w:pPr>
              <w:jc w:val="right"/>
              <w:ind w:right="954"/>
              <w:spacing w:after="0"/>
              <w:rPr>
                <w:sz w:val="20"/>
                <w:szCs w:val="20"/>
                <w:color w:val="auto"/>
              </w:rPr>
            </w:pPr>
            <w:r>
              <w:rPr>
                <w:rFonts w:ascii="Arial" w:cs="Arial" w:eastAsia="Arial" w:hAnsi="Arial"/>
                <w:sz w:val="18"/>
                <w:szCs w:val="18"/>
                <w:b w:val="1"/>
                <w:bCs w:val="1"/>
                <w:color w:val="auto"/>
              </w:rPr>
              <w:t>33-1-4062-1000</w:t>
            </w:r>
          </w:p>
        </w:tc>
        <w:tc>
          <w:tcPr>
            <w:tcW w:w="2380" w:type="dxa"/>
            <w:vAlign w:val="bottom"/>
          </w:tcPr>
          <w:p>
            <w:pPr>
              <w:spacing w:after="0"/>
              <w:rPr>
                <w:sz w:val="20"/>
                <w:szCs w:val="20"/>
                <w:color w:val="auto"/>
              </w:rPr>
            </w:pPr>
          </w:p>
        </w:tc>
        <w:tc>
          <w:tcPr>
            <w:tcW w:w="3420" w:type="dxa"/>
            <w:vAlign w:val="bottom"/>
          </w:tcPr>
          <w:p>
            <w:pPr>
              <w:jc w:val="right"/>
              <w:ind w:right="954"/>
              <w:spacing w:after="0"/>
              <w:rPr>
                <w:sz w:val="20"/>
                <w:szCs w:val="20"/>
                <w:color w:val="auto"/>
              </w:rPr>
            </w:pPr>
            <w:r>
              <w:rPr>
                <w:rFonts w:ascii="Arial" w:cs="Arial" w:eastAsia="Arial" w:hAnsi="Arial"/>
                <w:sz w:val="18"/>
                <w:szCs w:val="18"/>
                <w:b w:val="1"/>
                <w:bCs w:val="1"/>
                <w:color w:val="auto"/>
              </w:rPr>
              <w:t>44-20-7074-3000</w:t>
            </w:r>
          </w:p>
        </w:tc>
        <w:tc>
          <w:tcPr>
            <w:tcW w:w="0" w:type="dxa"/>
            <w:vAlign w:val="bottom"/>
          </w:tcPr>
          <w:p>
            <w:pPr>
              <w:spacing w:after="0"/>
              <w:rPr>
                <w:sz w:val="1"/>
                <w:szCs w:val="1"/>
                <w:color w:val="auto"/>
              </w:rPr>
            </w:pPr>
          </w:p>
        </w:tc>
      </w:tr>
      <w:tr>
        <w:trPr>
          <w:trHeight w:val="441"/>
        </w:trPr>
        <w:tc>
          <w:tcPr>
            <w:tcW w:w="3520" w:type="dxa"/>
            <w:vAlign w:val="bottom"/>
          </w:tcPr>
          <w:p>
            <w:pPr>
              <w:jc w:val="center"/>
              <w:ind w:left="174"/>
              <w:spacing w:after="0"/>
              <w:rPr>
                <w:sz w:val="20"/>
                <w:szCs w:val="20"/>
                <w:color w:val="auto"/>
              </w:rPr>
            </w:pPr>
            <w:r>
              <w:rPr>
                <w:rFonts w:ascii="Arial" w:cs="Arial" w:eastAsia="Arial" w:hAnsi="Arial"/>
                <w:sz w:val="18"/>
                <w:szCs w:val="18"/>
                <w:b w:val="1"/>
                <w:bCs w:val="1"/>
                <w:color w:val="auto"/>
                <w:w w:val="90"/>
              </w:rPr>
              <w:t>5599 San Felipe, 17th Floor</w:t>
            </w:r>
          </w:p>
        </w:tc>
        <w:tc>
          <w:tcPr>
            <w:tcW w:w="238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2"/>
              </w:rPr>
              <w:t>Parkstraat 83, The Hague</w:t>
            </w:r>
          </w:p>
        </w:tc>
        <w:tc>
          <w:tcPr>
            <w:tcW w:w="0" w:type="dxa"/>
            <w:vAlign w:val="bottom"/>
          </w:tcPr>
          <w:p>
            <w:pPr>
              <w:spacing w:after="0"/>
              <w:rPr>
                <w:sz w:val="1"/>
                <w:szCs w:val="1"/>
                <w:color w:val="auto"/>
              </w:rPr>
            </w:pPr>
          </w:p>
        </w:tc>
      </w:tr>
      <w:tr>
        <w:trPr>
          <w:trHeight w:val="216"/>
        </w:trPr>
        <w:tc>
          <w:tcPr>
            <w:tcW w:w="3520" w:type="dxa"/>
            <w:vAlign w:val="bottom"/>
          </w:tcPr>
          <w:p>
            <w:pPr>
              <w:jc w:val="center"/>
              <w:ind w:left="174"/>
              <w:spacing w:after="0"/>
              <w:rPr>
                <w:sz w:val="20"/>
                <w:szCs w:val="20"/>
                <w:color w:val="auto"/>
              </w:rPr>
            </w:pPr>
            <w:r>
              <w:rPr>
                <w:rFonts w:ascii="Arial" w:cs="Arial" w:eastAsia="Arial" w:hAnsi="Arial"/>
                <w:sz w:val="18"/>
                <w:szCs w:val="18"/>
                <w:b w:val="1"/>
                <w:bCs w:val="1"/>
                <w:color w:val="auto"/>
                <w:w w:val="87"/>
              </w:rPr>
              <w:t>Houston, Texas 77056</w:t>
            </w:r>
          </w:p>
        </w:tc>
        <w:tc>
          <w:tcPr>
            <w:tcW w:w="238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1"/>
              </w:rPr>
              <w:t>The Netherlands, 2514 JG</w:t>
            </w:r>
          </w:p>
        </w:tc>
        <w:tc>
          <w:tcPr>
            <w:tcW w:w="0" w:type="dxa"/>
            <w:vAlign w:val="bottom"/>
          </w:tcPr>
          <w:p>
            <w:pPr>
              <w:spacing w:after="0"/>
              <w:rPr>
                <w:sz w:val="1"/>
                <w:szCs w:val="1"/>
                <w:color w:val="auto"/>
              </w:rPr>
            </w:pPr>
          </w:p>
        </w:tc>
      </w:tr>
      <w:tr>
        <w:trPr>
          <w:trHeight w:val="234"/>
        </w:trPr>
        <w:tc>
          <w:tcPr>
            <w:tcW w:w="3520" w:type="dxa"/>
            <w:vAlign w:val="bottom"/>
          </w:tcPr>
          <w:p>
            <w:pPr>
              <w:jc w:val="right"/>
              <w:ind w:right="974"/>
              <w:spacing w:after="0"/>
              <w:rPr>
                <w:sz w:val="20"/>
                <w:szCs w:val="20"/>
                <w:color w:val="auto"/>
              </w:rPr>
            </w:pPr>
            <w:r>
              <w:rPr>
                <w:rFonts w:ascii="Arial" w:cs="Arial" w:eastAsia="Arial" w:hAnsi="Arial"/>
                <w:sz w:val="18"/>
                <w:szCs w:val="18"/>
                <w:b w:val="1"/>
                <w:bCs w:val="1"/>
                <w:color w:val="auto"/>
              </w:rPr>
              <w:t>(713) 513-2000</w:t>
            </w:r>
          </w:p>
        </w:tc>
        <w:tc>
          <w:tcPr>
            <w:tcW w:w="2380" w:type="dxa"/>
            <w:vAlign w:val="bottom"/>
          </w:tcPr>
          <w:p>
            <w:pPr>
              <w:spacing w:after="0"/>
              <w:rPr>
                <w:sz w:val="20"/>
                <w:szCs w:val="20"/>
                <w:color w:val="auto"/>
              </w:rPr>
            </w:pPr>
          </w:p>
        </w:tc>
        <w:tc>
          <w:tcPr>
            <w:tcW w:w="3420" w:type="dxa"/>
            <w:vAlign w:val="bottom"/>
          </w:tcPr>
          <w:p>
            <w:pPr>
              <w:jc w:val="right"/>
              <w:ind w:right="994"/>
              <w:spacing w:after="0"/>
              <w:rPr>
                <w:sz w:val="20"/>
                <w:szCs w:val="20"/>
                <w:color w:val="auto"/>
              </w:rPr>
            </w:pPr>
            <w:r>
              <w:rPr>
                <w:rFonts w:ascii="Arial" w:cs="Arial" w:eastAsia="Arial" w:hAnsi="Arial"/>
                <w:sz w:val="18"/>
                <w:szCs w:val="18"/>
                <w:b w:val="1"/>
                <w:bCs w:val="1"/>
                <w:color w:val="auto"/>
              </w:rPr>
              <w:t>31-70-310-5400</w:t>
            </w:r>
          </w:p>
        </w:tc>
        <w:tc>
          <w:tcPr>
            <w:tcW w:w="0" w:type="dxa"/>
            <w:vAlign w:val="bottom"/>
          </w:tcPr>
          <w:p>
            <w:pPr>
              <w:spacing w:after="0"/>
              <w:rPr>
                <w:sz w:val="1"/>
                <w:szCs w:val="1"/>
                <w:color w:val="auto"/>
              </w:rPr>
            </w:pPr>
          </w:p>
        </w:tc>
      </w:tr>
    </w:tbl>
    <w:p>
      <w:pPr>
        <w:ind w:left="1180"/>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2234565</wp:posOffset>
            </wp:positionH>
            <wp:positionV relativeFrom="paragraph">
              <wp:posOffset>223520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Cameron International Corporation Equity Incentive Plan</w:t>
      </w:r>
    </w:p>
    <w:p>
      <w:pPr>
        <w:spacing w:after="0" w:line="27"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Cameron International Corporation Nonqualified Deferred Compensation Plan</w:t>
      </w:r>
    </w:p>
    <w:p>
      <w:pPr>
        <w:spacing w:after="0" w:line="9"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Cameron International Corporation Deferred Compensation Plan For Non-Employee Directors</w:t>
      </w:r>
    </w:p>
    <w:p>
      <w:pPr>
        <w:spacing w:after="0" w:line="9"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OneSubsea LLC Nonqualified Deferred Compensation Plan</w:t>
      </w:r>
    </w:p>
    <w:p>
      <w:pPr>
        <w:spacing w:after="0" w:line="9"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Natco Group Inc. 2004 Stock Incentive Plan</w:t>
      </w:r>
    </w:p>
    <w:p>
      <w:pPr>
        <w:spacing w:after="0" w:line="9"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Natco Group Inc. 2006 Long Term Incentive Compensation Plan</w:t>
      </w:r>
    </w:p>
    <w:p>
      <w:pPr>
        <w:spacing w:after="0" w:line="2" w:lineRule="exact"/>
        <w:rPr>
          <w:sz w:val="24"/>
          <w:szCs w:val="24"/>
          <w:color w:val="auto"/>
        </w:rPr>
      </w:pPr>
    </w:p>
    <w:p>
      <w:pPr>
        <w:ind w:left="4040"/>
        <w:spacing w:after="0"/>
        <w:rPr>
          <w:sz w:val="20"/>
          <w:szCs w:val="20"/>
          <w:color w:val="auto"/>
        </w:rPr>
      </w:pPr>
      <w:r>
        <w:rPr>
          <w:rFonts w:ascii="Arial" w:cs="Arial" w:eastAsia="Arial" w:hAnsi="Arial"/>
          <w:sz w:val="14"/>
          <w:szCs w:val="14"/>
          <w:b w:val="1"/>
          <w:bCs w:val="1"/>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2234565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Saul R. Laureles</w:t>
      </w:r>
    </w:p>
    <w:p>
      <w:pPr>
        <w:spacing w:after="0" w:line="27"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Deputy General Counsel</w:t>
      </w:r>
    </w:p>
    <w:p>
      <w:pPr>
        <w:spacing w:after="0" w:line="9"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Schlumberger Limited</w:t>
      </w:r>
    </w:p>
    <w:p>
      <w:pPr>
        <w:spacing w:after="0" w:line="9"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5599 San Felipe, 17th Floor</w:t>
      </w:r>
    </w:p>
    <w:p>
      <w:pPr>
        <w:spacing w:after="0" w:line="9"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Houston, Texas 77056</w:t>
      </w:r>
    </w:p>
    <w:p>
      <w:pPr>
        <w:spacing w:after="0" w:line="9"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(713) 513-2000</w:t>
      </w:r>
    </w:p>
    <w:p>
      <w:pPr>
        <w:spacing w:after="0" w:line="2" w:lineRule="exact"/>
        <w:rPr>
          <w:sz w:val="24"/>
          <w:szCs w:val="24"/>
          <w:color w:val="auto"/>
        </w:rPr>
      </w:pPr>
    </w:p>
    <w:p>
      <w:pPr>
        <w:ind w:left="1640"/>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2234565</wp:posOffset>
            </wp:positionH>
            <wp:positionV relativeFrom="paragraph">
              <wp:posOffset>219075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Copy to:</w:t>
      </w:r>
    </w:p>
    <w:p>
      <w:pPr>
        <w:spacing w:after="0" w:line="117"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J. David Kirkland, Jr.</w:t>
      </w:r>
    </w:p>
    <w:p>
      <w:pPr>
        <w:spacing w:after="0" w:line="27"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Tull R. Florey</w:t>
      </w:r>
    </w:p>
    <w:p>
      <w:pPr>
        <w:spacing w:after="0" w:line="9"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Andrew J. Ericksen</w:t>
      </w:r>
    </w:p>
    <w:p>
      <w:pPr>
        <w:spacing w:after="0" w:line="9"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Baker Botts L.L.P.</w:t>
      </w:r>
    </w:p>
    <w:p>
      <w:pPr>
        <w:spacing w:after="0" w:line="9" w:lineRule="exact"/>
        <w:rPr>
          <w:sz w:val="24"/>
          <w:szCs w:val="24"/>
          <w:color w:val="auto"/>
        </w:rPr>
      </w:pPr>
    </w:p>
    <w:p>
      <w:pPr>
        <w:ind w:left="4500" w:hanging="324"/>
        <w:spacing w:after="0"/>
        <w:tabs>
          <w:tab w:leader="none" w:pos="45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Louisiana</w:t>
      </w:r>
    </w:p>
    <w:p>
      <w:pPr>
        <w:spacing w:after="0" w:line="9" w:lineRule="exact"/>
        <w:rPr>
          <w:rFonts w:ascii="Arial" w:cs="Arial" w:eastAsia="Arial" w:hAnsi="Arial"/>
          <w:sz w:val="18"/>
          <w:szCs w:val="18"/>
          <w:b w:val="1"/>
          <w:bCs w:val="1"/>
          <w:color w:val="auto"/>
        </w:rPr>
      </w:pPr>
    </w:p>
    <w:p>
      <w:pPr>
        <w:ind w:left="38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Houston, Texas 77002</w:t>
      </w:r>
    </w:p>
    <w:p>
      <w:pPr>
        <w:spacing w:after="0" w:line="9" w:lineRule="exact"/>
        <w:rPr>
          <w:rFonts w:ascii="Arial" w:cs="Arial" w:eastAsia="Arial" w:hAnsi="Arial"/>
          <w:sz w:val="18"/>
          <w:szCs w:val="18"/>
          <w:b w:val="1"/>
          <w:bCs w:val="1"/>
          <w:color w:val="auto"/>
        </w:rPr>
      </w:pPr>
    </w:p>
    <w:p>
      <w:pPr>
        <w:ind w:left="4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(713) 229-1234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2234565</wp:posOffset>
            </wp:positionH>
            <wp:positionV relativeFrom="paragraph">
              <wp:posOffset>228600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420"/>
          </w:cols>
          <w:pgMar w:left="1240" w:top="229" w:right="239" w:bottom="45" w:gutter="0" w:footer="0" w:header="0"/>
        </w:sectPr>
      </w:pPr>
    </w:p>
    <w:bookmarkStart w:id="1" w:name="page2"/>
    <w:bookmarkEnd w:id="1"/>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680" w:type="dxa"/>
            <w:vAlign w:val="bottom"/>
            <w:gridSpan w:val="2"/>
          </w:tcPr>
          <w:p>
            <w:pPr>
              <w:spacing w:after="0"/>
              <w:rPr>
                <w:sz w:val="20"/>
                <w:szCs w:val="20"/>
                <w:color w:val="auto"/>
              </w:rPr>
            </w:pPr>
            <w:r>
              <w:rPr>
                <w:rFonts w:ascii="Arial" w:cs="Arial" w:eastAsia="Arial" w:hAnsi="Arial"/>
                <w:sz w:val="18"/>
                <w:szCs w:val="18"/>
                <w:color w:val="auto"/>
                <w:w w:val="93"/>
              </w:rPr>
              <w:t>Large accelerated filer</w:t>
            </w:r>
          </w:p>
        </w:tc>
        <w:tc>
          <w:tcPr>
            <w:tcW w:w="19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40" w:type="dxa"/>
            <w:vAlign w:val="bottom"/>
            <w:gridSpan w:val="2"/>
          </w:tcPr>
          <w:p>
            <w:pPr>
              <w:ind w:left="600"/>
              <w:spacing w:after="0"/>
              <w:rPr>
                <w:sz w:val="20"/>
                <w:szCs w:val="20"/>
                <w:color w:val="auto"/>
              </w:rPr>
            </w:pPr>
            <w:r>
              <w:rPr>
                <w:rFonts w:ascii="Arial" w:cs="Arial" w:eastAsia="Arial" w:hAnsi="Arial"/>
                <w:sz w:val="18"/>
                <w:szCs w:val="18"/>
                <w:color w:val="auto"/>
                <w:w w:val="94"/>
              </w:rPr>
              <w:t>Accelerated filer</w:t>
            </w:r>
          </w:p>
        </w:tc>
        <w:tc>
          <w:tcPr>
            <w:tcW w:w="1140" w:type="dxa"/>
            <w:vAlign w:val="bottom"/>
          </w:tcPr>
          <w:p>
            <w:pPr>
              <w:spacing w:after="0"/>
              <w:rPr>
                <w:sz w:val="24"/>
                <w:szCs w:val="24"/>
                <w:color w:val="auto"/>
              </w:rPr>
            </w:pPr>
          </w:p>
        </w:tc>
        <w:tc>
          <w:tcPr>
            <w:tcW w:w="180" w:type="dxa"/>
            <w:vAlign w:val="bottom"/>
          </w:tcPr>
          <w:p>
            <w:pPr>
              <w:ind w:left="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24"/>
        </w:trPr>
        <w:tc>
          <w:tcPr>
            <w:tcW w:w="1680" w:type="dxa"/>
            <w:vAlign w:val="bottom"/>
            <w:gridSpan w:val="2"/>
          </w:tcPr>
          <w:p>
            <w:pPr>
              <w:spacing w:after="0"/>
              <w:rPr>
                <w:sz w:val="20"/>
                <w:szCs w:val="20"/>
                <w:color w:val="auto"/>
              </w:rPr>
            </w:pPr>
            <w:r>
              <w:rPr>
                <w:rFonts w:ascii="Arial" w:cs="Arial" w:eastAsia="Arial" w:hAnsi="Arial"/>
                <w:sz w:val="18"/>
                <w:szCs w:val="18"/>
                <w:color w:val="auto"/>
                <w:w w:val="99"/>
              </w:rPr>
              <w:t>Non-accelerated filer</w:t>
            </w:r>
          </w:p>
        </w:tc>
        <w:tc>
          <w:tcPr>
            <w:tcW w:w="5220" w:type="dxa"/>
            <w:vAlign w:val="bottom"/>
            <w:gridSpan w:val="5"/>
          </w:tcPr>
          <w:p>
            <w:pPr>
              <w:ind w:left="2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1360" w:type="dxa"/>
            <w:vAlign w:val="bottom"/>
          </w:tcPr>
          <w:p>
            <w:pPr>
              <w:spacing w:after="0"/>
              <w:rPr>
                <w:sz w:val="24"/>
                <w:szCs w:val="24"/>
                <w:color w:val="auto"/>
              </w:rPr>
            </w:pPr>
          </w:p>
        </w:tc>
        <w:tc>
          <w:tcPr>
            <w:tcW w:w="2980" w:type="dxa"/>
            <w:vAlign w:val="bottom"/>
            <w:gridSpan w:val="3"/>
          </w:tcPr>
          <w:p>
            <w:pPr>
              <w:ind w:left="600"/>
              <w:spacing w:after="0"/>
              <w:rPr>
                <w:sz w:val="20"/>
                <w:szCs w:val="20"/>
                <w:color w:val="auto"/>
              </w:rPr>
            </w:pPr>
            <w:r>
              <w:rPr>
                <w:rFonts w:ascii="Arial" w:cs="Arial" w:eastAsia="Arial" w:hAnsi="Arial"/>
                <w:sz w:val="18"/>
                <w:szCs w:val="18"/>
                <w:color w:val="auto"/>
              </w:rPr>
              <w:t>Smaller reporting company</w:t>
            </w:r>
          </w:p>
        </w:tc>
        <w:tc>
          <w:tcPr>
            <w:tcW w:w="180" w:type="dxa"/>
            <w:vAlign w:val="bottom"/>
          </w:tcPr>
          <w:p>
            <w:pPr>
              <w:ind w:left="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620" w:type="dxa"/>
            <w:vAlign w:val="bottom"/>
            <w:gridSpan w:val="5"/>
          </w:tcPr>
          <w:p>
            <w:pPr>
              <w:ind w:left="340"/>
              <w:spacing w:after="0"/>
              <w:rPr>
                <w:sz w:val="20"/>
                <w:szCs w:val="20"/>
                <w:color w:val="auto"/>
              </w:rPr>
            </w:pPr>
            <w:r>
              <w:rPr>
                <w:rFonts w:ascii="Arial" w:cs="Arial" w:eastAsia="Arial" w:hAnsi="Arial"/>
                <w:sz w:val="18"/>
                <w:szCs w:val="18"/>
                <w:b w:val="1"/>
                <w:bCs w:val="1"/>
                <w:color w:val="auto"/>
              </w:rPr>
              <w:t>CALCULATION OF REGISTRATION FEE</w:t>
            </w: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0"/>
                <w:szCs w:val="10"/>
                <w:color w:val="auto"/>
              </w:rPr>
            </w:pPr>
          </w:p>
        </w:tc>
        <w:tc>
          <w:tcPr>
            <w:tcW w:w="1360" w:type="dxa"/>
            <w:vAlign w:val="bottom"/>
            <w:tcBorders>
              <w:right w:val="single" w:sz="8" w:color="auto"/>
            </w:tcBorders>
          </w:tcPr>
          <w:p>
            <w:pPr>
              <w:jc w:val="center"/>
              <w:ind w:right="69"/>
              <w:spacing w:after="0" w:line="116" w:lineRule="exact"/>
              <w:rPr>
                <w:sz w:val="20"/>
                <w:szCs w:val="20"/>
                <w:color w:val="auto"/>
              </w:rPr>
            </w:pPr>
            <w:r>
              <w:rPr>
                <w:rFonts w:ascii="Arial" w:cs="Arial" w:eastAsia="Arial" w:hAnsi="Arial"/>
                <w:sz w:val="13"/>
                <w:szCs w:val="13"/>
                <w:b w:val="1"/>
                <w:bCs w:val="1"/>
                <w:color w:val="auto"/>
                <w:w w:val="96"/>
              </w:rPr>
              <w:t>Proposed</w:t>
            </w:r>
          </w:p>
        </w:tc>
        <w:tc>
          <w:tcPr>
            <w:tcW w:w="1600" w:type="dxa"/>
            <w:vAlign w:val="bottom"/>
            <w:tcBorders>
              <w:right w:val="single" w:sz="8" w:color="auto"/>
            </w:tcBorders>
          </w:tcPr>
          <w:p>
            <w:pPr>
              <w:jc w:val="center"/>
              <w:ind w:left="24"/>
              <w:spacing w:after="0" w:line="116" w:lineRule="exact"/>
              <w:rPr>
                <w:sz w:val="20"/>
                <w:szCs w:val="20"/>
                <w:color w:val="auto"/>
              </w:rPr>
            </w:pPr>
            <w:r>
              <w:rPr>
                <w:rFonts w:ascii="Arial" w:cs="Arial" w:eastAsia="Arial" w:hAnsi="Arial"/>
                <w:sz w:val="13"/>
                <w:szCs w:val="13"/>
                <w:b w:val="1"/>
                <w:bCs w:val="1"/>
                <w:color w:val="auto"/>
                <w:w w:val="96"/>
              </w:rPr>
              <w:t>Proposed</w:t>
            </w: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96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Title of each class of</w:t>
            </w:r>
          </w:p>
        </w:tc>
        <w:tc>
          <w:tcPr>
            <w:tcW w:w="88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Borders>
              <w:right w:val="single" w:sz="8" w:color="auto"/>
            </w:tcBorders>
          </w:tcPr>
          <w:p>
            <w:pPr>
              <w:jc w:val="center"/>
              <w:ind w:right="69"/>
              <w:spacing w:after="0" w:line="149" w:lineRule="exact"/>
              <w:rPr>
                <w:sz w:val="20"/>
                <w:szCs w:val="20"/>
                <w:color w:val="auto"/>
              </w:rPr>
            </w:pPr>
            <w:r>
              <w:rPr>
                <w:rFonts w:ascii="Arial" w:cs="Arial" w:eastAsia="Arial" w:hAnsi="Arial"/>
                <w:sz w:val="14"/>
                <w:szCs w:val="14"/>
                <w:b w:val="1"/>
                <w:bCs w:val="1"/>
                <w:color w:val="auto"/>
                <w:w w:val="94"/>
              </w:rPr>
              <w:t>maximum</w:t>
            </w:r>
          </w:p>
        </w:tc>
        <w:tc>
          <w:tcPr>
            <w:tcW w:w="1600" w:type="dxa"/>
            <w:vAlign w:val="bottom"/>
            <w:tcBorders>
              <w:right w:val="single" w:sz="8" w:color="auto"/>
            </w:tcBorders>
          </w:tcPr>
          <w:p>
            <w:pPr>
              <w:jc w:val="center"/>
              <w:ind w:left="24"/>
              <w:spacing w:after="0" w:line="149" w:lineRule="exact"/>
              <w:rPr>
                <w:sz w:val="20"/>
                <w:szCs w:val="20"/>
                <w:color w:val="auto"/>
              </w:rPr>
            </w:pPr>
            <w:r>
              <w:rPr>
                <w:rFonts w:ascii="Arial" w:cs="Arial" w:eastAsia="Arial" w:hAnsi="Arial"/>
                <w:sz w:val="14"/>
                <w:szCs w:val="14"/>
                <w:b w:val="1"/>
                <w:bCs w:val="1"/>
                <w:color w:val="auto"/>
                <w:w w:val="94"/>
              </w:rPr>
              <w:t>maximum</w:t>
            </w:r>
          </w:p>
        </w:tc>
        <w:tc>
          <w:tcPr>
            <w:tcW w:w="24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96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240" w:type="dxa"/>
            <w:vAlign w:val="bottom"/>
          </w:tcPr>
          <w:p>
            <w:pPr>
              <w:spacing w:after="0"/>
              <w:rPr>
                <w:sz w:val="12"/>
                <w:szCs w:val="12"/>
                <w:color w:val="auto"/>
              </w:rPr>
            </w:pPr>
          </w:p>
        </w:tc>
        <w:tc>
          <w:tcPr>
            <w:tcW w:w="1360" w:type="dxa"/>
            <w:vAlign w:val="bottom"/>
            <w:tcBorders>
              <w:right w:val="single" w:sz="8" w:color="auto"/>
            </w:tcBorders>
          </w:tcPr>
          <w:p>
            <w:pPr>
              <w:jc w:val="center"/>
              <w:ind w:right="89"/>
              <w:spacing w:after="0" w:line="149" w:lineRule="exact"/>
              <w:rPr>
                <w:sz w:val="20"/>
                <w:szCs w:val="20"/>
                <w:color w:val="auto"/>
              </w:rPr>
            </w:pPr>
            <w:r>
              <w:rPr>
                <w:rFonts w:ascii="Arial" w:cs="Arial" w:eastAsia="Arial" w:hAnsi="Arial"/>
                <w:sz w:val="14"/>
                <w:szCs w:val="14"/>
                <w:b w:val="1"/>
                <w:bCs w:val="1"/>
                <w:color w:val="auto"/>
                <w:w w:val="93"/>
              </w:rPr>
              <w:t>offering price</w:t>
            </w:r>
          </w:p>
        </w:tc>
        <w:tc>
          <w:tcPr>
            <w:tcW w:w="1600" w:type="dxa"/>
            <w:vAlign w:val="bottom"/>
            <w:tcBorders>
              <w:right w:val="single" w:sz="8" w:color="auto"/>
            </w:tcBorders>
          </w:tcPr>
          <w:p>
            <w:pPr>
              <w:jc w:val="center"/>
              <w:ind w:left="4"/>
              <w:spacing w:after="0" w:line="149" w:lineRule="exact"/>
              <w:rPr>
                <w:sz w:val="20"/>
                <w:szCs w:val="20"/>
                <w:color w:val="auto"/>
              </w:rPr>
            </w:pPr>
            <w:r>
              <w:rPr>
                <w:rFonts w:ascii="Arial" w:cs="Arial" w:eastAsia="Arial" w:hAnsi="Arial"/>
                <w:sz w:val="14"/>
                <w:szCs w:val="14"/>
                <w:b w:val="1"/>
                <w:bCs w:val="1"/>
                <w:color w:val="auto"/>
                <w:w w:val="89"/>
              </w:rPr>
              <w:t>aggregate</w:t>
            </w:r>
          </w:p>
        </w:tc>
        <w:tc>
          <w:tcPr>
            <w:tcW w:w="2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securities to be registered</w:t>
            </w:r>
          </w:p>
        </w:tc>
        <w:tc>
          <w:tcPr>
            <w:tcW w:w="880" w:type="dxa"/>
            <w:vAlign w:val="bottom"/>
            <w:tcBorders>
              <w:bottom w:val="single" w:sz="8" w:color="auto"/>
            </w:tcBorders>
          </w:tcPr>
          <w:p>
            <w:pPr>
              <w:spacing w:after="0"/>
              <w:rPr>
                <w:sz w:val="15"/>
                <w:szCs w:val="15"/>
                <w:color w:val="auto"/>
              </w:rPr>
            </w:pPr>
          </w:p>
        </w:tc>
        <w:tc>
          <w:tcPr>
            <w:tcW w:w="540" w:type="dxa"/>
            <w:vAlign w:val="bottom"/>
            <w:tcBorders>
              <w:bottom w:val="single" w:sz="8" w:color="auto"/>
              <w:right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registered(1)(2)</w:t>
            </w: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92"/>
              </w:rPr>
              <w:t>per share(1)</w:t>
            </w:r>
          </w:p>
        </w:tc>
        <w:tc>
          <w:tcPr>
            <w:tcW w:w="160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4"/>
                <w:szCs w:val="14"/>
                <w:b w:val="1"/>
                <w:bCs w:val="1"/>
                <w:color w:val="auto"/>
                <w:w w:val="93"/>
              </w:rPr>
              <w:t>offering price(1)</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registration fee(1)</w:t>
            </w:r>
          </w:p>
        </w:tc>
        <w:tc>
          <w:tcPr>
            <w:tcW w:w="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Common stock, par value $0.01 per share</w:t>
            </w:r>
          </w:p>
        </w:tc>
        <w:tc>
          <w:tcPr>
            <w:tcW w:w="1420" w:type="dxa"/>
            <w:vAlign w:val="bottom"/>
            <w:tcBorders>
              <w:bottom w:val="single" w:sz="8" w:color="auto"/>
              <w:right w:val="single" w:sz="8" w:color="auto"/>
            </w:tcBorders>
            <w:gridSpan w:val="2"/>
          </w:tcPr>
          <w:p>
            <w:pPr>
              <w:spacing w:after="0"/>
              <w:rPr>
                <w:sz w:val="18"/>
                <w:szCs w:val="18"/>
                <w:color w:val="auto"/>
              </w:rPr>
            </w:pPr>
          </w:p>
        </w:tc>
        <w:tc>
          <w:tcPr>
            <w:tcW w:w="1600" w:type="dxa"/>
            <w:vAlign w:val="bottom"/>
            <w:tcBorders>
              <w:bottom w:val="single" w:sz="8" w:color="auto"/>
              <w:right w:val="single" w:sz="8" w:color="auto"/>
            </w:tcBorders>
          </w:tcPr>
          <w:p>
            <w:pPr>
              <w:jc w:val="right"/>
              <w:ind w:right="324"/>
              <w:spacing w:after="0"/>
              <w:rPr>
                <w:sz w:val="20"/>
                <w:szCs w:val="20"/>
                <w:color w:val="auto"/>
              </w:rPr>
            </w:pPr>
            <w:r>
              <w:rPr>
                <w:rFonts w:ascii="Arial" w:cs="Arial" w:eastAsia="Arial" w:hAnsi="Arial"/>
                <w:sz w:val="18"/>
                <w:szCs w:val="18"/>
                <w:color w:val="auto"/>
              </w:rPr>
              <w:t>5,054,223</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center"/>
              <w:ind w:right="89"/>
              <w:spacing w:after="0"/>
              <w:rPr>
                <w:sz w:val="20"/>
                <w:szCs w:val="20"/>
                <w:color w:val="auto"/>
              </w:rPr>
            </w:pPr>
            <w:r>
              <w:rPr>
                <w:rFonts w:ascii="Arial" w:cs="Arial" w:eastAsia="Arial" w:hAnsi="Arial"/>
                <w:sz w:val="14"/>
                <w:szCs w:val="14"/>
                <w:color w:val="auto"/>
              </w:rPr>
              <w:t>N/A</w:t>
            </w:r>
          </w:p>
        </w:tc>
        <w:tc>
          <w:tcPr>
            <w:tcW w:w="160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4"/>
                <w:szCs w:val="14"/>
                <w:color w:val="auto"/>
              </w:rPr>
              <w:t>N/A</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right="20" w:hanging="452"/>
        <w:spacing w:after="0" w:line="267" w:lineRule="auto"/>
        <w:tabs>
          <w:tab w:leader="none" w:pos="4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This Post-Effective Amendment No. 1 covers up to 5,054,223 shares of common stock of Schlumberger N.V. (Schlumberger Limited) (“Schlumberger”) issuable by Schlumberger with respect to certain equity-based awards outstanding under the Cameron International Corporation Equity Incentive Plan, the Cameron International Corporation Nonqualified Deferred Compensation Plan, the Cameron International Corporation Deferred Compensation Plan For Non-Employee Directors, the OneSubsea LLC Nonqualified Deferred Compensation Plan, the Natco Group Inc. 2004 Stock Incentive Plan, and the Natco Group Inc. 2006 Long Term Incentive Compensation Plan (collectively, the “Plans”), originally registered on Schlumberger’s Registration Statement on Form S-4 (File No. 333-207260), as amended, initially filed with the Securities and Exchange Commission (the “Commission”) on October 2, 2015 (the “Registration Statement”). The proposed maximum offering price was calculated and the fee was previously paid in connection with the filing with the Commission of the Registration Statement.</w:t>
      </w:r>
    </w:p>
    <w:p>
      <w:pPr>
        <w:spacing w:after="0" w:line="3" w:lineRule="exact"/>
        <w:rPr>
          <w:rFonts w:ascii="Arial" w:cs="Arial" w:eastAsia="Arial" w:hAnsi="Arial"/>
          <w:sz w:val="17"/>
          <w:szCs w:val="17"/>
          <w:color w:val="auto"/>
        </w:rPr>
      </w:pPr>
    </w:p>
    <w:p>
      <w:pPr>
        <w:jc w:val="both"/>
        <w:ind w:left="460" w:right="240" w:hanging="452"/>
        <w:spacing w:after="0" w:line="255"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Pursuant to Rule 416(a) under the Securities Act of 1933, as amended (the “Securities Act”), this Registration Statement shall be deemed to cover an indeterminate number of additional shares that may become issuable as a result of stock splits, stock dividends or similar transactions pursuant to the anti-dilution provisions of the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181610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Schlumberger N.V. (Schlumberger Limited) (“Schlumberger”) hereby amends its Registration Statement on Form S-4 (Registration No. 333-207260), which was filed on October 2, 2015, as subsequently amended, and was declared effective on November 16, 2015 (the “Registration Statement”), by filing this Post-Effective Amendment No. 1 on Form S-8 relating to up to 5,054,223 shares of Schlumberger’s common stock, par value $0.01 per share (“Schlumberger Common Stock”), issuable by Schlumberger upon the exercise of stock options, restricted stock units, performance share awards and deferred stock units granted under the Cameron International Corporation Equity Incentive Plan, the Cameron International Corporation Nonqualified Deferred Compensation Plan, the Cameron International Corporation Deferred Compensation Plan For Non-Employee Directors, the OneSubsea LLC Nonqualified Deferred Compensation Plan, the Natco Group Inc. 2004 Stock Incentive Plan, and the Natco Group Inc. 2006 Long Term Incentive Compensation Plan (collectively, the “Plans”).</w:t>
      </w:r>
    </w:p>
    <w:p>
      <w:pPr>
        <w:spacing w:after="0" w:line="19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On April 1, 2016, pursuant to an Agreement and Plan of Merger, dated as of August 25, 2015 (the “Merger Agreement”), among Schlumberger Holdings Corporation, an indirect wholly-owned subsidiary of Schlumberger (“Schlumberger US”), Rain Merger Sub LLC, a direct wholly-owned subsidiary of Schlumberger US (“Merger Sub”), Schlumberger and Cameron International Corporation, a Delaware corporation (“Cameron”), Merger Sub merged with and into Cameron, with Cameron as the surviving corporation. As a result of the merger, Cameron became an indirect wholly owned subsidiary of Schlumberger. Pursuant to the Merger Agreement, all outstanding options to purchase shares of Cameron common stock, par value $0.01 per share (“Cameron Common Stock”), were converted into options to purchase shares of Schlumberger Common Stock with the duration and terms of such converted options to remain the same as the original Cameron option. The number of shares of Schlumberger Common Stock subject to each option is determined by multiplying the number of shares of Cameron Common Stock subject to the original Cameron option by (1) the 0.716 exchange ratio plus (2) the quotient obtained by dividing $14.44 by the average of the volume weighted average price of a share of Schlumberger Common Stock on each of the five consecutive trading days ending with the second complete trading day prior to the effective time of the merger (the “Equity Award Exchange Ratio”), rounded down to the nearest whole share. The option exercise price per share of Schlumberger Common Stock is equal to the option exercise price per share of Cameron Common Stock under the original Cameron option divided by the Equity Award Exchange Ratio rounded up to the nearest whole cent. In addition, each outstanding award of restricted stock units made by Cameron, including any restricted stock units granted after the execution of the merger agreement, was converted into an award of Schlumberger restricted stock units in an amount equal to the product of the number of shares of Cameron stock subject to the original Cameron award and the Equity Award Exchange Ratio, rounded to the nearest whole number of shares. Further, each outstanding award of performance shares granted by Cameron was converted into fully vested deferred stock units that will be settled in Schlumberger Common Stock on the same payment schedule as the original Cameron award. Each outstanding award of deferred stock units granted by Cameron under any of its plans was canceled and converted into the right to receive the merger consideration based on the total number of shares of Cameron Common Stock subject to the outstanding award.</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1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The document(s) containing the information specified in Part I of Form S-8 have been or will be sent or given to participants in the Plans as specified by Rule 428(b)(1) under the Securities Act. These documents and the documents incorporated by reference into this Registration Statement pursuant to Item 3 of Part II of this Registration Statement, taken together, constitute a prospectus that meets the requirements of Section 10(a) of the Securities Act.</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Incorporation of Documents by Reference</w:t>
      </w:r>
      <w:r>
        <w:rPr>
          <w:rFonts w:ascii="Arial" w:cs="Arial" w:eastAsia="Arial" w:hAnsi="Arial"/>
          <w:sz w:val="15"/>
          <w:szCs w:val="15"/>
          <w:b w:val="1"/>
          <w:bCs w:val="1"/>
          <w:color w:val="auto"/>
        </w:rPr>
        <w:t>.</w:t>
      </w:r>
    </w:p>
    <w:p>
      <w:pPr>
        <w:spacing w:after="0" w:line="121"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This Registration Statement incorporates herein by reference the following documents, which have been filed with the Commission by the Registrant (SEC File No. 001-04601) pursuant to the Securities Act and the Securities Exchange Act of 1934, as amended (the “Exchange Act”):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3" w:name="page4"/>
    <w:bookmarkEnd w:id="3"/>
    <w:p>
      <w:pPr>
        <w:ind w:left="1460" w:hanging="547"/>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Schlumberger’s Annual Report on Form 10-K for the fiscal year ended December 31, 2015;</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Schlumberger’s Current Reports on Form 8-K filed with the SEC on February 5, 2016 and March 25, 2016; and</w:t>
      </w:r>
    </w:p>
    <w:p>
      <w:pPr>
        <w:spacing w:after="0" w:line="130" w:lineRule="exact"/>
        <w:rPr>
          <w:rFonts w:ascii="Arial" w:cs="Arial" w:eastAsia="Arial" w:hAnsi="Arial"/>
          <w:sz w:val="18"/>
          <w:szCs w:val="18"/>
          <w:color w:val="auto"/>
        </w:rPr>
      </w:pPr>
    </w:p>
    <w:p>
      <w:pPr>
        <w:ind w:left="1460" w:right="140" w:hanging="547"/>
        <w:spacing w:after="0" w:line="277" w:lineRule="auto"/>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description of Schlumberger’s common stock, par value $0.01 per share, contained in Schlumberger’s Current Report on Form 8-K filed on April 29, 2005.</w:t>
      </w:r>
    </w:p>
    <w:p>
      <w:pPr>
        <w:spacing w:after="0" w:line="17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Each document filed with the Commission by the Schlumberger pursuant to Sections 13(a), 13(c), 14 or 15(d) of the Exchange Act subsequent to the date of this Registration Statement and prior to the filing of any further post-effective amendment to this Registration Statement which indicates that all securities offered hereby have been sold, or which deregisters all securities then remaining unsold, shall be deemed to be incorporated by reference in this Registration Statement and to be a part hereof from the date of filing of such documents.</w:t>
      </w:r>
    </w:p>
    <w:p>
      <w:pPr>
        <w:spacing w:after="0" w:line="18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Any statement contained in this Registration Statement, in any amendment hereto or in a document incorporated by reference herein shall be deemed to be modified or superseded for purposes of this Registration Statement to the extent that a statement contained herein or in any subsequently filed amendment to this Registration Statement or in any document that also is incorporated by reference herein modifies or supersedes such statement. Any statement so modified or superseded shall not be deemed, except as so modified or superseded, to constitute a part of this Registration Statement.</w:t>
      </w:r>
    </w:p>
    <w:p>
      <w:pPr>
        <w:spacing w:after="0" w:line="29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Description of Securities</w:t>
      </w:r>
      <w:r>
        <w:rPr>
          <w:rFonts w:ascii="Arial" w:cs="Arial" w:eastAsia="Arial" w:hAnsi="Arial"/>
          <w:sz w:val="15"/>
          <w:szCs w:val="15"/>
          <w:b w:val="1"/>
          <w:bCs w:val="1"/>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Interests of Named Experts and Counsel</w:t>
      </w:r>
      <w:r>
        <w:rPr>
          <w:rFonts w:ascii="Arial" w:cs="Arial" w:eastAsia="Arial" w:hAnsi="Arial"/>
          <w:sz w:val="15"/>
          <w:szCs w:val="15"/>
          <w:b w:val="1"/>
          <w:bCs w:val="1"/>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Article 10 of Schlumberger’s Articles of Incorporation and Article V of Schlumberger’s Amended and Restated By-Laws contain provisions providing for indemnification of Schlumberger’s directors, officers, employees and agents. Article 10 of the Articles of Incorporation permits (but does not require) Schlumberger to indemnify directors, officers, employees and agents, except that indemnification is mandatory with respect to a present or former officer or director in the event of a change of control or if such present or former officer or director has been successful on the merits or otherwise in the defense of any action, suit or proceeding. Article V of Schlumberger’s Amended and Restated By-Laws contains mandatory indemnification for current and former directors and officers as described below.</w:t>
      </w:r>
    </w:p>
    <w:p>
      <w:pPr>
        <w:spacing w:after="0" w:line="193"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To the fullest extent permitted by applicable law, Schlumberger is required to indemnify any current or former director or officer who was or is a party or is threatened to be made a party to any threatened, pending or completed action, suit or proceeding, whether civil, criminal, administrative or investigative (other than an action by or in the right of Schlumberger) by reason of the fact that he or she is or was a director or officer, of Schlumberger, or is or was a director of any subsidiary of Schlumberger or an officer appointed or elected by the board of directors of Schlumberger or of a subsidiary, or is or was any such officer or director of Schlumberger or of a subsidiary of Schlumberger serving at the request of Schlumberger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Schlumberger, and, with respect to any criminal action or proceeding, had no reasonable cause to believe that such person’s conduct was unlawful. The termination of any action, suit or proceeding by judgment, order, settlement, conviction, or upon a plea of nolo contendere or its equivalent, does not, of itself, create a presumption that the person did not act in good faith and in a manner which such person reasonably believed to be in or not opposed to the best interests of Schlumberger, and, with respect to any criminal action or proceeding, had reasonable cause to believe that such person’s conduct was unlawful; provided, however, that, except with respect to proceedings to enforce rights to indemnification and advancement, Schlumberger is required to indemnify any such person in connection with a proceeding (or part thereof) initiated by such person (including claims and counterclaims, whether such counterclaims are asserted by (a) such person, or (b) Schlumberger in a proceeding initiated by such person) only if such proceeding (or part thereof) was authorized by the board of directors of Schlumberger. Schlumberger is required to indemnify any present or former officer or</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4" w:name="page5"/>
    <w:bookmarkEnd w:id="4"/>
    <w:p>
      <w:pPr>
        <w:ind w:right="6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 of Schlumberger to the fullest extent allowed by the preceding paragraphs in the event of a “Change of Control.” “Change of Control” means a change in control of Schlumberger, which will be deemed to have occurred if at any time (i) any entity, person or organization is or becomes the legal or beneficial owner, directly or indirectly, of securities of Schlumberger representing 30% or more of the combined voting power of Schlumberger’s then outstanding shares without the prior approval of at least two-thirds of the members of the board of directors in office immediately prior to such entity, person or organization attaining such percentage interest; (ii) Schlumberger is a party to a merger, consolidation, share exchange, sale of assets or other reorganization, or a proxy contest, as a consequence of which members of the board of directors in office immediately prior to such transaction or event constitute less than a majority of the board of directors thereafter; or (iii) during any 15-month period, individuals who at the beginning of such period constituted the board of directors (including for this purpose any new director whose election or nomination for election by Schlumberger’s stockholders was approved by a vote of at least two-thirds of the directors then still in office who were directors at the beginning of such period) cease for any reason to constitute at least a majority of the board of directors.</w:t>
      </w:r>
    </w:p>
    <w:p>
      <w:pPr>
        <w:spacing w:after="0" w:line="178"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To the fullest extent permitted by applicable law, Schlumberger is required to indemnify any current or former director or officer of Schlumberger who was or is a party or is threatened to be made a party to any threatened, pending or completed action or suit by or in the right of Schlumberger to procure a judgment in Schlumberger’s favor by reason of the fact that such person is or was a director, officer, employee or agent of Schlumberger, or is or was serving at the request of Schlumberger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the defense or settlement of such action or suit if such person acted in good faith and in a manner such person reasonably believed to be in or not opposed to the best interests of Schlumberger and except that no indemnification may be made in respect of any claim, issue or matter as to which such person has been finally adjudged to be liable to Schlumberger for improper conduct unless and only to the extent that the court in which that action or suit was brought or any other court having appropriate jurisdiction determines upon application that, despite the adjudication of liability, but in view of all the circumstances of the case, such person is fairly and reasonably entitled to indemnity for those expenses, judgments, fines and amounts paid in settlement which the court in which the action or suit was brought or such other court having appropriate jurisdiction deems proper. Schlumberger is required to indemnify any present or former officer or director to the fullest extent allowed by this paragraph in the event of a Change of Control (as defined above).</w:t>
      </w:r>
    </w:p>
    <w:p>
      <w:pPr>
        <w:spacing w:after="0" w:line="169"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Any indemnification under the preceding two paragraphs (unless ordered by a court) may be extended to current or former employees or agents of Schlumberger or a subsidiary of Schlumberger only as authorized by the Chief Executive Officer or by contract approved, or by-laws, resolution or other action adopted or taken, by the board of directors or by the stockholders.</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Expenses (including attorneys’ fees) incurred by a present or former director or a present officer of Schlumberger or any subsidiary of Schlumberger in defending any civil or criminal, administrative or investigative action, suit or proceeding will be paid by Schlumberger in advance of the final disposition of such action, suit or proceeding upon receipt of an undertaking by or on behalf of such person to repay such amount if it is ultimately determined that such person is not entitled to be indemnified by Schlumberger.</w:t>
      </w:r>
    </w:p>
    <w:p>
      <w:pPr>
        <w:spacing w:after="0" w:line="18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Schlumberger may pay such expenses (including attorneys’ fees) incurred by former officers or other employees and agents upon such terms and conditions, if any, it deems appropriate.</w:t>
      </w:r>
    </w:p>
    <w:p>
      <w:pPr>
        <w:spacing w:after="0" w:line="170"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indemnification and advancement of expenses described above are not exclusive of any other rights to which those seeking indemnification or advancement of expenses may be entitled under any law, by-law, agreement, vote of stockholders or disinterested directors, or otherwise, both as to action in such person’s official capacity and as to action in another capacity while holding such office, and, unless otherwise provided when authorized or ratified, continues as to a person who has ceased to be a director, officer, employee or agent and inures to the benefit of the heirs, executors and administrators of that person.</w:t>
      </w:r>
    </w:p>
    <w:p>
      <w:pPr>
        <w:spacing w:after="0" w:line="18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Schlumberger has the power to purchase and maintain insurance on behalf of any person who is or was a director, officer, employee or agent of Schlumberger, or is or was serving at the request of Schlumberger in such a capacity for another corporation, partnership, joint venture, trust or other enterprise or entity against any liability asserted against that person and incurred by that person in any of those capacities or arising out of such person’s status as such, whether or not Schlumberger would have the power to indemnify such person against such liability.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5" w:name="page6"/>
    <w:bookmarkEnd w:id="5"/>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References to Schlumberger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or is or was serving at the request of such constituent corporation as a director, officer, employee or agent of another corporation, partnership, joint venture, trust or other enterprise or entity, stands in the same position with respect to the resulting or surviving corporation as such person would have had with respect to such constituent corporation if its separate existence had continued.</w:t>
      </w:r>
    </w:p>
    <w:p>
      <w:pPr>
        <w:spacing w:after="0" w:line="193"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References to “other enterprises” includes employee benefit plans; references to “fines” includes any excise taxes assessed on a person with respect to any employee benefit plan; and references to “serving at the request of Schlumberger” includes any service as a director, officer, employee or agent of Schlumberger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will be deemed to have acted in a manner “not opposed to the best interests of Schlumberger.”</w:t>
      </w:r>
    </w:p>
    <w:p>
      <w:pPr>
        <w:spacing w:after="0" w:line="158"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A member of the board of directors, or a member of any committee designated by the board of directors, will, in the performance of such member’s duties, be fully protected in relying in good faith upon the records of Schlumberger and upon such information, opinions, reports or statements presented to Schlumberger by any of Schlumberger’s officers or employees, or committees of the board of directors, or by any other person as to matters the member reasonably believes are within such other person’s professional or expert competence and who has been selected with reasonable care by or on behalf of Schlumberger.</w:t>
      </w:r>
    </w:p>
    <w:p>
      <w:pPr>
        <w:spacing w:after="0" w:line="18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In addition, Schlumberger maintains directors’ and officers’ liability insurance which insures against certain liabilities that the officers and directors of Schlumberger may incur in such capacities.</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Exemption from Registration Claimed.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10600" w:type="dxa"/>
            <w:vAlign w:val="bottom"/>
            <w:gridSpan w:val="3"/>
          </w:tcPr>
          <w:p>
            <w:pPr>
              <w:ind w:left="260"/>
              <w:spacing w:after="0"/>
              <w:rPr>
                <w:sz w:val="20"/>
                <w:szCs w:val="20"/>
                <w:color w:val="auto"/>
              </w:rPr>
            </w:pPr>
            <w:r>
              <w:rPr>
                <w:rFonts w:ascii="Arial" w:cs="Arial" w:eastAsia="Arial" w:hAnsi="Arial"/>
                <w:sz w:val="18"/>
                <w:szCs w:val="18"/>
                <w:b w:val="1"/>
                <w:bCs w:val="1"/>
                <w:i w:val="1"/>
                <w:iCs w:val="1"/>
                <w:color w:val="auto"/>
              </w:rPr>
              <w:t>Exhibits.</w:t>
            </w:r>
          </w:p>
        </w:tc>
        <w:tc>
          <w:tcPr>
            <w:tcW w:w="0" w:type="dxa"/>
            <w:vAlign w:val="bottom"/>
          </w:tcPr>
          <w:p>
            <w:pPr>
              <w:spacing w:after="0"/>
              <w:rPr>
                <w:sz w:val="1"/>
                <w:szCs w:val="1"/>
                <w:color w:val="auto"/>
              </w:rPr>
            </w:pPr>
          </w:p>
        </w:tc>
      </w:tr>
      <w:tr>
        <w:trPr>
          <w:trHeight w:val="369"/>
        </w:trPr>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5080" w:type="dxa"/>
            <w:vAlign w:val="bottom"/>
            <w:vMerge w:val="restart"/>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8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No.</w:t>
            </w:r>
          </w:p>
        </w:tc>
        <w:tc>
          <w:tcPr>
            <w:tcW w:w="320" w:type="dxa"/>
            <w:vAlign w:val="bottom"/>
          </w:tcPr>
          <w:p>
            <w:pPr>
              <w:spacing w:after="0"/>
              <w:rPr>
                <w:sz w:val="14"/>
                <w:szCs w:val="14"/>
                <w:color w:val="auto"/>
              </w:rPr>
            </w:pPr>
          </w:p>
        </w:tc>
        <w:tc>
          <w:tcPr>
            <w:tcW w:w="5080" w:type="dxa"/>
            <w:vAlign w:val="bottom"/>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4"/>
                <w:szCs w:val="24"/>
                <w:color w:val="auto"/>
              </w:rPr>
            </w:pPr>
          </w:p>
        </w:tc>
        <w:tc>
          <w:tcPr>
            <w:tcW w:w="10600" w:type="dxa"/>
            <w:vAlign w:val="bottom"/>
            <w:gridSpan w:val="3"/>
          </w:tcPr>
          <w:p>
            <w:pPr>
              <w:ind w:left="240"/>
              <w:spacing w:after="0"/>
              <w:rPr>
                <w:sz w:val="20"/>
                <w:szCs w:val="20"/>
                <w:color w:val="auto"/>
              </w:rPr>
            </w:pPr>
            <w:r>
              <w:rPr>
                <w:rFonts w:ascii="Arial" w:cs="Arial" w:eastAsia="Arial" w:hAnsi="Arial"/>
                <w:sz w:val="18"/>
                <w:szCs w:val="18"/>
                <w:color w:val="auto"/>
                <w:w w:val="91"/>
              </w:rPr>
              <w:t>Articles of Incorporation of Schlumberger Limited (Schlumberger N.V.), as last amended on April 6, 2011 (incorporated by reference to Exhibit</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0" w:type="dxa"/>
            <w:vAlign w:val="bottom"/>
            <w:gridSpan w:val="3"/>
          </w:tcPr>
          <w:p>
            <w:pPr>
              <w:ind w:left="240"/>
              <w:spacing w:after="0"/>
              <w:rPr>
                <w:sz w:val="20"/>
                <w:szCs w:val="20"/>
                <w:color w:val="auto"/>
              </w:rPr>
            </w:pPr>
            <w:r>
              <w:rPr>
                <w:rFonts w:ascii="Arial" w:cs="Arial" w:eastAsia="Arial" w:hAnsi="Arial"/>
                <w:sz w:val="18"/>
                <w:szCs w:val="18"/>
                <w:color w:val="auto"/>
              </w:rPr>
              <w:t>3 to Schlumberger’s Current Report on Form 8-K filed on April 7, 2011).</w:t>
            </w:r>
          </w:p>
        </w:tc>
        <w:tc>
          <w:tcPr>
            <w:tcW w:w="0" w:type="dxa"/>
            <w:vAlign w:val="bottom"/>
          </w:tcPr>
          <w:p>
            <w:pPr>
              <w:spacing w:after="0"/>
              <w:rPr>
                <w:sz w:val="1"/>
                <w:szCs w:val="1"/>
                <w:color w:val="auto"/>
              </w:rPr>
            </w:pPr>
          </w:p>
        </w:tc>
      </w:tr>
      <w:tr>
        <w:trPr>
          <w:trHeight w:val="310"/>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24"/>
                <w:szCs w:val="24"/>
                <w:color w:val="auto"/>
              </w:rPr>
            </w:pPr>
          </w:p>
        </w:tc>
        <w:tc>
          <w:tcPr>
            <w:tcW w:w="10600" w:type="dxa"/>
            <w:vAlign w:val="bottom"/>
            <w:gridSpan w:val="3"/>
          </w:tcPr>
          <w:p>
            <w:pPr>
              <w:ind w:left="240"/>
              <w:spacing w:after="0"/>
              <w:rPr>
                <w:sz w:val="20"/>
                <w:szCs w:val="20"/>
                <w:color w:val="auto"/>
              </w:rPr>
            </w:pPr>
            <w:r>
              <w:rPr>
                <w:rFonts w:ascii="Arial" w:cs="Arial" w:eastAsia="Arial" w:hAnsi="Arial"/>
                <w:sz w:val="18"/>
                <w:szCs w:val="18"/>
                <w:color w:val="auto"/>
                <w:w w:val="91"/>
              </w:rPr>
              <w:t>Amended and Restated By-Laws of Schlumberger Limited (Schlumberger N.V.), as last amended on May 12, 2015 (incorporated by reference</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0" w:type="dxa"/>
            <w:vAlign w:val="bottom"/>
            <w:gridSpan w:val="3"/>
          </w:tcPr>
          <w:p>
            <w:pPr>
              <w:ind w:left="240"/>
              <w:spacing w:after="0"/>
              <w:rPr>
                <w:sz w:val="20"/>
                <w:szCs w:val="20"/>
                <w:color w:val="auto"/>
              </w:rPr>
            </w:pPr>
            <w:r>
              <w:rPr>
                <w:rFonts w:ascii="Arial" w:cs="Arial" w:eastAsia="Arial" w:hAnsi="Arial"/>
                <w:sz w:val="18"/>
                <w:szCs w:val="18"/>
                <w:color w:val="auto"/>
              </w:rPr>
              <w:t>to Exhibit 3.1 to Schlumberger’s Current Report on Form 8-K filed on May 12, 2015).</w:t>
            </w:r>
          </w:p>
        </w:tc>
        <w:tc>
          <w:tcPr>
            <w:tcW w:w="0" w:type="dxa"/>
            <w:vAlign w:val="bottom"/>
          </w:tcPr>
          <w:p>
            <w:pPr>
              <w:spacing w:after="0"/>
              <w:rPr>
                <w:sz w:val="1"/>
                <w:szCs w:val="1"/>
                <w:color w:val="auto"/>
              </w:rPr>
            </w:pPr>
          </w:p>
        </w:tc>
      </w:tr>
      <w:tr>
        <w:trPr>
          <w:trHeight w:val="310"/>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24"/>
                <w:szCs w:val="24"/>
                <w:color w:val="auto"/>
              </w:rPr>
            </w:pPr>
          </w:p>
        </w:tc>
        <w:tc>
          <w:tcPr>
            <w:tcW w:w="10600" w:type="dxa"/>
            <w:vAlign w:val="bottom"/>
            <w:gridSpan w:val="3"/>
          </w:tcPr>
          <w:p>
            <w:pPr>
              <w:ind w:left="240"/>
              <w:spacing w:after="0"/>
              <w:rPr>
                <w:sz w:val="20"/>
                <w:szCs w:val="20"/>
                <w:color w:val="auto"/>
              </w:rPr>
            </w:pPr>
            <w:r>
              <w:rPr>
                <w:rFonts w:ascii="Arial" w:cs="Arial" w:eastAsia="Arial" w:hAnsi="Arial"/>
                <w:sz w:val="18"/>
                <w:szCs w:val="18"/>
                <w:color w:val="auto"/>
                <w:w w:val="92"/>
              </w:rPr>
              <w:t>Opinion of STvB Advocaten (Curaçao) N.V. as to the legality of the Schlumberger Shares (contained in the pre-effective Amendment No. 1 to</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0" w:type="dxa"/>
            <w:vAlign w:val="bottom"/>
            <w:gridSpan w:val="3"/>
          </w:tcPr>
          <w:p>
            <w:pPr>
              <w:ind w:left="240"/>
              <w:spacing w:after="0"/>
              <w:rPr>
                <w:sz w:val="20"/>
                <w:szCs w:val="20"/>
                <w:color w:val="auto"/>
              </w:rPr>
            </w:pPr>
            <w:r>
              <w:rPr>
                <w:rFonts w:ascii="Arial" w:cs="Arial" w:eastAsia="Arial" w:hAnsi="Arial"/>
                <w:sz w:val="18"/>
                <w:szCs w:val="18"/>
                <w:color w:val="auto"/>
              </w:rPr>
              <w:t>Form S-4 previously filed on November 13, 2015).</w:t>
            </w:r>
          </w:p>
        </w:tc>
        <w:tc>
          <w:tcPr>
            <w:tcW w:w="0" w:type="dxa"/>
            <w:vAlign w:val="bottom"/>
          </w:tcPr>
          <w:p>
            <w:pPr>
              <w:spacing w:after="0"/>
              <w:rPr>
                <w:sz w:val="1"/>
                <w:szCs w:val="1"/>
                <w:color w:val="auto"/>
              </w:rPr>
            </w:pPr>
          </w:p>
        </w:tc>
      </w:tr>
      <w:tr>
        <w:trPr>
          <w:trHeight w:val="324"/>
        </w:trPr>
        <w:tc>
          <w:tcPr>
            <w:tcW w:w="460" w:type="dxa"/>
            <w:vAlign w:val="bottom"/>
          </w:tcPr>
          <w:p>
            <w:pPr>
              <w:jc w:val="right"/>
              <w:ind w:right="54"/>
              <w:spacing w:after="0"/>
              <w:rPr>
                <w:sz w:val="20"/>
                <w:szCs w:val="20"/>
                <w:color w:val="auto"/>
              </w:rPr>
            </w:pPr>
            <w:r>
              <w:rPr>
                <w:rFonts w:ascii="Arial" w:cs="Arial" w:eastAsia="Arial" w:hAnsi="Arial"/>
                <w:sz w:val="18"/>
                <w:szCs w:val="18"/>
                <w:color w:val="auto"/>
                <w:w w:val="85"/>
              </w:rPr>
              <w:t>23.1</w:t>
            </w:r>
          </w:p>
        </w:tc>
        <w:tc>
          <w:tcPr>
            <w:tcW w:w="320" w:type="dxa"/>
            <w:vAlign w:val="bottom"/>
          </w:tcPr>
          <w:p>
            <w:pPr>
              <w:spacing w:after="0"/>
              <w:rPr>
                <w:sz w:val="24"/>
                <w:szCs w:val="24"/>
                <w:color w:val="auto"/>
              </w:rPr>
            </w:pPr>
          </w:p>
        </w:tc>
        <w:tc>
          <w:tcPr>
            <w:tcW w:w="10600" w:type="dxa"/>
            <w:vAlign w:val="bottom"/>
            <w:gridSpan w:val="3"/>
          </w:tcPr>
          <w:p>
            <w:pPr>
              <w:ind w:left="240"/>
              <w:spacing w:after="0"/>
              <w:rPr>
                <w:sz w:val="20"/>
                <w:szCs w:val="20"/>
                <w:color w:val="auto"/>
              </w:rPr>
            </w:pPr>
            <w:r>
              <w:rPr>
                <w:rFonts w:ascii="Arial" w:cs="Arial" w:eastAsia="Arial" w:hAnsi="Arial"/>
                <w:sz w:val="18"/>
                <w:szCs w:val="18"/>
                <w:color w:val="auto"/>
              </w:rPr>
              <w:t>Consent of STvB Advocaten (Curaçao) N.V. (included in the opinion filed as Exhibit 5.1).</w:t>
            </w:r>
          </w:p>
        </w:tc>
        <w:tc>
          <w:tcPr>
            <w:tcW w:w="0" w:type="dxa"/>
            <w:vAlign w:val="bottom"/>
          </w:tcPr>
          <w:p>
            <w:pPr>
              <w:spacing w:after="0"/>
              <w:rPr>
                <w:sz w:val="1"/>
                <w:szCs w:val="1"/>
                <w:color w:val="auto"/>
              </w:rPr>
            </w:pP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w w:val="95"/>
              </w:rPr>
              <w:t>23.2*</w:t>
            </w:r>
          </w:p>
        </w:tc>
        <w:tc>
          <w:tcPr>
            <w:tcW w:w="320" w:type="dxa"/>
            <w:vAlign w:val="bottom"/>
          </w:tcPr>
          <w:p>
            <w:pPr>
              <w:spacing w:after="0"/>
              <w:rPr>
                <w:sz w:val="24"/>
                <w:szCs w:val="24"/>
                <w:color w:val="auto"/>
              </w:rPr>
            </w:pPr>
          </w:p>
        </w:tc>
        <w:tc>
          <w:tcPr>
            <w:tcW w:w="10600" w:type="dxa"/>
            <w:vAlign w:val="bottom"/>
            <w:gridSpan w:val="3"/>
          </w:tcPr>
          <w:p>
            <w:pPr>
              <w:ind w:left="240"/>
              <w:spacing w:after="0"/>
              <w:rPr>
                <w:sz w:val="20"/>
                <w:szCs w:val="20"/>
                <w:color w:val="auto"/>
              </w:rPr>
            </w:pPr>
            <w:r>
              <w:rPr>
                <w:rFonts w:ascii="Arial" w:cs="Arial" w:eastAsia="Arial" w:hAnsi="Arial"/>
                <w:sz w:val="18"/>
                <w:szCs w:val="18"/>
                <w:color w:val="auto"/>
                <w:w w:val="95"/>
              </w:rPr>
              <w:t>Consent of PricewaterhouseCoopers LLP, independent registered public accounting firm for Schlumberger Limited (Schlumberger N.V.).</w:t>
            </w:r>
          </w:p>
        </w:tc>
        <w:tc>
          <w:tcPr>
            <w:tcW w:w="0" w:type="dxa"/>
            <w:vAlign w:val="bottom"/>
          </w:tcPr>
          <w:p>
            <w:pPr>
              <w:spacing w:after="0"/>
              <w:rPr>
                <w:sz w:val="1"/>
                <w:szCs w:val="1"/>
                <w:color w:val="auto"/>
              </w:rPr>
            </w:pP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w w:val="95"/>
              </w:rPr>
              <w:t>23.3*</w:t>
            </w:r>
          </w:p>
        </w:tc>
        <w:tc>
          <w:tcPr>
            <w:tcW w:w="320" w:type="dxa"/>
            <w:vAlign w:val="bottom"/>
          </w:tcPr>
          <w:p>
            <w:pPr>
              <w:spacing w:after="0"/>
              <w:rPr>
                <w:sz w:val="24"/>
                <w:szCs w:val="24"/>
                <w:color w:val="auto"/>
              </w:rPr>
            </w:pPr>
          </w:p>
        </w:tc>
        <w:tc>
          <w:tcPr>
            <w:tcW w:w="10600" w:type="dxa"/>
            <w:vAlign w:val="bottom"/>
            <w:gridSpan w:val="3"/>
          </w:tcPr>
          <w:p>
            <w:pPr>
              <w:ind w:left="240"/>
              <w:spacing w:after="0"/>
              <w:rPr>
                <w:sz w:val="20"/>
                <w:szCs w:val="20"/>
                <w:color w:val="auto"/>
              </w:rPr>
            </w:pPr>
            <w:r>
              <w:rPr>
                <w:rFonts w:ascii="Arial" w:cs="Arial" w:eastAsia="Arial" w:hAnsi="Arial"/>
                <w:sz w:val="18"/>
                <w:szCs w:val="18"/>
                <w:color w:val="auto"/>
              </w:rPr>
              <w:t>Consent of Ernst &amp; Young LLP, independent registered public accounting firm for Cameron International Corporation.</w:t>
            </w:r>
          </w:p>
        </w:tc>
        <w:tc>
          <w:tcPr>
            <w:tcW w:w="0" w:type="dxa"/>
            <w:vAlign w:val="bottom"/>
          </w:tcPr>
          <w:p>
            <w:pPr>
              <w:spacing w:after="0"/>
              <w:rPr>
                <w:sz w:val="1"/>
                <w:szCs w:val="1"/>
                <w:color w:val="auto"/>
              </w:rPr>
            </w:pPr>
          </w:p>
        </w:tc>
      </w:tr>
      <w:tr>
        <w:trPr>
          <w:trHeight w:val="324"/>
        </w:trPr>
        <w:tc>
          <w:tcPr>
            <w:tcW w:w="460" w:type="dxa"/>
            <w:vAlign w:val="bottom"/>
          </w:tcPr>
          <w:p>
            <w:pPr>
              <w:jc w:val="right"/>
              <w:ind w:right="54"/>
              <w:spacing w:after="0"/>
              <w:rPr>
                <w:sz w:val="20"/>
                <w:szCs w:val="20"/>
                <w:color w:val="auto"/>
              </w:rPr>
            </w:pPr>
            <w:r>
              <w:rPr>
                <w:rFonts w:ascii="Arial" w:cs="Arial" w:eastAsia="Arial" w:hAnsi="Arial"/>
                <w:sz w:val="18"/>
                <w:szCs w:val="18"/>
                <w:color w:val="auto"/>
                <w:w w:val="85"/>
              </w:rPr>
              <w:t>24.1</w:t>
            </w:r>
          </w:p>
        </w:tc>
        <w:tc>
          <w:tcPr>
            <w:tcW w:w="320" w:type="dxa"/>
            <w:vAlign w:val="bottom"/>
          </w:tcPr>
          <w:p>
            <w:pPr>
              <w:spacing w:after="0"/>
              <w:rPr>
                <w:sz w:val="24"/>
                <w:szCs w:val="24"/>
                <w:color w:val="auto"/>
              </w:rPr>
            </w:pPr>
          </w:p>
        </w:tc>
        <w:tc>
          <w:tcPr>
            <w:tcW w:w="10600" w:type="dxa"/>
            <w:vAlign w:val="bottom"/>
            <w:gridSpan w:val="3"/>
          </w:tcPr>
          <w:p>
            <w:pPr>
              <w:ind w:left="240"/>
              <w:spacing w:after="0"/>
              <w:rPr>
                <w:sz w:val="20"/>
                <w:szCs w:val="20"/>
                <w:color w:val="auto"/>
              </w:rPr>
            </w:pPr>
            <w:r>
              <w:rPr>
                <w:rFonts w:ascii="Arial" w:cs="Arial" w:eastAsia="Arial" w:hAnsi="Arial"/>
                <w:sz w:val="18"/>
                <w:szCs w:val="18"/>
                <w:color w:val="auto"/>
              </w:rPr>
              <w:t>Powers of Attorney (contained in Form S-4 filed on October 2, 2015).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6" w:name="page7"/>
    <w:bookmarkEnd w:id="6"/>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w:t>
      </w:r>
      <w:r>
        <w:rPr>
          <w:sz w:val="20"/>
          <w:szCs w:val="20"/>
          <w:color w:val="auto"/>
        </w:rPr>
        <w:tab/>
      </w:r>
      <w:r>
        <w:rPr>
          <w:rFonts w:ascii="Arial" w:cs="Arial" w:eastAsia="Arial" w:hAnsi="Arial"/>
          <w:sz w:val="15"/>
          <w:szCs w:val="15"/>
          <w:b w:val="1"/>
          <w:bCs w:val="1"/>
          <w:i w:val="1"/>
          <w:iCs w:val="1"/>
          <w:color w:val="auto"/>
        </w:rPr>
        <w:t>Undertakings</w:t>
      </w:r>
      <w:r>
        <w:rPr>
          <w:rFonts w:ascii="Arial" w:cs="Arial" w:eastAsia="Arial" w:hAnsi="Arial"/>
          <w:sz w:val="15"/>
          <w:szCs w:val="15"/>
          <w:b w:val="1"/>
          <w:bCs w:val="1"/>
          <w:color w:val="auto"/>
        </w:rPr>
        <w:t>.</w:t>
      </w:r>
    </w:p>
    <w:p>
      <w:pPr>
        <w:spacing w:after="0" w:line="121"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140" w:hanging="219"/>
        <w:spacing w:after="0"/>
        <w:tabs>
          <w:tab w:leader="none" w:pos="1140"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17" w:lineRule="exact"/>
        <w:rPr>
          <w:rFonts w:ascii="Arial" w:cs="Arial" w:eastAsia="Arial" w:hAnsi="Arial"/>
          <w:sz w:val="18"/>
          <w:szCs w:val="18"/>
          <w:color w:val="auto"/>
        </w:rPr>
      </w:pPr>
    </w:p>
    <w:p>
      <w:pPr>
        <w:ind w:left="920" w:right="100" w:firstLine="1"/>
        <w:spacing w:after="0" w:line="255" w:lineRule="auto"/>
        <w:tabs>
          <w:tab w:leader="none" w:pos="1185"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a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81" w:lineRule="exact"/>
        <w:rPr>
          <w:rFonts w:ascii="Arial" w:cs="Arial" w:eastAsia="Arial" w:hAnsi="Arial"/>
          <w:sz w:val="18"/>
          <w:szCs w:val="18"/>
          <w:color w:val="auto"/>
        </w:rPr>
      </w:pPr>
    </w:p>
    <w:p>
      <w:pPr>
        <w:ind w:left="920" w:right="360" w:firstLine="1"/>
        <w:spacing w:after="0" w:line="291" w:lineRule="auto"/>
        <w:tabs>
          <w:tab w:leader="none" w:pos="1235" w:val="left"/>
        </w:tabs>
        <w:numPr>
          <w:ilvl w:val="2"/>
          <w:numId w:val="5"/>
        </w:numPr>
        <w:rPr>
          <w:rFonts w:ascii="Arial" w:cs="Arial" w:eastAsia="Arial" w:hAnsi="Arial"/>
          <w:sz w:val="16"/>
          <w:szCs w:val="16"/>
          <w:color w:val="auto"/>
        </w:rPr>
      </w:pPr>
      <w:r>
        <w:rPr>
          <w:rFonts w:ascii="Arial" w:cs="Arial" w:eastAsia="Arial" w:hAnsi="Arial"/>
          <w:sz w:val="16"/>
          <w:szCs w:val="16"/>
          <w:color w:val="auto"/>
        </w:rPr>
        <w:t>To include any material information with respect to the plan of distribution not previously disclosed in the registration statement or any material change to such information in the registration statement; provided, however, that the undertakings set forth in paragraphs (i) and</w:t>
      </w:r>
    </w:p>
    <w:p>
      <w:pPr>
        <w:ind w:left="920" w:right="40" w:firstLine="1"/>
        <w:spacing w:after="0" w:line="255" w:lineRule="auto"/>
        <w:tabs>
          <w:tab w:leader="none" w:pos="1185" w:val="left"/>
        </w:tabs>
        <w:numPr>
          <w:ilvl w:val="2"/>
          <w:numId w:val="6"/>
        </w:numPr>
        <w:rPr>
          <w:rFonts w:ascii="Arial" w:cs="Arial" w:eastAsia="Arial" w:hAnsi="Arial"/>
          <w:sz w:val="18"/>
          <w:szCs w:val="18"/>
          <w:color w:val="auto"/>
        </w:rPr>
      </w:pPr>
      <w:r>
        <w:rPr>
          <w:rFonts w:ascii="Arial" w:cs="Arial" w:eastAsia="Arial" w:hAnsi="Arial"/>
          <w:sz w:val="18"/>
          <w:szCs w:val="18"/>
          <w:color w:val="auto"/>
        </w:rPr>
        <w:t>above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spacing w:after="0" w:line="82" w:lineRule="exact"/>
        <w:rPr>
          <w:rFonts w:ascii="Arial" w:cs="Arial" w:eastAsia="Arial" w:hAnsi="Arial"/>
          <w:sz w:val="18"/>
          <w:szCs w:val="18"/>
          <w:color w:val="auto"/>
        </w:rPr>
      </w:pPr>
    </w:p>
    <w:p>
      <w:pPr>
        <w:ind w:left="460" w:firstLine="4"/>
        <w:spacing w:after="0" w:line="264" w:lineRule="auto"/>
        <w:tabs>
          <w:tab w:leader="none" w:pos="715" w:val="left"/>
        </w:tabs>
        <w:numPr>
          <w:ilvl w:val="1"/>
          <w:numId w:val="7"/>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73" w:lineRule="exact"/>
        <w:rPr>
          <w:rFonts w:ascii="Arial" w:cs="Arial" w:eastAsia="Arial" w:hAnsi="Arial"/>
          <w:sz w:val="18"/>
          <w:szCs w:val="18"/>
          <w:color w:val="auto"/>
        </w:rPr>
      </w:pPr>
    </w:p>
    <w:p>
      <w:pPr>
        <w:ind w:left="460" w:right="60" w:firstLine="4"/>
        <w:spacing w:after="0" w:line="277" w:lineRule="auto"/>
        <w:tabs>
          <w:tab w:leader="none" w:pos="715"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right="40" w:firstLine="8"/>
        <w:spacing w:after="0" w:line="302" w:lineRule="auto"/>
        <w:tabs>
          <w:tab w:leader="none" w:pos="255"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54" w:lineRule="exact"/>
        <w:rPr>
          <w:rFonts w:ascii="Arial" w:cs="Arial" w:eastAsia="Arial" w:hAnsi="Arial"/>
          <w:sz w:val="16"/>
          <w:szCs w:val="16"/>
          <w:color w:val="auto"/>
        </w:rPr>
      </w:pPr>
    </w:p>
    <w:p>
      <w:pPr>
        <w:ind w:right="120" w:firstLine="8"/>
        <w:spacing w:after="0" w:line="254" w:lineRule="auto"/>
        <w:tabs>
          <w:tab w:leader="none" w:pos="24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provisions described under Item 6 above,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270" w:right="31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Pursuant to the requirements of the Securities Act of 1933, the Registrant certifies that it has reasonable grounds to believe that it meets all of the requirements for filing on Form S-8 and has duly caused this Post-Effective Amendment No. 1 on Form S-8 to the Registration Statement on Form S-4 to be signed on its behalf by the undersigned, thereunto duly authorized, in the City of Houston, State of Texas, on April 1, 2016.</w:t>
      </w:r>
    </w:p>
    <w:p>
      <w:pPr>
        <w:spacing w:after="0" w:line="31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24" w:lineRule="exact"/>
        <w:rPr>
          <w:sz w:val="20"/>
          <w:szCs w:val="20"/>
          <w:color w:val="auto"/>
        </w:rPr>
      </w:pPr>
    </w:p>
    <w:p>
      <w:pPr>
        <w:jc w:val="center"/>
        <w:ind w:left="4080"/>
        <w:spacing w:after="0"/>
        <w:rPr>
          <w:sz w:val="20"/>
          <w:szCs w:val="20"/>
          <w:color w:val="auto"/>
        </w:rPr>
      </w:pPr>
      <w:r>
        <w:rPr>
          <w:rFonts w:ascii="Arial" w:cs="Arial" w:eastAsia="Arial" w:hAnsi="Arial"/>
          <w:sz w:val="18"/>
          <w:szCs w:val="18"/>
          <w:color w:val="auto"/>
        </w:rPr>
        <w:t>By:  /s/ H</w:t>
      </w:r>
      <w:r>
        <w:rPr>
          <w:rFonts w:ascii="Arial" w:cs="Arial" w:eastAsia="Arial" w:hAnsi="Arial"/>
          <w:sz w:val="15"/>
          <w:szCs w:val="15"/>
          <w:color w:val="auto"/>
        </w:rPr>
        <w:t>OWARD</w:t>
      </w:r>
      <w:r>
        <w:rPr>
          <w:rFonts w:ascii="Arial" w:cs="Arial" w:eastAsia="Arial" w:hAnsi="Arial"/>
          <w:sz w:val="18"/>
          <w:szCs w:val="18"/>
          <w:color w:val="auto"/>
        </w:rPr>
        <w:t xml:space="preserve"> G</w:t>
      </w:r>
      <w:r>
        <w:rPr>
          <w:rFonts w:ascii="Arial" w:cs="Arial" w:eastAsia="Arial" w:hAnsi="Arial"/>
          <w:sz w:val="15"/>
          <w:szCs w:val="15"/>
          <w:color w:val="auto"/>
        </w:rPr>
        <w:t>UILD</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Post-Effective Amendment No. 1 on Form S-8 to the Registration Statement on Form S-4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0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68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660" w:type="dxa"/>
            <w:vAlign w:val="bottom"/>
          </w:tcPr>
          <w:p>
            <w:pPr>
              <w:spacing w:after="0"/>
              <w:rPr>
                <w:sz w:val="14"/>
                <w:szCs w:val="14"/>
                <w:color w:val="auto"/>
              </w:rPr>
            </w:pPr>
          </w:p>
        </w:tc>
        <w:tc>
          <w:tcPr>
            <w:tcW w:w="6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26"/>
        </w:trPr>
        <w:tc>
          <w:tcPr>
            <w:tcW w:w="20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tcPr>
          <w:p>
            <w:pPr>
              <w:spacing w:after="0"/>
              <w:rPr>
                <w:sz w:val="24"/>
                <w:szCs w:val="24"/>
                <w:color w:val="auto"/>
              </w:rPr>
            </w:pPr>
          </w:p>
        </w:tc>
        <w:tc>
          <w:tcPr>
            <w:tcW w:w="5100" w:type="dxa"/>
            <w:vAlign w:val="bottom"/>
            <w:gridSpan w:val="3"/>
          </w:tcPr>
          <w:p>
            <w:pPr>
              <w:ind w:left="160"/>
              <w:spacing w:after="0"/>
              <w:rPr>
                <w:sz w:val="20"/>
                <w:szCs w:val="20"/>
                <w:color w:val="auto"/>
              </w:rPr>
            </w:pPr>
            <w:r>
              <w:rPr>
                <w:rFonts w:ascii="Arial" w:cs="Arial" w:eastAsia="Arial" w:hAnsi="Arial"/>
                <w:sz w:val="18"/>
                <w:szCs w:val="18"/>
                <w:color w:val="auto"/>
              </w:rPr>
              <w:t>Chairman of the Board, Chief Executive Officer and Director</w:t>
            </w:r>
          </w:p>
        </w:tc>
        <w:tc>
          <w:tcPr>
            <w:tcW w:w="1300" w:type="dxa"/>
            <w:vAlign w:val="bottom"/>
            <w:gridSpan w:val="3"/>
          </w:tcPr>
          <w:p>
            <w:pPr>
              <w:jc w:val="center"/>
              <w:ind w:left="230"/>
              <w:spacing w:after="0"/>
              <w:rPr>
                <w:sz w:val="20"/>
                <w:szCs w:val="20"/>
                <w:color w:val="auto"/>
              </w:rPr>
            </w:pPr>
            <w:r>
              <w:rPr>
                <w:rFonts w:ascii="Arial" w:cs="Arial" w:eastAsia="Arial" w:hAnsi="Arial"/>
                <w:sz w:val="18"/>
                <w:szCs w:val="18"/>
                <w:color w:val="auto"/>
                <w:w w:val="96"/>
              </w:rPr>
              <w:t>April 1, 2016</w:t>
            </w:r>
          </w:p>
        </w:tc>
      </w:tr>
      <w:tr>
        <w:trPr>
          <w:trHeight w:val="224"/>
        </w:trPr>
        <w:tc>
          <w:tcPr>
            <w:tcW w:w="4660" w:type="dxa"/>
            <w:vAlign w:val="bottom"/>
            <w:gridSpan w:val="3"/>
          </w:tcPr>
          <w:p>
            <w:pPr>
              <w:jc w:val="center"/>
              <w:spacing w:after="0"/>
              <w:rPr>
                <w:sz w:val="20"/>
                <w:szCs w:val="20"/>
                <w:color w:val="auto"/>
              </w:rPr>
            </w:pPr>
            <w:r>
              <w:rPr>
                <w:rFonts w:ascii="Arial" w:cs="Arial" w:eastAsia="Arial" w:hAnsi="Arial"/>
                <w:sz w:val="18"/>
                <w:szCs w:val="18"/>
                <w:color w:val="auto"/>
                <w:w w:val="88"/>
              </w:rPr>
              <w:t>Paal Kibsgaard</w:t>
            </w:r>
          </w:p>
        </w:tc>
        <w:tc>
          <w:tcPr>
            <w:tcW w:w="5100" w:type="dxa"/>
            <w:vAlign w:val="bottom"/>
            <w:gridSpan w:val="3"/>
          </w:tcPr>
          <w:p>
            <w:pPr>
              <w:ind w:left="160"/>
              <w:spacing w:after="0"/>
              <w:rPr>
                <w:sz w:val="20"/>
                <w:szCs w:val="20"/>
                <w:color w:val="auto"/>
              </w:rPr>
            </w:pPr>
            <w:r>
              <w:rPr>
                <w:rFonts w:ascii="Arial" w:cs="Arial" w:eastAsia="Arial" w:hAnsi="Arial"/>
                <w:sz w:val="18"/>
                <w:szCs w:val="18"/>
                <w:color w:val="auto"/>
              </w:rPr>
              <w:t>(Principal Executive Officer)</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31"/>
        </w:trPr>
        <w:tc>
          <w:tcPr>
            <w:tcW w:w="2640" w:type="dxa"/>
            <w:vAlign w:val="bottom"/>
            <w:tcBorders>
              <w:bottom w:val="single" w:sz="8" w:color="auto"/>
            </w:tcBorders>
            <w:gridSpan w:val="2"/>
          </w:tcPr>
          <w:p>
            <w:pPr>
              <w:jc w:val="center"/>
              <w:ind w:left="195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tcPr>
          <w:p>
            <w:pPr>
              <w:spacing w:after="0"/>
              <w:rPr>
                <w:sz w:val="24"/>
                <w:szCs w:val="24"/>
                <w:color w:val="auto"/>
              </w:rPr>
            </w:pPr>
          </w:p>
        </w:tc>
        <w:tc>
          <w:tcPr>
            <w:tcW w:w="5100" w:type="dxa"/>
            <w:vAlign w:val="bottom"/>
            <w:gridSpan w:val="3"/>
          </w:tcPr>
          <w:p>
            <w:pPr>
              <w:ind w:left="160"/>
              <w:spacing w:after="0"/>
              <w:rPr>
                <w:sz w:val="20"/>
                <w:szCs w:val="20"/>
                <w:color w:val="auto"/>
              </w:rPr>
            </w:pPr>
            <w:r>
              <w:rPr>
                <w:rFonts w:ascii="Arial" w:cs="Arial" w:eastAsia="Arial" w:hAnsi="Arial"/>
                <w:sz w:val="18"/>
                <w:szCs w:val="18"/>
                <w:color w:val="auto"/>
                <w:w w:val="99"/>
              </w:rPr>
              <w:t>Executive Vice President and Chief Financial Officer (Principal</w:t>
            </w:r>
          </w:p>
        </w:tc>
        <w:tc>
          <w:tcPr>
            <w:tcW w:w="1300" w:type="dxa"/>
            <w:vAlign w:val="bottom"/>
            <w:gridSpan w:val="3"/>
          </w:tcPr>
          <w:p>
            <w:pPr>
              <w:jc w:val="center"/>
              <w:ind w:left="230"/>
              <w:spacing w:after="0"/>
              <w:rPr>
                <w:sz w:val="20"/>
                <w:szCs w:val="20"/>
                <w:color w:val="auto"/>
              </w:rPr>
            </w:pPr>
            <w:r>
              <w:rPr>
                <w:rFonts w:ascii="Arial" w:cs="Arial" w:eastAsia="Arial" w:hAnsi="Arial"/>
                <w:sz w:val="18"/>
                <w:szCs w:val="18"/>
                <w:color w:val="auto"/>
                <w:w w:val="96"/>
              </w:rPr>
              <w:t>April 1, 2016</w:t>
            </w:r>
          </w:p>
        </w:tc>
      </w:tr>
      <w:tr>
        <w:trPr>
          <w:trHeight w:val="224"/>
        </w:trPr>
        <w:tc>
          <w:tcPr>
            <w:tcW w:w="4660" w:type="dxa"/>
            <w:vAlign w:val="bottom"/>
            <w:gridSpan w:val="3"/>
          </w:tcPr>
          <w:p>
            <w:pPr>
              <w:jc w:val="center"/>
              <w:spacing w:after="0"/>
              <w:rPr>
                <w:sz w:val="20"/>
                <w:szCs w:val="20"/>
                <w:color w:val="auto"/>
              </w:rPr>
            </w:pPr>
            <w:r>
              <w:rPr>
                <w:rFonts w:ascii="Arial" w:cs="Arial" w:eastAsia="Arial" w:hAnsi="Arial"/>
                <w:sz w:val="18"/>
                <w:szCs w:val="18"/>
                <w:color w:val="auto"/>
                <w:w w:val="91"/>
              </w:rPr>
              <w:t>Simon Ayat</w:t>
            </w:r>
          </w:p>
        </w:tc>
        <w:tc>
          <w:tcPr>
            <w:tcW w:w="5100" w:type="dxa"/>
            <w:vAlign w:val="bottom"/>
            <w:gridSpan w:val="3"/>
          </w:tcPr>
          <w:p>
            <w:pPr>
              <w:ind w:left="160"/>
              <w:spacing w:after="0"/>
              <w:rPr>
                <w:sz w:val="20"/>
                <w:szCs w:val="20"/>
                <w:color w:val="auto"/>
              </w:rPr>
            </w:pPr>
            <w:r>
              <w:rPr>
                <w:rFonts w:ascii="Arial" w:cs="Arial" w:eastAsia="Arial" w:hAnsi="Arial"/>
                <w:sz w:val="18"/>
                <w:szCs w:val="18"/>
                <w:color w:val="auto"/>
              </w:rPr>
              <w:t>Financial Officer)</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31"/>
        </w:trPr>
        <w:tc>
          <w:tcPr>
            <w:tcW w:w="46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7"/>
              </w:rPr>
              <w:t>/s/ H</w:t>
            </w:r>
            <w:r>
              <w:rPr>
                <w:rFonts w:ascii="Arial" w:cs="Arial" w:eastAsia="Arial" w:hAnsi="Arial"/>
                <w:sz w:val="15"/>
                <w:szCs w:val="15"/>
                <w:color w:val="auto"/>
                <w:w w:val="97"/>
              </w:rPr>
              <w:t>OWARD</w:t>
            </w:r>
            <w:r>
              <w:rPr>
                <w:rFonts w:ascii="Arial" w:cs="Arial" w:eastAsia="Arial" w:hAnsi="Arial"/>
                <w:sz w:val="18"/>
                <w:szCs w:val="18"/>
                <w:color w:val="auto"/>
                <w:w w:val="97"/>
              </w:rPr>
              <w:t xml:space="preserve"> G</w:t>
            </w:r>
            <w:r>
              <w:rPr>
                <w:rFonts w:ascii="Arial" w:cs="Arial" w:eastAsia="Arial" w:hAnsi="Arial"/>
                <w:sz w:val="15"/>
                <w:szCs w:val="15"/>
                <w:color w:val="auto"/>
                <w:w w:val="97"/>
              </w:rPr>
              <w:t>UILD</w:t>
            </w:r>
          </w:p>
        </w:tc>
        <w:tc>
          <w:tcPr>
            <w:tcW w:w="5100" w:type="dxa"/>
            <w:vAlign w:val="bottom"/>
            <w:gridSpan w:val="3"/>
          </w:tcPr>
          <w:p>
            <w:pPr>
              <w:ind w:left="160"/>
              <w:spacing w:after="0"/>
              <w:rPr>
                <w:sz w:val="20"/>
                <w:szCs w:val="20"/>
                <w:color w:val="auto"/>
              </w:rPr>
            </w:pPr>
            <w:r>
              <w:rPr>
                <w:rFonts w:ascii="Arial" w:cs="Arial" w:eastAsia="Arial" w:hAnsi="Arial"/>
                <w:sz w:val="18"/>
                <w:szCs w:val="18"/>
                <w:color w:val="auto"/>
              </w:rPr>
              <w:t>Chief Accounting Officer (Principal Accounting Officer)</w:t>
            </w:r>
          </w:p>
        </w:tc>
        <w:tc>
          <w:tcPr>
            <w:tcW w:w="1300" w:type="dxa"/>
            <w:vAlign w:val="bottom"/>
            <w:gridSpan w:val="3"/>
          </w:tcPr>
          <w:p>
            <w:pPr>
              <w:jc w:val="center"/>
              <w:ind w:left="230"/>
              <w:spacing w:after="0"/>
              <w:rPr>
                <w:sz w:val="20"/>
                <w:szCs w:val="20"/>
                <w:color w:val="auto"/>
              </w:rPr>
            </w:pPr>
            <w:r>
              <w:rPr>
                <w:rFonts w:ascii="Arial" w:cs="Arial" w:eastAsia="Arial" w:hAnsi="Arial"/>
                <w:sz w:val="18"/>
                <w:szCs w:val="18"/>
                <w:color w:val="auto"/>
                <w:w w:val="96"/>
              </w:rPr>
              <w:t>April 1, 2016</w:t>
            </w:r>
          </w:p>
        </w:tc>
      </w:tr>
      <w:tr>
        <w:trPr>
          <w:trHeight w:val="224"/>
        </w:trPr>
        <w:tc>
          <w:tcPr>
            <w:tcW w:w="4660" w:type="dxa"/>
            <w:vAlign w:val="bottom"/>
            <w:gridSpan w:val="3"/>
          </w:tcPr>
          <w:p>
            <w:pPr>
              <w:jc w:val="center"/>
              <w:spacing w:after="0"/>
              <w:rPr>
                <w:sz w:val="20"/>
                <w:szCs w:val="20"/>
                <w:color w:val="auto"/>
              </w:rPr>
            </w:pPr>
            <w:r>
              <w:rPr>
                <w:rFonts w:ascii="Arial" w:cs="Arial" w:eastAsia="Arial" w:hAnsi="Arial"/>
                <w:sz w:val="18"/>
                <w:szCs w:val="18"/>
                <w:color w:val="auto"/>
                <w:w w:val="95"/>
              </w:rPr>
              <w:t>Howard Guild</w:t>
            </w:r>
          </w:p>
        </w:tc>
        <w:tc>
          <w:tcPr>
            <w:tcW w:w="2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31"/>
        </w:trPr>
        <w:tc>
          <w:tcPr>
            <w:tcW w:w="2640" w:type="dxa"/>
            <w:vAlign w:val="bottom"/>
            <w:tcBorders>
              <w:bottom w:val="single" w:sz="8" w:color="auto"/>
            </w:tcBorders>
            <w:gridSpan w:val="2"/>
          </w:tcPr>
          <w:p>
            <w:pPr>
              <w:jc w:val="center"/>
              <w:ind w:left="195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tcPr>
          <w:p>
            <w:pPr>
              <w:spacing w:after="0"/>
              <w:rPr>
                <w:sz w:val="24"/>
                <w:szCs w:val="24"/>
                <w:color w:val="auto"/>
              </w:rPr>
            </w:pPr>
          </w:p>
        </w:tc>
        <w:tc>
          <w:tcPr>
            <w:tcW w:w="510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300" w:type="dxa"/>
            <w:vAlign w:val="bottom"/>
            <w:gridSpan w:val="3"/>
          </w:tcPr>
          <w:p>
            <w:pPr>
              <w:jc w:val="center"/>
              <w:ind w:left="230"/>
              <w:spacing w:after="0"/>
              <w:rPr>
                <w:sz w:val="20"/>
                <w:szCs w:val="20"/>
                <w:color w:val="auto"/>
              </w:rPr>
            </w:pPr>
            <w:r>
              <w:rPr>
                <w:rFonts w:ascii="Arial" w:cs="Arial" w:eastAsia="Arial" w:hAnsi="Arial"/>
                <w:sz w:val="18"/>
                <w:szCs w:val="18"/>
                <w:color w:val="auto"/>
                <w:w w:val="96"/>
              </w:rPr>
              <w:t>April 1, 2016</w:t>
            </w:r>
          </w:p>
        </w:tc>
      </w:tr>
      <w:tr>
        <w:trPr>
          <w:trHeight w:val="224"/>
        </w:trPr>
        <w:tc>
          <w:tcPr>
            <w:tcW w:w="4660" w:type="dxa"/>
            <w:vAlign w:val="bottom"/>
            <w:gridSpan w:val="3"/>
          </w:tcPr>
          <w:p>
            <w:pPr>
              <w:jc w:val="center"/>
              <w:spacing w:after="0"/>
              <w:rPr>
                <w:sz w:val="20"/>
                <w:szCs w:val="20"/>
                <w:color w:val="auto"/>
              </w:rPr>
            </w:pPr>
            <w:r>
              <w:rPr>
                <w:rFonts w:ascii="Arial" w:cs="Arial" w:eastAsia="Arial" w:hAnsi="Arial"/>
                <w:sz w:val="18"/>
                <w:szCs w:val="18"/>
                <w:color w:val="auto"/>
                <w:w w:val="90"/>
              </w:rPr>
              <w:t>Peter L.S. Currie</w:t>
            </w:r>
          </w:p>
        </w:tc>
        <w:tc>
          <w:tcPr>
            <w:tcW w:w="2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31"/>
        </w:trPr>
        <w:tc>
          <w:tcPr>
            <w:tcW w:w="2640" w:type="dxa"/>
            <w:vAlign w:val="bottom"/>
            <w:tcBorders>
              <w:bottom w:val="single" w:sz="8" w:color="auto"/>
            </w:tcBorders>
            <w:gridSpan w:val="2"/>
          </w:tcPr>
          <w:p>
            <w:pPr>
              <w:jc w:val="center"/>
              <w:ind w:left="195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tcPr>
          <w:p>
            <w:pPr>
              <w:spacing w:after="0"/>
              <w:rPr>
                <w:sz w:val="24"/>
                <w:szCs w:val="24"/>
                <w:color w:val="auto"/>
              </w:rPr>
            </w:pPr>
          </w:p>
        </w:tc>
        <w:tc>
          <w:tcPr>
            <w:tcW w:w="510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300" w:type="dxa"/>
            <w:vAlign w:val="bottom"/>
            <w:gridSpan w:val="3"/>
          </w:tcPr>
          <w:p>
            <w:pPr>
              <w:jc w:val="center"/>
              <w:ind w:left="230"/>
              <w:spacing w:after="0"/>
              <w:rPr>
                <w:sz w:val="20"/>
                <w:szCs w:val="20"/>
                <w:color w:val="auto"/>
              </w:rPr>
            </w:pPr>
            <w:r>
              <w:rPr>
                <w:rFonts w:ascii="Arial" w:cs="Arial" w:eastAsia="Arial" w:hAnsi="Arial"/>
                <w:sz w:val="18"/>
                <w:szCs w:val="18"/>
                <w:color w:val="auto"/>
                <w:w w:val="96"/>
              </w:rPr>
              <w:t>April 1, 2016</w:t>
            </w:r>
          </w:p>
        </w:tc>
      </w:tr>
      <w:tr>
        <w:trPr>
          <w:trHeight w:val="224"/>
        </w:trPr>
        <w:tc>
          <w:tcPr>
            <w:tcW w:w="4660" w:type="dxa"/>
            <w:vAlign w:val="bottom"/>
            <w:gridSpan w:val="3"/>
          </w:tcPr>
          <w:p>
            <w:pPr>
              <w:jc w:val="center"/>
              <w:spacing w:after="0"/>
              <w:rPr>
                <w:sz w:val="20"/>
                <w:szCs w:val="20"/>
                <w:color w:val="auto"/>
              </w:rPr>
            </w:pPr>
            <w:r>
              <w:rPr>
                <w:rFonts w:ascii="Arial" w:cs="Arial" w:eastAsia="Arial" w:hAnsi="Arial"/>
                <w:sz w:val="18"/>
                <w:szCs w:val="18"/>
                <w:color w:val="auto"/>
                <w:w w:val="90"/>
              </w:rPr>
              <w:t>V. Maureen Kempston Darkes</w:t>
            </w:r>
          </w:p>
        </w:tc>
        <w:tc>
          <w:tcPr>
            <w:tcW w:w="2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31"/>
        </w:trPr>
        <w:tc>
          <w:tcPr>
            <w:tcW w:w="2640" w:type="dxa"/>
            <w:vAlign w:val="bottom"/>
            <w:tcBorders>
              <w:bottom w:val="single" w:sz="8" w:color="auto"/>
            </w:tcBorders>
            <w:gridSpan w:val="2"/>
          </w:tcPr>
          <w:p>
            <w:pPr>
              <w:jc w:val="center"/>
              <w:ind w:left="195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tcPr>
          <w:p>
            <w:pPr>
              <w:spacing w:after="0"/>
              <w:rPr>
                <w:sz w:val="24"/>
                <w:szCs w:val="24"/>
                <w:color w:val="auto"/>
              </w:rPr>
            </w:pPr>
          </w:p>
        </w:tc>
        <w:tc>
          <w:tcPr>
            <w:tcW w:w="510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300" w:type="dxa"/>
            <w:vAlign w:val="bottom"/>
            <w:gridSpan w:val="3"/>
          </w:tcPr>
          <w:p>
            <w:pPr>
              <w:jc w:val="center"/>
              <w:ind w:left="230"/>
              <w:spacing w:after="0"/>
              <w:rPr>
                <w:sz w:val="20"/>
                <w:szCs w:val="20"/>
                <w:color w:val="auto"/>
              </w:rPr>
            </w:pPr>
            <w:r>
              <w:rPr>
                <w:rFonts w:ascii="Arial" w:cs="Arial" w:eastAsia="Arial" w:hAnsi="Arial"/>
                <w:sz w:val="18"/>
                <w:szCs w:val="18"/>
                <w:color w:val="auto"/>
                <w:w w:val="96"/>
              </w:rPr>
              <w:t>April 1, 2016</w:t>
            </w:r>
          </w:p>
        </w:tc>
      </w:tr>
      <w:tr>
        <w:trPr>
          <w:trHeight w:val="224"/>
        </w:trPr>
        <w:tc>
          <w:tcPr>
            <w:tcW w:w="4660" w:type="dxa"/>
            <w:vAlign w:val="bottom"/>
            <w:gridSpan w:val="3"/>
          </w:tcPr>
          <w:p>
            <w:pPr>
              <w:jc w:val="center"/>
              <w:spacing w:after="0"/>
              <w:rPr>
                <w:sz w:val="20"/>
                <w:szCs w:val="20"/>
                <w:color w:val="auto"/>
              </w:rPr>
            </w:pPr>
            <w:r>
              <w:rPr>
                <w:rFonts w:ascii="Arial" w:cs="Arial" w:eastAsia="Arial" w:hAnsi="Arial"/>
                <w:sz w:val="18"/>
                <w:szCs w:val="18"/>
                <w:color w:val="auto"/>
                <w:w w:val="95"/>
              </w:rPr>
              <w:t>Nikolay Kudryavtsev</w:t>
            </w:r>
          </w:p>
        </w:tc>
        <w:tc>
          <w:tcPr>
            <w:tcW w:w="2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31"/>
        </w:trPr>
        <w:tc>
          <w:tcPr>
            <w:tcW w:w="2640" w:type="dxa"/>
            <w:vAlign w:val="bottom"/>
            <w:tcBorders>
              <w:bottom w:val="single" w:sz="8" w:color="auto"/>
            </w:tcBorders>
            <w:gridSpan w:val="2"/>
          </w:tcPr>
          <w:p>
            <w:pPr>
              <w:jc w:val="center"/>
              <w:ind w:left="195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tcPr>
          <w:p>
            <w:pPr>
              <w:spacing w:after="0"/>
              <w:rPr>
                <w:sz w:val="24"/>
                <w:szCs w:val="24"/>
                <w:color w:val="auto"/>
              </w:rPr>
            </w:pPr>
          </w:p>
        </w:tc>
        <w:tc>
          <w:tcPr>
            <w:tcW w:w="510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300" w:type="dxa"/>
            <w:vAlign w:val="bottom"/>
            <w:gridSpan w:val="3"/>
          </w:tcPr>
          <w:p>
            <w:pPr>
              <w:jc w:val="center"/>
              <w:ind w:left="230"/>
              <w:spacing w:after="0"/>
              <w:rPr>
                <w:sz w:val="20"/>
                <w:szCs w:val="20"/>
                <w:color w:val="auto"/>
              </w:rPr>
            </w:pPr>
            <w:r>
              <w:rPr>
                <w:rFonts w:ascii="Arial" w:cs="Arial" w:eastAsia="Arial" w:hAnsi="Arial"/>
                <w:sz w:val="18"/>
                <w:szCs w:val="18"/>
                <w:color w:val="auto"/>
                <w:w w:val="96"/>
              </w:rPr>
              <w:t>April 1, 2016</w:t>
            </w:r>
          </w:p>
        </w:tc>
      </w:tr>
      <w:tr>
        <w:trPr>
          <w:trHeight w:val="224"/>
        </w:trPr>
        <w:tc>
          <w:tcPr>
            <w:tcW w:w="4660" w:type="dxa"/>
            <w:vAlign w:val="bottom"/>
            <w:gridSpan w:val="3"/>
          </w:tcPr>
          <w:p>
            <w:pPr>
              <w:jc w:val="center"/>
              <w:spacing w:after="0"/>
              <w:rPr>
                <w:sz w:val="20"/>
                <w:szCs w:val="20"/>
                <w:color w:val="auto"/>
              </w:rPr>
            </w:pPr>
            <w:r>
              <w:rPr>
                <w:rFonts w:ascii="Arial" w:cs="Arial" w:eastAsia="Arial" w:hAnsi="Arial"/>
                <w:sz w:val="18"/>
                <w:szCs w:val="18"/>
                <w:color w:val="auto"/>
                <w:w w:val="92"/>
              </w:rPr>
              <w:t>Michael E. Marks</w:t>
            </w:r>
          </w:p>
        </w:tc>
        <w:tc>
          <w:tcPr>
            <w:tcW w:w="2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31"/>
        </w:trPr>
        <w:tc>
          <w:tcPr>
            <w:tcW w:w="2640" w:type="dxa"/>
            <w:vAlign w:val="bottom"/>
            <w:tcBorders>
              <w:bottom w:val="single" w:sz="8" w:color="auto"/>
            </w:tcBorders>
            <w:gridSpan w:val="2"/>
          </w:tcPr>
          <w:p>
            <w:pPr>
              <w:jc w:val="center"/>
              <w:ind w:left="195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tcPr>
          <w:p>
            <w:pPr>
              <w:spacing w:after="0"/>
              <w:rPr>
                <w:sz w:val="24"/>
                <w:szCs w:val="24"/>
                <w:color w:val="auto"/>
              </w:rPr>
            </w:pPr>
          </w:p>
        </w:tc>
        <w:tc>
          <w:tcPr>
            <w:tcW w:w="510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300" w:type="dxa"/>
            <w:vAlign w:val="bottom"/>
            <w:gridSpan w:val="3"/>
          </w:tcPr>
          <w:p>
            <w:pPr>
              <w:jc w:val="center"/>
              <w:ind w:left="230"/>
              <w:spacing w:after="0"/>
              <w:rPr>
                <w:sz w:val="20"/>
                <w:szCs w:val="20"/>
                <w:color w:val="auto"/>
              </w:rPr>
            </w:pPr>
            <w:r>
              <w:rPr>
                <w:rFonts w:ascii="Arial" w:cs="Arial" w:eastAsia="Arial" w:hAnsi="Arial"/>
                <w:sz w:val="18"/>
                <w:szCs w:val="18"/>
                <w:color w:val="auto"/>
                <w:w w:val="96"/>
              </w:rPr>
              <w:t>April 1, 2016</w:t>
            </w:r>
          </w:p>
        </w:tc>
      </w:tr>
      <w:tr>
        <w:trPr>
          <w:trHeight w:val="224"/>
        </w:trPr>
        <w:tc>
          <w:tcPr>
            <w:tcW w:w="4660" w:type="dxa"/>
            <w:vAlign w:val="bottom"/>
            <w:gridSpan w:val="3"/>
          </w:tcPr>
          <w:p>
            <w:pPr>
              <w:jc w:val="center"/>
              <w:spacing w:after="0"/>
              <w:rPr>
                <w:sz w:val="20"/>
                <w:szCs w:val="20"/>
                <w:color w:val="auto"/>
              </w:rPr>
            </w:pPr>
            <w:r>
              <w:rPr>
                <w:rFonts w:ascii="Arial" w:cs="Arial" w:eastAsia="Arial" w:hAnsi="Arial"/>
                <w:sz w:val="18"/>
                <w:szCs w:val="18"/>
                <w:color w:val="auto"/>
                <w:w w:val="94"/>
              </w:rPr>
              <w:t>Indra K. Nooyi</w:t>
            </w:r>
          </w:p>
        </w:tc>
        <w:tc>
          <w:tcPr>
            <w:tcW w:w="2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31"/>
        </w:trPr>
        <w:tc>
          <w:tcPr>
            <w:tcW w:w="2640" w:type="dxa"/>
            <w:vAlign w:val="bottom"/>
            <w:tcBorders>
              <w:bottom w:val="single" w:sz="8" w:color="auto"/>
            </w:tcBorders>
            <w:gridSpan w:val="2"/>
          </w:tcPr>
          <w:p>
            <w:pPr>
              <w:jc w:val="center"/>
              <w:ind w:left="195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tcPr>
          <w:p>
            <w:pPr>
              <w:spacing w:after="0"/>
              <w:rPr>
                <w:sz w:val="24"/>
                <w:szCs w:val="24"/>
                <w:color w:val="auto"/>
              </w:rPr>
            </w:pPr>
          </w:p>
        </w:tc>
        <w:tc>
          <w:tcPr>
            <w:tcW w:w="510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300" w:type="dxa"/>
            <w:vAlign w:val="bottom"/>
            <w:gridSpan w:val="3"/>
          </w:tcPr>
          <w:p>
            <w:pPr>
              <w:jc w:val="center"/>
              <w:ind w:left="230"/>
              <w:spacing w:after="0"/>
              <w:rPr>
                <w:sz w:val="20"/>
                <w:szCs w:val="20"/>
                <w:color w:val="auto"/>
              </w:rPr>
            </w:pPr>
            <w:r>
              <w:rPr>
                <w:rFonts w:ascii="Arial" w:cs="Arial" w:eastAsia="Arial" w:hAnsi="Arial"/>
                <w:sz w:val="18"/>
                <w:szCs w:val="18"/>
                <w:color w:val="auto"/>
                <w:w w:val="96"/>
              </w:rPr>
              <w:t>April 1, 2016</w:t>
            </w:r>
          </w:p>
        </w:tc>
      </w:tr>
      <w:tr>
        <w:trPr>
          <w:trHeight w:val="224"/>
        </w:trPr>
        <w:tc>
          <w:tcPr>
            <w:tcW w:w="4660" w:type="dxa"/>
            <w:vAlign w:val="bottom"/>
            <w:gridSpan w:val="3"/>
          </w:tcPr>
          <w:p>
            <w:pPr>
              <w:jc w:val="center"/>
              <w:spacing w:after="0"/>
              <w:rPr>
                <w:sz w:val="20"/>
                <w:szCs w:val="20"/>
                <w:color w:val="auto"/>
              </w:rPr>
            </w:pPr>
            <w:r>
              <w:rPr>
                <w:rFonts w:ascii="Arial" w:cs="Arial" w:eastAsia="Arial" w:hAnsi="Arial"/>
                <w:sz w:val="18"/>
                <w:szCs w:val="18"/>
                <w:color w:val="auto"/>
                <w:w w:val="89"/>
              </w:rPr>
              <w:t>Lubna S. Olayan</w:t>
            </w:r>
          </w:p>
        </w:tc>
        <w:tc>
          <w:tcPr>
            <w:tcW w:w="2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bl>
    <w:p>
      <w:pPr>
        <w:sectPr>
          <w:pgSz w:w="11900" w:h="16838" w:orient="portrait"/>
          <w:cols w:equalWidth="0" w:num="1">
            <w:col w:w="11400"/>
          </w:cols>
          <w:pgMar w:left="240" w:top="270" w:right="25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46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color w:val="auto"/>
              </w:rPr>
              <w:t>*</w:t>
            </w:r>
          </w:p>
        </w:tc>
        <w:tc>
          <w:tcPr>
            <w:tcW w:w="30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3300" w:type="dxa"/>
            <w:vAlign w:val="bottom"/>
          </w:tcPr>
          <w:p>
            <w:pPr>
              <w:ind w:left="2320"/>
              <w:spacing w:after="0"/>
              <w:rPr>
                <w:sz w:val="20"/>
                <w:szCs w:val="20"/>
                <w:color w:val="auto"/>
              </w:rPr>
            </w:pPr>
            <w:r>
              <w:rPr>
                <w:rFonts w:ascii="Arial" w:cs="Arial" w:eastAsia="Arial" w:hAnsi="Arial"/>
                <w:sz w:val="18"/>
                <w:szCs w:val="18"/>
                <w:color w:val="auto"/>
                <w:w w:val="94"/>
              </w:rPr>
              <w:t>April 1, 2016</w:t>
            </w:r>
          </w:p>
        </w:tc>
      </w:tr>
      <w:tr>
        <w:trPr>
          <w:trHeight w:val="224"/>
        </w:trPr>
        <w:tc>
          <w:tcPr>
            <w:tcW w:w="460" w:type="dxa"/>
            <w:vAlign w:val="bottom"/>
          </w:tcPr>
          <w:p>
            <w:pPr>
              <w:spacing w:after="0"/>
              <w:rPr>
                <w:sz w:val="19"/>
                <w:szCs w:val="19"/>
                <w:color w:val="auto"/>
              </w:rPr>
            </w:pPr>
          </w:p>
        </w:tc>
        <w:tc>
          <w:tcPr>
            <w:tcW w:w="4220" w:type="dxa"/>
            <w:vAlign w:val="bottom"/>
          </w:tcPr>
          <w:p>
            <w:pPr>
              <w:jc w:val="center"/>
              <w:ind w:right="370"/>
              <w:spacing w:after="0"/>
              <w:rPr>
                <w:sz w:val="20"/>
                <w:szCs w:val="20"/>
                <w:color w:val="auto"/>
              </w:rPr>
            </w:pPr>
            <w:r>
              <w:rPr>
                <w:rFonts w:ascii="Arial" w:cs="Arial" w:eastAsia="Arial" w:hAnsi="Arial"/>
                <w:sz w:val="18"/>
                <w:szCs w:val="18"/>
                <w:color w:val="auto"/>
                <w:w w:val="93"/>
              </w:rPr>
              <w:t>Leo Rafael Reif</w:t>
            </w:r>
          </w:p>
        </w:tc>
        <w:tc>
          <w:tcPr>
            <w:tcW w:w="3080" w:type="dxa"/>
            <w:vAlign w:val="bottom"/>
          </w:tcPr>
          <w:p>
            <w:pPr>
              <w:spacing w:after="0"/>
              <w:rPr>
                <w:sz w:val="19"/>
                <w:szCs w:val="19"/>
                <w:color w:val="auto"/>
              </w:rPr>
            </w:pPr>
          </w:p>
        </w:tc>
        <w:tc>
          <w:tcPr>
            <w:tcW w:w="3300" w:type="dxa"/>
            <w:vAlign w:val="bottom"/>
          </w:tcPr>
          <w:p>
            <w:pPr>
              <w:spacing w:after="0"/>
              <w:rPr>
                <w:sz w:val="19"/>
                <w:szCs w:val="19"/>
                <w:color w:val="auto"/>
              </w:rPr>
            </w:pPr>
          </w:p>
        </w:tc>
      </w:tr>
      <w:tr>
        <w:trPr>
          <w:trHeight w:val="431"/>
        </w:trPr>
        <w:tc>
          <w:tcPr>
            <w:tcW w:w="46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color w:val="auto"/>
              </w:rPr>
              <w:t>*</w:t>
            </w:r>
          </w:p>
        </w:tc>
        <w:tc>
          <w:tcPr>
            <w:tcW w:w="30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3300" w:type="dxa"/>
            <w:vAlign w:val="bottom"/>
          </w:tcPr>
          <w:p>
            <w:pPr>
              <w:ind w:left="2320"/>
              <w:spacing w:after="0"/>
              <w:rPr>
                <w:sz w:val="20"/>
                <w:szCs w:val="20"/>
                <w:color w:val="auto"/>
              </w:rPr>
            </w:pPr>
            <w:r>
              <w:rPr>
                <w:rFonts w:ascii="Arial" w:cs="Arial" w:eastAsia="Arial" w:hAnsi="Arial"/>
                <w:sz w:val="18"/>
                <w:szCs w:val="18"/>
                <w:color w:val="auto"/>
                <w:w w:val="94"/>
              </w:rPr>
              <w:t>April 1, 2016</w:t>
            </w:r>
          </w:p>
        </w:tc>
      </w:tr>
      <w:tr>
        <w:trPr>
          <w:trHeight w:val="224"/>
        </w:trPr>
        <w:tc>
          <w:tcPr>
            <w:tcW w:w="460" w:type="dxa"/>
            <w:vAlign w:val="bottom"/>
          </w:tcPr>
          <w:p>
            <w:pPr>
              <w:spacing w:after="0"/>
              <w:rPr>
                <w:sz w:val="19"/>
                <w:szCs w:val="19"/>
                <w:color w:val="auto"/>
              </w:rPr>
            </w:pPr>
          </w:p>
        </w:tc>
        <w:tc>
          <w:tcPr>
            <w:tcW w:w="4220" w:type="dxa"/>
            <w:vAlign w:val="bottom"/>
          </w:tcPr>
          <w:p>
            <w:pPr>
              <w:jc w:val="center"/>
              <w:ind w:right="370"/>
              <w:spacing w:after="0"/>
              <w:rPr>
                <w:sz w:val="20"/>
                <w:szCs w:val="20"/>
                <w:color w:val="auto"/>
              </w:rPr>
            </w:pPr>
            <w:r>
              <w:rPr>
                <w:rFonts w:ascii="Arial" w:cs="Arial" w:eastAsia="Arial" w:hAnsi="Arial"/>
                <w:sz w:val="18"/>
                <w:szCs w:val="18"/>
                <w:color w:val="auto"/>
                <w:w w:val="90"/>
              </w:rPr>
              <w:t>Tore I. Sandvold</w:t>
            </w:r>
          </w:p>
        </w:tc>
        <w:tc>
          <w:tcPr>
            <w:tcW w:w="3080" w:type="dxa"/>
            <w:vAlign w:val="bottom"/>
          </w:tcPr>
          <w:p>
            <w:pPr>
              <w:spacing w:after="0"/>
              <w:rPr>
                <w:sz w:val="19"/>
                <w:szCs w:val="19"/>
                <w:color w:val="auto"/>
              </w:rPr>
            </w:pPr>
          </w:p>
        </w:tc>
        <w:tc>
          <w:tcPr>
            <w:tcW w:w="3300" w:type="dxa"/>
            <w:vAlign w:val="bottom"/>
          </w:tcPr>
          <w:p>
            <w:pPr>
              <w:spacing w:after="0"/>
              <w:rPr>
                <w:sz w:val="19"/>
                <w:szCs w:val="19"/>
                <w:color w:val="auto"/>
              </w:rPr>
            </w:pPr>
          </w:p>
        </w:tc>
      </w:tr>
      <w:tr>
        <w:trPr>
          <w:trHeight w:val="431"/>
        </w:trPr>
        <w:tc>
          <w:tcPr>
            <w:tcW w:w="46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color w:val="auto"/>
              </w:rPr>
              <w:t>*</w:t>
            </w:r>
          </w:p>
        </w:tc>
        <w:tc>
          <w:tcPr>
            <w:tcW w:w="30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3300" w:type="dxa"/>
            <w:vAlign w:val="bottom"/>
          </w:tcPr>
          <w:p>
            <w:pPr>
              <w:ind w:left="2320"/>
              <w:spacing w:after="0"/>
              <w:rPr>
                <w:sz w:val="20"/>
                <w:szCs w:val="20"/>
                <w:color w:val="auto"/>
              </w:rPr>
            </w:pPr>
            <w:r>
              <w:rPr>
                <w:rFonts w:ascii="Arial" w:cs="Arial" w:eastAsia="Arial" w:hAnsi="Arial"/>
                <w:sz w:val="18"/>
                <w:szCs w:val="18"/>
                <w:color w:val="auto"/>
                <w:w w:val="94"/>
              </w:rPr>
              <w:t>April 1, 2016</w:t>
            </w:r>
          </w:p>
        </w:tc>
      </w:tr>
      <w:tr>
        <w:trPr>
          <w:trHeight w:val="224"/>
        </w:trPr>
        <w:tc>
          <w:tcPr>
            <w:tcW w:w="460" w:type="dxa"/>
            <w:vAlign w:val="bottom"/>
          </w:tcPr>
          <w:p>
            <w:pPr>
              <w:spacing w:after="0"/>
              <w:rPr>
                <w:sz w:val="19"/>
                <w:szCs w:val="19"/>
                <w:color w:val="auto"/>
              </w:rPr>
            </w:pPr>
          </w:p>
        </w:tc>
        <w:tc>
          <w:tcPr>
            <w:tcW w:w="4220" w:type="dxa"/>
            <w:vAlign w:val="bottom"/>
          </w:tcPr>
          <w:p>
            <w:pPr>
              <w:jc w:val="center"/>
              <w:ind w:right="370"/>
              <w:spacing w:after="0"/>
              <w:rPr>
                <w:sz w:val="20"/>
                <w:szCs w:val="20"/>
                <w:color w:val="auto"/>
              </w:rPr>
            </w:pPr>
            <w:r>
              <w:rPr>
                <w:rFonts w:ascii="Arial" w:cs="Arial" w:eastAsia="Arial" w:hAnsi="Arial"/>
                <w:sz w:val="18"/>
                <w:szCs w:val="18"/>
                <w:color w:val="auto"/>
                <w:w w:val="91"/>
              </w:rPr>
              <w:t>Henri Seydoux</w:t>
            </w:r>
          </w:p>
        </w:tc>
        <w:tc>
          <w:tcPr>
            <w:tcW w:w="3080" w:type="dxa"/>
            <w:vAlign w:val="bottom"/>
          </w:tcPr>
          <w:p>
            <w:pPr>
              <w:spacing w:after="0"/>
              <w:rPr>
                <w:sz w:val="19"/>
                <w:szCs w:val="19"/>
                <w:color w:val="auto"/>
              </w:rPr>
            </w:pPr>
          </w:p>
        </w:tc>
        <w:tc>
          <w:tcPr>
            <w:tcW w:w="3300" w:type="dxa"/>
            <w:vAlign w:val="bottom"/>
          </w:tcPr>
          <w:p>
            <w:pPr>
              <w:spacing w:after="0"/>
              <w:rPr>
                <w:sz w:val="19"/>
                <w:szCs w:val="19"/>
                <w:color w:val="auto"/>
              </w:rPr>
            </w:pPr>
          </w:p>
        </w:tc>
      </w:tr>
      <w:tr>
        <w:trPr>
          <w:trHeight w:val="431"/>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A</w:t>
            </w:r>
            <w:r>
              <w:rPr>
                <w:rFonts w:ascii="Arial" w:cs="Arial" w:eastAsia="Arial" w:hAnsi="Arial"/>
                <w:sz w:val="15"/>
                <w:szCs w:val="15"/>
                <w:color w:val="auto"/>
                <w:w w:val="96"/>
              </w:rPr>
              <w:t>LEXANDER</w:t>
            </w:r>
            <w:r>
              <w:rPr>
                <w:rFonts w:ascii="Arial" w:cs="Arial" w:eastAsia="Arial" w:hAnsi="Arial"/>
                <w:sz w:val="18"/>
                <w:szCs w:val="18"/>
                <w:color w:val="auto"/>
                <w:w w:val="96"/>
              </w:rPr>
              <w:t xml:space="preserve"> C. J</w:t>
            </w:r>
            <w:r>
              <w:rPr>
                <w:rFonts w:ascii="Arial" w:cs="Arial" w:eastAsia="Arial" w:hAnsi="Arial"/>
                <w:sz w:val="15"/>
                <w:szCs w:val="15"/>
                <w:color w:val="auto"/>
                <w:w w:val="96"/>
              </w:rPr>
              <w:t>UDEN</w:t>
            </w:r>
          </w:p>
        </w:tc>
        <w:tc>
          <w:tcPr>
            <w:tcW w:w="308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09"/>
        </w:trPr>
        <w:tc>
          <w:tcPr>
            <w:tcW w:w="460" w:type="dxa"/>
            <w:vAlign w:val="bottom"/>
          </w:tcPr>
          <w:p>
            <w:pPr>
              <w:spacing w:after="0"/>
              <w:rPr>
                <w:sz w:val="18"/>
                <w:szCs w:val="18"/>
                <w:color w:val="auto"/>
              </w:rPr>
            </w:pPr>
          </w:p>
        </w:tc>
        <w:tc>
          <w:tcPr>
            <w:tcW w:w="4220" w:type="dxa"/>
            <w:vAlign w:val="bottom"/>
          </w:tcPr>
          <w:p>
            <w:pPr>
              <w:jc w:val="center"/>
              <w:spacing w:after="0"/>
              <w:rPr>
                <w:sz w:val="20"/>
                <w:szCs w:val="20"/>
                <w:color w:val="auto"/>
              </w:rPr>
            </w:pPr>
            <w:r>
              <w:rPr>
                <w:rFonts w:ascii="Arial" w:cs="Arial" w:eastAsia="Arial" w:hAnsi="Arial"/>
                <w:sz w:val="18"/>
                <w:szCs w:val="18"/>
                <w:color w:val="auto"/>
                <w:w w:val="90"/>
              </w:rPr>
              <w:t>Name: Alexander C. Juden,</w:t>
            </w:r>
          </w:p>
        </w:tc>
        <w:tc>
          <w:tcPr>
            <w:tcW w:w="308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4220" w:type="dxa"/>
            <w:vAlign w:val="bottom"/>
          </w:tcPr>
          <w:p>
            <w:pPr>
              <w:jc w:val="center"/>
              <w:spacing w:after="0"/>
              <w:rPr>
                <w:sz w:val="20"/>
                <w:szCs w:val="20"/>
                <w:color w:val="auto"/>
              </w:rPr>
            </w:pPr>
            <w:r>
              <w:rPr>
                <w:rFonts w:ascii="Arial" w:cs="Arial" w:eastAsia="Arial" w:hAnsi="Arial"/>
                <w:sz w:val="18"/>
                <w:szCs w:val="18"/>
                <w:color w:val="auto"/>
                <w:w w:val="95"/>
              </w:rPr>
              <w:t>Attorney-in-Fact</w:t>
            </w:r>
          </w:p>
        </w:tc>
        <w:tc>
          <w:tcPr>
            <w:tcW w:w="3080" w:type="dxa"/>
            <w:vAlign w:val="bottom"/>
          </w:tcPr>
          <w:p>
            <w:pPr>
              <w:spacing w:after="0"/>
              <w:rPr>
                <w:sz w:val="20"/>
                <w:szCs w:val="20"/>
                <w:color w:val="auto"/>
              </w:rPr>
            </w:pPr>
          </w:p>
        </w:tc>
        <w:tc>
          <w:tcPr>
            <w:tcW w:w="3300" w:type="dxa"/>
            <w:vAlign w:val="bottom"/>
          </w:tcPr>
          <w:p>
            <w:pPr>
              <w:spacing w:after="0"/>
              <w:rPr>
                <w:sz w:val="20"/>
                <w:szCs w:val="20"/>
                <w:color w:val="auto"/>
              </w:rPr>
            </w:pPr>
          </w:p>
        </w:tc>
      </w:tr>
    </w:tbl>
    <w:p>
      <w:pPr>
        <w:sectPr>
          <w:pgSz w:w="11900" w:h="16838" w:orient="portrait"/>
          <w:cols w:equalWidth="0" w:num="1">
            <w:col w:w="11060"/>
          </w:cols>
          <w:pgMar w:left="240" w:top="490" w:right="59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10920" w:type="dxa"/>
            <w:vAlign w:val="bottom"/>
            <w:gridSpan w:val="3"/>
          </w:tcPr>
          <w:p>
            <w:pPr>
              <w:ind w:left="45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400" w:type="dxa"/>
            <w:vAlign w:val="bottom"/>
            <w:vMerge w:val="restart"/>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8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No.</w:t>
            </w:r>
          </w:p>
        </w:tc>
        <w:tc>
          <w:tcPr>
            <w:tcW w:w="5400" w:type="dxa"/>
            <w:vAlign w:val="bottom"/>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4.1</w:t>
            </w: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w w:val="91"/>
              </w:rPr>
              <w:t>Articles of Incorporation of Schlumberger Limited (Schlumberger N.V.), as last amended on April 6, 2011 (incorporated by reference to Exhibit</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rPr>
              <w:t>3 to Schlumberger’s Current Report on Form 8-K filed on April 7, 2011).</w:t>
            </w:r>
          </w:p>
        </w:tc>
        <w:tc>
          <w:tcPr>
            <w:tcW w:w="0" w:type="dxa"/>
            <w:vAlign w:val="bottom"/>
          </w:tcPr>
          <w:p>
            <w:pPr>
              <w:spacing w:after="0"/>
              <w:rPr>
                <w:sz w:val="1"/>
                <w:szCs w:val="1"/>
                <w:color w:val="auto"/>
              </w:rPr>
            </w:pPr>
          </w:p>
        </w:tc>
      </w:tr>
      <w:tr>
        <w:trPr>
          <w:trHeight w:val="310"/>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4.2</w:t>
            </w: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w w:val="91"/>
              </w:rPr>
              <w:t>Amended and Restated By-Laws of Schlumberger Limited (Schlumberger N.V.), as last amended on May 12, 2015 (incorporated by reference</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rPr>
              <w:t>to Exhibit 3.1 to Schlumberger’s Current Report on Form 8-K filed on May 12, 2015).</w:t>
            </w:r>
          </w:p>
        </w:tc>
        <w:tc>
          <w:tcPr>
            <w:tcW w:w="0" w:type="dxa"/>
            <w:vAlign w:val="bottom"/>
          </w:tcPr>
          <w:p>
            <w:pPr>
              <w:spacing w:after="0"/>
              <w:rPr>
                <w:sz w:val="1"/>
                <w:szCs w:val="1"/>
                <w:color w:val="auto"/>
              </w:rPr>
            </w:pPr>
          </w:p>
        </w:tc>
      </w:tr>
      <w:tr>
        <w:trPr>
          <w:trHeight w:val="310"/>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5.1</w:t>
            </w: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w w:val="92"/>
              </w:rPr>
              <w:t>Opinion of STvB Advocaten (Curaçao) N.V. as to the legality of the Schlumberger Shares (contained in the pre-effective Amendment No. 1 to</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rPr>
              <w:t>Form S-4 previously filed on November 13, 2015).</w:t>
            </w:r>
          </w:p>
        </w:tc>
        <w:tc>
          <w:tcPr>
            <w:tcW w:w="0" w:type="dxa"/>
            <w:vAlign w:val="bottom"/>
          </w:tcPr>
          <w:p>
            <w:pPr>
              <w:spacing w:after="0"/>
              <w:rPr>
                <w:sz w:val="1"/>
                <w:szCs w:val="1"/>
                <w:color w:val="auto"/>
              </w:rPr>
            </w:pPr>
          </w:p>
        </w:tc>
      </w:tr>
      <w:tr>
        <w:trPr>
          <w:trHeight w:val="324"/>
        </w:trPr>
        <w:tc>
          <w:tcPr>
            <w:tcW w:w="460" w:type="dxa"/>
            <w:vAlign w:val="bottom"/>
          </w:tcPr>
          <w:p>
            <w:pPr>
              <w:jc w:val="right"/>
              <w:ind w:right="54"/>
              <w:spacing w:after="0"/>
              <w:rPr>
                <w:sz w:val="20"/>
                <w:szCs w:val="20"/>
                <w:color w:val="auto"/>
              </w:rPr>
            </w:pPr>
            <w:r>
              <w:rPr>
                <w:rFonts w:ascii="Arial" w:cs="Arial" w:eastAsia="Arial" w:hAnsi="Arial"/>
                <w:sz w:val="18"/>
                <w:szCs w:val="18"/>
                <w:color w:val="auto"/>
                <w:w w:val="85"/>
              </w:rPr>
              <w:t>23.1</w:t>
            </w: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rPr>
              <w:t>Consent of STvB Advocaten (Curaçao) N.V. (included in the opinion filed as Exhibit 5.1).</w:t>
            </w:r>
          </w:p>
        </w:tc>
        <w:tc>
          <w:tcPr>
            <w:tcW w:w="0" w:type="dxa"/>
            <w:vAlign w:val="bottom"/>
          </w:tcPr>
          <w:p>
            <w:pPr>
              <w:spacing w:after="0"/>
              <w:rPr>
                <w:sz w:val="1"/>
                <w:szCs w:val="1"/>
                <w:color w:val="auto"/>
              </w:rPr>
            </w:pP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w w:val="95"/>
              </w:rPr>
              <w:t>23.2*</w:t>
            </w: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w w:val="95"/>
              </w:rPr>
              <w:t>Consent of PricewaterhouseCoopers LLP, independent registered public accounting firm for Schlumberger Limited (Schlumberger N.V.).</w:t>
            </w:r>
          </w:p>
        </w:tc>
        <w:tc>
          <w:tcPr>
            <w:tcW w:w="0" w:type="dxa"/>
            <w:vAlign w:val="bottom"/>
          </w:tcPr>
          <w:p>
            <w:pPr>
              <w:spacing w:after="0"/>
              <w:rPr>
                <w:sz w:val="1"/>
                <w:szCs w:val="1"/>
                <w:color w:val="auto"/>
              </w:rPr>
            </w:pP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w w:val="95"/>
              </w:rPr>
              <w:t>23.3*</w:t>
            </w: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rPr>
              <w:t>Consent of Ernst &amp; Young LLP, independent registered public accounting firm for Cameron International Corporation.</w:t>
            </w:r>
          </w:p>
        </w:tc>
        <w:tc>
          <w:tcPr>
            <w:tcW w:w="0" w:type="dxa"/>
            <w:vAlign w:val="bottom"/>
          </w:tcPr>
          <w:p>
            <w:pPr>
              <w:spacing w:after="0"/>
              <w:rPr>
                <w:sz w:val="1"/>
                <w:szCs w:val="1"/>
                <w:color w:val="auto"/>
              </w:rPr>
            </w:pPr>
          </w:p>
        </w:tc>
      </w:tr>
      <w:tr>
        <w:trPr>
          <w:trHeight w:val="324"/>
        </w:trPr>
        <w:tc>
          <w:tcPr>
            <w:tcW w:w="460" w:type="dxa"/>
            <w:vAlign w:val="bottom"/>
          </w:tcPr>
          <w:p>
            <w:pPr>
              <w:jc w:val="right"/>
              <w:ind w:right="54"/>
              <w:spacing w:after="0"/>
              <w:rPr>
                <w:sz w:val="20"/>
                <w:szCs w:val="20"/>
                <w:color w:val="auto"/>
              </w:rPr>
            </w:pPr>
            <w:r>
              <w:rPr>
                <w:rFonts w:ascii="Arial" w:cs="Arial" w:eastAsia="Arial" w:hAnsi="Arial"/>
                <w:sz w:val="18"/>
                <w:szCs w:val="18"/>
                <w:color w:val="auto"/>
                <w:w w:val="85"/>
              </w:rPr>
              <w:t>24.1</w:t>
            </w: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rPr>
              <w:t>Powers of Attorney (contained in Form S-4 filed on October 2, 2015).</w:t>
            </w: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herewith.</w:t>
      </w:r>
    </w:p>
    <w:p>
      <w:pPr>
        <w:sectPr>
          <w:pgSz w:w="11900" w:h="16838" w:orient="portrait"/>
          <w:cols w:equalWidth="0" w:num="1">
            <w:col w:w="11380"/>
          </w:cols>
          <w:pgMar w:left="240" w:top="270" w:right="27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hereby consent to the incorporation by reference in this Post-Effective Amendment No. 1 on Form S-8 to the Registration Statement on Form S-4 of our report dated January 27, 2016 relating to the consolidated financial statements and the effectiveness of internal control over financial reporting, which appears in Schlumberger Limited’s Annual Report on Form 10-K for the year ended December 31,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 2016</w:t>
      </w:r>
    </w:p>
    <w:p>
      <w:pPr>
        <w:sectPr>
          <w:pgSz w:w="11900" w:h="16838" w:orient="portrait"/>
          <w:cols w:equalWidth="0" w:num="1">
            <w:col w:w="11420"/>
          </w:cols>
          <w:pgMar w:left="240" w:top="121"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color w:val="auto"/>
        </w:rPr>
        <w:t>Exhibit 23.3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consent to the incorporation by reference in the Post-Effective Amendment No. 1 on Form S-8 to the Registration Statement (Form S-4 No. 333-207260) of our reports dated January 29, 2016, with respect to the consolidated financial statements and schedule of Cameron International Corporation and the effectiveness of internal control over financial reporting of Cameron International Corporation, included in its Annual Report (Form 10-K) for the year ended December 31, 2015, filed with the Securities and Exchange Commission.</w:t>
      </w:r>
    </w:p>
    <w:p>
      <w:pPr>
        <w:spacing w:after="0" w:line="18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 2016</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910"/>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
    <w:nsid w:val="79E2A9E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abstractNum>
  <w:abstractNum w:abstractNumId="6">
    <w:nsid w:val="7545E146"/>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7">
    <w:nsid w:val="515F007C"/>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2019-12-05T09:52:03Z</dcterms:created>
  <dcterms:modified xsi:type="dcterms:W3CDTF">2019-12-05T09:52:03Z</dcterms:modified>
</cp:coreProperties>
</file>