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46000dsc13ga.htm"/>
      <w:bookmarkStart w:id="1" w:name="ksd746000dsc13ga"/>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36"/>
        </w:rPr>
      </w:pPr>
      <w:r>
        <w:rPr>
          <w:rFonts w:ascii="Times New Roman" w:hAnsi="Times New Roman"/>
          <w:b/>
          <w:sz w:val="36"/>
        </w:rPr>
        <w:t xml:space="preserve">SCHEDULE 13G </w:t>
      </w:r>
    </w:p>
    <w:p>
      <w:pPr>
        <w:pStyle w:val="TextBody"/>
        <w:bidi w:val="0"/>
        <w:spacing w:before="24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center"/>
        <w:rPr>
          <w:rFonts w:ascii="Times New Roman" w:hAnsi="Times New Roman"/>
          <w:b/>
          <w:sz w:val="40"/>
        </w:rPr>
      </w:pPr>
      <w:r>
        <w:rPr>
          <w:rFonts w:ascii="Times New Roman" w:hAnsi="Times New Roman"/>
          <w:b/>
          <w:sz w:val="40"/>
        </w:rPr>
        <w:t xml:space="preserve">SARCOS TECHNOLOGY AND ROBOTICS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(Name of Issuer) </w:t>
      </w:r>
    </w:p>
    <w:p>
      <w:pPr>
        <w:pStyle w:val="TextBody"/>
        <w:bidi w:val="0"/>
        <w:spacing w:before="480" w:after="0"/>
        <w:jc w:val="center"/>
        <w:rPr>
          <w:rFonts w:ascii="Times New Roman" w:hAnsi="Times New Roman"/>
          <w:b/>
          <w:sz w:val="20"/>
        </w:rPr>
      </w:pPr>
      <w:r>
        <w:rPr>
          <w:rFonts w:ascii="Times New Roman" w:hAnsi="Times New Roman"/>
          <w:b/>
          <w:sz w:val="20"/>
        </w:rPr>
        <w:t xml:space="preserve">Common Stock, par value $0.0001 per share </w:t>
      </w:r>
    </w:p>
    <w:p>
      <w:pPr>
        <w:pStyle w:val="TextBody"/>
        <w:bidi w:val="0"/>
        <w:spacing w:before="0" w:after="0"/>
        <w:jc w:val="center"/>
        <w:rPr>
          <w:rFonts w:ascii="Times New Roman" w:hAnsi="Times New Roman"/>
          <w:b/>
          <w:sz w:val="16"/>
        </w:rPr>
      </w:pPr>
      <w:r>
        <w:rPr>
          <w:rFonts w:ascii="Times New Roman" w:hAnsi="Times New Roman"/>
          <w:b/>
          <w:sz w:val="16"/>
        </w:rPr>
        <w:t xml:space="preserve">(Title of Class of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80359A106 </w:t>
      </w:r>
    </w:p>
    <w:p>
      <w:pPr>
        <w:pStyle w:val="TextBody"/>
        <w:bidi w:val="0"/>
        <w:spacing w:before="0" w:after="0"/>
        <w:jc w:val="center"/>
        <w:rPr>
          <w:rFonts w:ascii="Times New Roman" w:hAnsi="Times New Roman"/>
          <w:b/>
          <w:sz w:val="16"/>
        </w:rPr>
      </w:pPr>
      <w:r>
        <w:rPr>
          <w:rFonts w:ascii="Times New Roman" w:hAnsi="Times New Roman"/>
          <w:b/>
          <w:sz w:val="16"/>
        </w:rPr>
        <w:t xml:space="preserve">(CUSIP Number) </w:t>
      </w:r>
    </w:p>
    <w:p>
      <w:pPr>
        <w:pStyle w:val="TextBody"/>
        <w:bidi w:val="0"/>
        <w:spacing w:before="480" w:after="0"/>
        <w:jc w:val="center"/>
        <w:rPr>
          <w:rFonts w:ascii="Times New Roman" w:hAnsi="Times New Roman"/>
          <w:b/>
          <w:sz w:val="20"/>
        </w:rPr>
      </w:pPr>
      <w:r>
        <w:rPr>
          <w:rFonts w:ascii="Times New Roman" w:hAnsi="Times New Roman"/>
          <w:b/>
          <w:sz w:val="20"/>
        </w:rPr>
        <w:t xml:space="preserve">December 31, 2023 </w:t>
      </w:r>
    </w:p>
    <w:p>
      <w:pPr>
        <w:pStyle w:val="TextBody"/>
        <w:bidi w:val="0"/>
        <w:spacing w:before="0" w:after="0"/>
        <w:jc w:val="center"/>
        <w:rPr>
          <w:rFonts w:ascii="Times New Roman" w:hAnsi="Times New Roman"/>
          <w:b/>
          <w:sz w:val="16"/>
        </w:rPr>
      </w:pPr>
      <w:r>
        <w:rPr>
          <w:rFonts w:ascii="Times New Roman" w:hAnsi="Times New Roman"/>
          <w:b/>
          <w:sz w:val="16"/>
        </w:rPr>
        <w:t xml:space="preserve">(Date of Event Which Requires Filing of this Statement)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rPr>
      </w:pPr>
      <w:r>
        <w:rPr>
          <w:rFonts w:ascii="Times New Roman" w:hAnsi="Times New Roman"/>
          <w:sz w:val="20"/>
        </w:rPr>
        <w:t xml:space="preserve">Check the appropriate box to designate the rule pursuant to which this schedule is filed: </w:t>
      </w:r>
    </w:p>
    <w:p>
      <w:pPr>
        <w:pStyle w:val="TextBody"/>
        <w:bidi w:val="0"/>
        <w:spacing w:before="240" w:after="0"/>
        <w:jc w:val="left"/>
        <w:rPr/>
      </w:pPr>
      <w:r>
        <w:rPr/>
        <w:t xml:space="preserve">☐ </w:t>
      </w:r>
      <w:r>
        <w:rPr>
          <w:rFonts w:ascii="Times New Roman" w:hAnsi="Times New Roman"/>
          <w:sz w:val="20"/>
        </w:rPr>
        <w:t xml:space="preserve">Rule 13d-1(b) </w:t>
      </w:r>
    </w:p>
    <w:p>
      <w:pPr>
        <w:pStyle w:val="TextBody"/>
        <w:bidi w:val="0"/>
        <w:spacing w:before="240" w:after="0"/>
        <w:jc w:val="left"/>
        <w:rPr/>
      </w:pPr>
      <w:r>
        <w:rPr/>
        <w:t xml:space="preserve">☒ </w:t>
      </w:r>
      <w:r>
        <w:rPr>
          <w:rFonts w:ascii="Times New Roman" w:hAnsi="Times New Roman"/>
          <w:sz w:val="20"/>
        </w:rPr>
        <w:t xml:space="preserve">Rule 13d-1(c) </w:t>
      </w:r>
    </w:p>
    <w:p>
      <w:pPr>
        <w:pStyle w:val="TextBody"/>
        <w:bidi w:val="0"/>
        <w:spacing w:before="240" w:after="0"/>
        <w:jc w:val="left"/>
        <w:rPr/>
      </w:pPr>
      <w:r>
        <w:rPr/>
        <w:t xml:space="preserve">☐ </w:t>
      </w:r>
      <w:r>
        <w:rPr>
          <w:rFonts w:ascii="Times New Roman" w:hAnsi="Times New Roman"/>
          <w:sz w:val="20"/>
        </w:rPr>
        <w:t xml:space="preserve">Rule 13d-1(d)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remainder of this cover page shall be filled out for a reporting persons initial filing on this form with respect to the subject class of securities, and for any subsequent amendment containing information which would alter the disclosures provided in a prior cover page.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tbl>
      <w:tblPr>
        <w:tblW w:w="4950" w:type="pct"/>
        <w:jc w:val="left"/>
        <w:tblInd w:w="0" w:type="dxa"/>
        <w:tblLayout w:type="fixed"/>
        <w:tblCellMar>
          <w:top w:w="0" w:type="dxa"/>
          <w:left w:w="0" w:type="dxa"/>
          <w:bottom w:w="0" w:type="dxa"/>
          <w:right w:w="0" w:type="dxa"/>
        </w:tblCellMar>
      </w:tblPr>
      <w:tblGrid>
        <w:gridCol w:w="433"/>
        <w:gridCol w:w="127"/>
        <w:gridCol w:w="854"/>
        <w:gridCol w:w="245"/>
        <w:gridCol w:w="241"/>
        <w:gridCol w:w="245"/>
        <w:gridCol w:w="7957"/>
      </w:tblGrid>
      <w:tr>
        <w:trPr/>
        <w:tc>
          <w:tcPr>
            <w:tcW w:w="4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7957" w:type="dxa"/>
            <w:tcBorders/>
            <w:vAlign w:val="center"/>
          </w:tcPr>
          <w:p>
            <w:pPr>
              <w:pStyle w:val="TableContents"/>
              <w:bidi w:val="0"/>
              <w:spacing w:before="0" w:after="283"/>
              <w:jc w:val="left"/>
              <w:rPr>
                <w:sz w:val="4"/>
                <w:szCs w:val="4"/>
              </w:rPr>
            </w:pPr>
            <w:r>
              <w:rPr>
                <w:sz w:val="4"/>
                <w:szCs w:val="4"/>
              </w:rPr>
            </w:r>
          </w:p>
        </w:tc>
      </w:tr>
      <w:tr>
        <w:trPr/>
        <w:tc>
          <w:tcPr>
            <w:tcW w:w="43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Schlumberger N.V. (Schlumberger Limited)</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bidi w:val="0"/>
              <w:spacing w:before="0" w:after="0"/>
              <w:jc w:val="left"/>
              <w:rPr>
                <w:rFonts w:ascii="Times New Roman" w:hAnsi="Times New Roman"/>
                <w:sz w:val="20"/>
              </w:rPr>
            </w:pPr>
            <w:r>
              <w:rPr>
                <w:rFonts w:ascii="Times New Roman" w:hAnsi="Times New Roman"/>
                <w:sz w:val="20"/>
              </w:rPr>
              <w:t>(a) ☐  (b) ☒</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SEC USE ONLY</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Curaçao</w:t>
            </w:r>
          </w:p>
        </w:tc>
      </w:tr>
    </w:tbl>
    <w:tbl>
      <w:tblPr>
        <w:tblW w:w="4950" w:type="pct"/>
        <w:jc w:val="left"/>
        <w:tblInd w:w="0" w:type="dxa"/>
        <w:tblLayout w:type="fixed"/>
        <w:tblCellMar>
          <w:top w:w="0" w:type="dxa"/>
          <w:left w:w="0" w:type="dxa"/>
          <w:bottom w:w="0" w:type="dxa"/>
          <w:right w:w="0" w:type="dxa"/>
        </w:tblCellMar>
      </w:tblPr>
      <w:tblGrid>
        <w:gridCol w:w="772"/>
        <w:gridCol w:w="470"/>
        <w:gridCol w:w="851"/>
        <w:gridCol w:w="177"/>
        <w:gridCol w:w="308"/>
        <w:gridCol w:w="177"/>
        <w:gridCol w:w="7347"/>
      </w:tblGrid>
      <w:tr>
        <w:trPr/>
        <w:tc>
          <w:tcPr>
            <w:tcW w:w="772"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347" w:type="dxa"/>
            <w:tcBorders/>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347" w:type="dxa"/>
            <w:tcBorders>
              <w:right w:val="single" w:sz="2" w:space="0" w:color="000000"/>
            </w:tcBorders>
            <w:tcMar>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5.12%*</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25,850,832 Common Shares outstanding as of September 30, 2023, as reported on the Form 10-Q submitted by the Issuer to the Securities and Exchange Commission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433"/>
        <w:gridCol w:w="127"/>
        <w:gridCol w:w="885"/>
        <w:gridCol w:w="237"/>
        <w:gridCol w:w="229"/>
        <w:gridCol w:w="237"/>
        <w:gridCol w:w="7954"/>
      </w:tblGrid>
      <w:tr>
        <w:trPr/>
        <w:tc>
          <w:tcPr>
            <w:tcW w:w="4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43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Schlumberger B.V.</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bidi w:val="0"/>
              <w:spacing w:before="0" w:after="0"/>
              <w:jc w:val="left"/>
              <w:rPr>
                <w:rFonts w:ascii="Times New Roman" w:hAnsi="Times New Roman"/>
                <w:sz w:val="20"/>
              </w:rPr>
            </w:pPr>
            <w:r>
              <w:rPr>
                <w:rFonts w:ascii="Times New Roman" w:hAnsi="Times New Roman"/>
                <w:sz w:val="20"/>
              </w:rPr>
              <w:t>(a) ☐  (b) ☒</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SEC USE ONLY</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Netherlands</w:t>
            </w:r>
          </w:p>
        </w:tc>
      </w:tr>
    </w:tbl>
    <w:tbl>
      <w:tblPr>
        <w:tblW w:w="4950" w:type="pct"/>
        <w:jc w:val="left"/>
        <w:tblInd w:w="0" w:type="dxa"/>
        <w:tblLayout w:type="fixed"/>
        <w:tblCellMar>
          <w:top w:w="0" w:type="dxa"/>
          <w:left w:w="0" w:type="dxa"/>
          <w:bottom w:w="0" w:type="dxa"/>
          <w:right w:w="0" w:type="dxa"/>
        </w:tblCellMar>
      </w:tblPr>
      <w:tblGrid>
        <w:gridCol w:w="772"/>
        <w:gridCol w:w="470"/>
        <w:gridCol w:w="851"/>
        <w:gridCol w:w="177"/>
        <w:gridCol w:w="308"/>
        <w:gridCol w:w="177"/>
        <w:gridCol w:w="7347"/>
      </w:tblGrid>
      <w:tr>
        <w:trPr/>
        <w:tc>
          <w:tcPr>
            <w:tcW w:w="772"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347" w:type="dxa"/>
            <w:tcBorders/>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347" w:type="dxa"/>
            <w:tcBorders>
              <w:right w:val="single" w:sz="2" w:space="0" w:color="000000"/>
            </w:tcBorders>
            <w:tcMar>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5.12%*</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25,850,832 Common Shares outstanding as of September 30,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433"/>
        <w:gridCol w:w="127"/>
        <w:gridCol w:w="885"/>
        <w:gridCol w:w="237"/>
        <w:gridCol w:w="229"/>
        <w:gridCol w:w="237"/>
        <w:gridCol w:w="7954"/>
      </w:tblGrid>
      <w:tr>
        <w:trPr/>
        <w:tc>
          <w:tcPr>
            <w:tcW w:w="4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43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Schlumberger Holdings Corporation</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bidi w:val="0"/>
              <w:spacing w:before="0" w:after="0"/>
              <w:jc w:val="left"/>
              <w:rPr>
                <w:rFonts w:ascii="Times New Roman" w:hAnsi="Times New Roman"/>
                <w:sz w:val="20"/>
              </w:rPr>
            </w:pPr>
            <w:r>
              <w:rPr>
                <w:rFonts w:ascii="Times New Roman" w:hAnsi="Times New Roman"/>
                <w:sz w:val="20"/>
              </w:rPr>
              <w:t>(a) ☐  (b) ☒</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SEC USE ONLY</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Delaware, United States</w:t>
            </w:r>
          </w:p>
        </w:tc>
      </w:tr>
    </w:tbl>
    <w:tbl>
      <w:tblPr>
        <w:tblW w:w="4950" w:type="pct"/>
        <w:jc w:val="left"/>
        <w:tblInd w:w="0" w:type="dxa"/>
        <w:tblLayout w:type="fixed"/>
        <w:tblCellMar>
          <w:top w:w="0" w:type="dxa"/>
          <w:left w:w="0" w:type="dxa"/>
          <w:bottom w:w="0" w:type="dxa"/>
          <w:right w:w="0" w:type="dxa"/>
        </w:tblCellMar>
      </w:tblPr>
      <w:tblGrid>
        <w:gridCol w:w="772"/>
        <w:gridCol w:w="470"/>
        <w:gridCol w:w="851"/>
        <w:gridCol w:w="177"/>
        <w:gridCol w:w="308"/>
        <w:gridCol w:w="177"/>
        <w:gridCol w:w="7347"/>
      </w:tblGrid>
      <w:tr>
        <w:trPr/>
        <w:tc>
          <w:tcPr>
            <w:tcW w:w="772"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347" w:type="dxa"/>
            <w:tcBorders/>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347" w:type="dxa"/>
            <w:tcBorders>
              <w:right w:val="single" w:sz="2" w:space="0" w:color="000000"/>
            </w:tcBorders>
            <w:tcMar>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5.12%*</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HC</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25,850,832 Common Shares outstanding as of September 30,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4950" w:type="pct"/>
        <w:jc w:val="left"/>
        <w:tblInd w:w="0" w:type="dxa"/>
        <w:tblLayout w:type="fixed"/>
        <w:tblCellMar>
          <w:top w:w="0" w:type="dxa"/>
          <w:left w:w="0" w:type="dxa"/>
          <w:bottom w:w="0" w:type="dxa"/>
          <w:right w:w="0" w:type="dxa"/>
        </w:tblCellMar>
      </w:tblPr>
      <w:tblGrid>
        <w:gridCol w:w="433"/>
        <w:gridCol w:w="127"/>
        <w:gridCol w:w="885"/>
        <w:gridCol w:w="237"/>
        <w:gridCol w:w="229"/>
        <w:gridCol w:w="237"/>
        <w:gridCol w:w="7954"/>
      </w:tblGrid>
      <w:tr>
        <w:trPr/>
        <w:tc>
          <w:tcPr>
            <w:tcW w:w="43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43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1 </w:t>
            </w:r>
          </w:p>
        </w:tc>
        <w:tc>
          <w:tcPr>
            <w:tcW w:w="127"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42"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NAME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Schlumberger Technology Corporation</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2</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THE APPROPRIATE BOX IF A MEMBER OF A GROUP (see instructions)</w:t>
            </w:r>
          </w:p>
          <w:p>
            <w:pPr>
              <w:pStyle w:val="TableContents"/>
              <w:bidi w:val="0"/>
              <w:spacing w:before="0" w:after="0"/>
              <w:jc w:val="left"/>
              <w:rPr>
                <w:rFonts w:ascii="Times New Roman" w:hAnsi="Times New Roman"/>
                <w:sz w:val="20"/>
              </w:rPr>
            </w:pPr>
            <w:r>
              <w:rPr>
                <w:rFonts w:ascii="Times New Roman" w:hAnsi="Times New Roman"/>
                <w:sz w:val="20"/>
              </w:rPr>
              <w:t>(a) ☐  (b) ☒</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3</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SEC USE ONLY</w:t>
            </w:r>
          </w:p>
          <w:p>
            <w:pPr>
              <w:pStyle w:val="TableContents"/>
              <w:bidi w:val="0"/>
              <w:spacing w:before="0" w:after="20"/>
              <w:jc w:val="left"/>
              <w:rPr/>
            </w:pPr>
            <w:r>
              <w:rPr/>
              <w:t> </w:t>
            </w:r>
          </w:p>
        </w:tc>
      </w:tr>
      <w:tr>
        <w:trPr/>
        <w:tc>
          <w:tcPr>
            <w:tcW w:w="43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 </w:t>
            </w:r>
            <w:r>
              <w:rPr/>
              <w:t>4</w:t>
            </w:r>
          </w:p>
        </w:tc>
        <w:tc>
          <w:tcPr>
            <w:tcW w:w="12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42"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CITIZENSHIP OR PLACE OF ORGANIZATION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Texas, United States</w:t>
            </w:r>
          </w:p>
        </w:tc>
      </w:tr>
    </w:tbl>
    <w:tbl>
      <w:tblPr>
        <w:tblW w:w="4950" w:type="pct"/>
        <w:jc w:val="left"/>
        <w:tblInd w:w="0" w:type="dxa"/>
        <w:tblLayout w:type="fixed"/>
        <w:tblCellMar>
          <w:top w:w="0" w:type="dxa"/>
          <w:left w:w="0" w:type="dxa"/>
          <w:bottom w:w="0" w:type="dxa"/>
          <w:right w:w="0" w:type="dxa"/>
        </w:tblCellMar>
      </w:tblPr>
      <w:tblGrid>
        <w:gridCol w:w="772"/>
        <w:gridCol w:w="470"/>
        <w:gridCol w:w="851"/>
        <w:gridCol w:w="177"/>
        <w:gridCol w:w="308"/>
        <w:gridCol w:w="177"/>
        <w:gridCol w:w="7347"/>
      </w:tblGrid>
      <w:tr>
        <w:trPr/>
        <w:tc>
          <w:tcPr>
            <w:tcW w:w="772" w:type="dxa"/>
            <w:tcBorders/>
            <w:vAlign w:val="center"/>
          </w:tcPr>
          <w:p>
            <w:pPr>
              <w:pStyle w:val="TableContents"/>
              <w:bidi w:val="0"/>
              <w:spacing w:before="0" w:after="283"/>
              <w:jc w:val="left"/>
              <w:rPr>
                <w:sz w:val="4"/>
                <w:szCs w:val="4"/>
              </w:rPr>
            </w:pPr>
            <w:r>
              <w:rPr>
                <w:sz w:val="4"/>
                <w:szCs w:val="4"/>
              </w:rPr>
            </w:r>
          </w:p>
        </w:tc>
        <w:tc>
          <w:tcPr>
            <w:tcW w:w="470" w:type="dxa"/>
            <w:tcBorders/>
            <w:vAlign w:val="bottom"/>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7" w:type="dxa"/>
            <w:tcBorders/>
            <w:vAlign w:val="bottom"/>
          </w:tcPr>
          <w:p>
            <w:pPr>
              <w:pStyle w:val="TableContents"/>
              <w:bidi w:val="0"/>
              <w:spacing w:before="0" w:after="283"/>
              <w:jc w:val="left"/>
              <w:rPr>
                <w:sz w:val="4"/>
                <w:szCs w:val="4"/>
              </w:rPr>
            </w:pPr>
            <w:r>
              <w:rPr>
                <w:sz w:val="4"/>
                <w:szCs w:val="4"/>
              </w:rPr>
            </w:r>
          </w:p>
        </w:tc>
        <w:tc>
          <w:tcPr>
            <w:tcW w:w="7347" w:type="dxa"/>
            <w:tcBorders/>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left w:val="single" w:sz="2" w:space="0" w:color="000000"/>
            </w:tcBorders>
            <w:tcMar>
              <w:left w:w="16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NUMBER OF</w:t>
            </w:r>
          </w:p>
          <w:p>
            <w:pPr>
              <w:pStyle w:val="TableContents"/>
              <w:bidi w:val="0"/>
              <w:spacing w:before="0" w:after="0"/>
              <w:jc w:val="center"/>
              <w:rPr>
                <w:rFonts w:ascii="Times New Roman" w:hAnsi="Times New Roman"/>
                <w:sz w:val="20"/>
              </w:rPr>
            </w:pPr>
            <w:r>
              <w:rPr>
                <w:rFonts w:ascii="Times New Roman" w:hAnsi="Times New Roman"/>
                <w:sz w:val="20"/>
              </w:rPr>
              <w:t>SHARES</w:t>
            </w:r>
          </w:p>
          <w:p>
            <w:pPr>
              <w:pStyle w:val="TableContents"/>
              <w:bidi w:val="0"/>
              <w:spacing w:before="0" w:after="0"/>
              <w:jc w:val="center"/>
              <w:rPr/>
            </w:pPr>
            <w:r>
              <w:rPr/>
              <w:t> </w:t>
            </w:r>
            <w:r>
              <w:rPr>
                <w:rFonts w:ascii="Times New Roman" w:hAnsi="Times New Roman"/>
                <w:sz w:val="20"/>
              </w:rPr>
              <w:t>BENEFICIALLY </w:t>
            </w:r>
          </w:p>
          <w:p>
            <w:pPr>
              <w:pStyle w:val="TableContents"/>
              <w:bidi w:val="0"/>
              <w:spacing w:before="0" w:after="0"/>
              <w:jc w:val="center"/>
              <w:rPr>
                <w:rFonts w:ascii="Times New Roman" w:hAnsi="Times New Roman"/>
                <w:sz w:val="20"/>
              </w:rPr>
            </w:pPr>
            <w:r>
              <w:rPr>
                <w:rFonts w:ascii="Times New Roman" w:hAnsi="Times New Roman"/>
                <w:sz w:val="20"/>
              </w:rPr>
              <w:t>OWNED BY</w:t>
            </w:r>
          </w:p>
          <w:p>
            <w:pPr>
              <w:pStyle w:val="TableContents"/>
              <w:bidi w:val="0"/>
              <w:spacing w:before="0" w:after="0"/>
              <w:jc w:val="center"/>
              <w:rPr>
                <w:rFonts w:ascii="Times New Roman" w:hAnsi="Times New Roman"/>
                <w:sz w:val="20"/>
              </w:rPr>
            </w:pPr>
            <w:r>
              <w:rPr>
                <w:rFonts w:ascii="Times New Roman" w:hAnsi="Times New Roman"/>
                <w:sz w:val="20"/>
              </w:rPr>
              <w:t>EACH</w:t>
            </w:r>
          </w:p>
          <w:p>
            <w:pPr>
              <w:pStyle w:val="TableContents"/>
              <w:bidi w:val="0"/>
              <w:spacing w:before="0" w:after="0"/>
              <w:jc w:val="center"/>
              <w:rPr>
                <w:rFonts w:ascii="Times New Roman" w:hAnsi="Times New Roman"/>
                <w:sz w:val="20"/>
              </w:rPr>
            </w:pPr>
            <w:r>
              <w:rPr>
                <w:rFonts w:ascii="Times New Roman" w:hAnsi="Times New Roman"/>
                <w:sz w:val="20"/>
              </w:rPr>
              <w:t>REPORTING</w:t>
            </w:r>
          </w:p>
          <w:p>
            <w:pPr>
              <w:pStyle w:val="TableContents"/>
              <w:bidi w:val="0"/>
              <w:spacing w:before="0" w:after="0"/>
              <w:jc w:val="center"/>
              <w:rPr>
                <w:rFonts w:ascii="Times New Roman" w:hAnsi="Times New Roman"/>
                <w:sz w:val="20"/>
              </w:rPr>
            </w:pPr>
            <w:r>
              <w:rPr>
                <w:rFonts w:ascii="Times New Roman" w:hAnsi="Times New Roman"/>
                <w:sz w:val="20"/>
              </w:rPr>
              <w:t>PERSON</w:t>
            </w:r>
          </w:p>
          <w:p>
            <w:pPr>
              <w:pStyle w:val="TableContents"/>
              <w:bidi w:val="0"/>
              <w:spacing w:before="0" w:after="20"/>
              <w:jc w:val="center"/>
              <w:rPr>
                <w:rFonts w:ascii="Times New Roman" w:hAnsi="Times New Roman"/>
                <w:sz w:val="20"/>
              </w:rPr>
            </w:pPr>
            <w:r>
              <w:rPr>
                <w:rFonts w:ascii="Times New Roman" w:hAnsi="Times New Roman"/>
                <w:sz w:val="20"/>
              </w:rPr>
              <w:t>WITH</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5  </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6</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VOTING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308" w:type="dxa"/>
            <w:tcBorders>
              <w:bottom w:val="single" w:sz="2" w:space="0" w:color="000000"/>
            </w:tcBorders>
            <w:tcMar>
              <w:bottom w:w="28" w:type="dxa"/>
            </w:tcMar>
          </w:tcPr>
          <w:p>
            <w:pPr>
              <w:pStyle w:val="TableContents"/>
              <w:bidi w:val="0"/>
              <w:spacing w:before="0" w:after="283"/>
              <w:jc w:val="left"/>
              <w:rPr/>
            </w:pPr>
            <w:r>
              <w:rPr/>
              <w:t>7</w:t>
            </w:r>
          </w:p>
        </w:tc>
        <w:tc>
          <w:tcPr>
            <w:tcW w:w="177"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7347" w:type="dxa"/>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SOLE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0</w:t>
            </w:r>
          </w:p>
        </w:tc>
      </w:tr>
      <w:tr>
        <w:trPr/>
        <w:tc>
          <w:tcPr>
            <w:tcW w:w="2093" w:type="dxa"/>
            <w:gridSpan w:val="3"/>
            <w:vMerge w:val="continue"/>
            <w:tcBorders>
              <w:left w:val="single" w:sz="2" w:space="0" w:color="000000"/>
            </w:tcBorders>
            <w:tcMar>
              <w:left w:w="160" w:type="dxa"/>
            </w:tcMar>
            <w:vAlign w:val="center"/>
          </w:tcPr>
          <w:p>
            <w:pPr>
              <w:pStyle w:val="Normal"/>
              <w:bidi w:val="0"/>
              <w:jc w:val="left"/>
              <w:rPr/>
            </w:pPr>
            <w:r>
              <w:rPr/>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308" w:type="dxa"/>
            <w:tcBorders/>
          </w:tcPr>
          <w:p>
            <w:pPr>
              <w:pStyle w:val="TableContents"/>
              <w:bidi w:val="0"/>
              <w:spacing w:before="0" w:after="283"/>
              <w:jc w:val="left"/>
              <w:rPr/>
            </w:pPr>
            <w:r>
              <w:rPr/>
              <w:t>8</w:t>
            </w:r>
          </w:p>
        </w:tc>
        <w:tc>
          <w:tcPr>
            <w:tcW w:w="177" w:type="dxa"/>
            <w:tcBorders>
              <w:left w:val="single" w:sz="2" w:space="0" w:color="000000"/>
            </w:tcBorders>
            <w:tcMar>
              <w:left w:w="28" w:type="dxa"/>
            </w:tcMar>
            <w:vAlign w:val="bottom"/>
          </w:tcPr>
          <w:p>
            <w:pPr>
              <w:pStyle w:val="TableContents"/>
              <w:bidi w:val="0"/>
              <w:spacing w:before="0" w:after="283"/>
              <w:jc w:val="left"/>
              <w:rPr/>
            </w:pPr>
            <w:r>
              <w:rPr/>
              <w:t>  </w:t>
            </w:r>
          </w:p>
        </w:tc>
        <w:tc>
          <w:tcPr>
            <w:tcW w:w="7347" w:type="dxa"/>
            <w:tcBorders>
              <w:right w:val="single" w:sz="2" w:space="0" w:color="000000"/>
            </w:tcBorders>
            <w:tcMar>
              <w:right w:w="40" w:type="dxa"/>
            </w:tcMar>
          </w:tcPr>
          <w:p>
            <w:pPr>
              <w:pStyle w:val="TableContents"/>
              <w:bidi w:val="0"/>
              <w:spacing w:before="0" w:after="0"/>
              <w:jc w:val="left"/>
              <w:rPr>
                <w:rFonts w:ascii="Times New Roman" w:hAnsi="Times New Roman"/>
                <w:sz w:val="20"/>
              </w:rPr>
            </w:pPr>
            <w:r>
              <w:rPr>
                <w:rFonts w:ascii="Times New Roman" w:hAnsi="Times New Roman"/>
                <w:sz w:val="20"/>
              </w:rPr>
              <w:t>SHARED DISPOSITIVE POWER</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bl>
    <w:tbl>
      <w:tblPr>
        <w:tblW w:w="4950" w:type="pct"/>
        <w:jc w:val="left"/>
        <w:tblInd w:w="0" w:type="dxa"/>
        <w:tblLayout w:type="fixed"/>
        <w:tblCellMar>
          <w:top w:w="0" w:type="dxa"/>
          <w:left w:w="0" w:type="dxa"/>
          <w:bottom w:w="0" w:type="dxa"/>
          <w:right w:w="0" w:type="dxa"/>
        </w:tblCellMar>
      </w:tblPr>
      <w:tblGrid>
        <w:gridCol w:w="443"/>
        <w:gridCol w:w="129"/>
        <w:gridCol w:w="723"/>
        <w:gridCol w:w="281"/>
        <w:gridCol w:w="280"/>
        <w:gridCol w:w="281"/>
        <w:gridCol w:w="7965"/>
      </w:tblGrid>
      <w:tr>
        <w:trPr/>
        <w:tc>
          <w:tcPr>
            <w:tcW w:w="4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bottom"/>
          </w:tcPr>
          <w:p>
            <w:pPr>
              <w:pStyle w:val="TableContents"/>
              <w:bidi w:val="0"/>
              <w:spacing w:before="0" w:after="283"/>
              <w:jc w:val="left"/>
              <w:rPr>
                <w:sz w:val="4"/>
                <w:szCs w:val="4"/>
              </w:rPr>
            </w:pPr>
            <w:r>
              <w:rPr>
                <w:sz w:val="4"/>
                <w:szCs w:val="4"/>
              </w:rPr>
            </w:r>
          </w:p>
        </w:tc>
        <w:tc>
          <w:tcPr>
            <w:tcW w:w="7965" w:type="dxa"/>
            <w:tcBorders/>
            <w:vAlign w:val="center"/>
          </w:tcPr>
          <w:p>
            <w:pPr>
              <w:pStyle w:val="TableContents"/>
              <w:bidi w:val="0"/>
              <w:spacing w:before="0" w:after="283"/>
              <w:jc w:val="left"/>
              <w:rPr>
                <w:sz w:val="4"/>
                <w:szCs w:val="4"/>
              </w:rPr>
            </w:pPr>
            <w:r>
              <w:rPr>
                <w:sz w:val="4"/>
                <w:szCs w:val="4"/>
              </w:rPr>
            </w:r>
          </w:p>
        </w:tc>
      </w:tr>
      <w:tr>
        <w:trPr/>
        <w:tc>
          <w:tcPr>
            <w:tcW w:w="443" w:type="dxa"/>
            <w:tcBorders>
              <w:top w:val="single" w:sz="2" w:space="0" w:color="000000"/>
              <w:left w:val="single" w:sz="2" w:space="0" w:color="000000"/>
              <w:bottom w:val="single" w:sz="2" w:space="0" w:color="000000"/>
            </w:tcBorders>
            <w:tcMar>
              <w:top w:w="28" w:type="dxa"/>
              <w:left w:w="160" w:type="dxa"/>
              <w:bottom w:w="28" w:type="dxa"/>
            </w:tcMar>
          </w:tcPr>
          <w:p>
            <w:pPr>
              <w:pStyle w:val="TableContents"/>
              <w:bidi w:val="0"/>
              <w:spacing w:before="0" w:after="283"/>
              <w:jc w:val="left"/>
              <w:rPr/>
            </w:pPr>
            <w:r>
              <w:rPr/>
              <w:t> </w:t>
            </w:r>
            <w:r>
              <w:rPr/>
              <w:t>9 </w:t>
            </w:r>
          </w:p>
        </w:tc>
        <w:tc>
          <w:tcPr>
            <w:tcW w:w="129"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9530" w:type="dxa"/>
            <w:gridSpan w:val="5"/>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AGGREGATE AMOUNT BENEFICIALLY OWNED BY EACH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1,323,293 Common Shares</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10</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CHECK BOX IF THE AGGREGATE AMOUNT IN ROW (9) EXCLUDES CERTAIN SHARES (see instructions)</w:t>
            </w:r>
          </w:p>
          <w:p>
            <w:pPr>
              <w:pStyle w:val="TableContents"/>
              <w:bidi w:val="0"/>
              <w:spacing w:before="0" w:after="0"/>
              <w:jc w:val="left"/>
              <w:rPr/>
            </w:pPr>
            <w:r>
              <w:rPr/>
              <w:t> </w:t>
            </w:r>
          </w:p>
          <w:p>
            <w:pPr>
              <w:pStyle w:val="TableContents"/>
              <w:bidi w:val="0"/>
              <w:spacing w:before="0" w:after="20"/>
              <w:jc w:val="left"/>
              <w:rPr/>
            </w:pPr>
            <w:r>
              <w:rPr/>
              <w:t>☐</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11</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PERCENT OF CLASS REPRESENTED BY AMOUNT IN ROW (9)</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5.12%*</w:t>
            </w:r>
          </w:p>
        </w:tc>
      </w:tr>
      <w:tr>
        <w:trPr/>
        <w:tc>
          <w:tcPr>
            <w:tcW w:w="443" w:type="dxa"/>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12</w:t>
            </w:r>
          </w:p>
        </w:tc>
        <w:tc>
          <w:tcPr>
            <w:tcW w:w="12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9530" w:type="dxa"/>
            <w:gridSpan w:val="5"/>
            <w:tcBorders>
              <w:bottom w:val="single" w:sz="2" w:space="0" w:color="000000"/>
              <w:right w:val="single" w:sz="2" w:space="0" w:color="000000"/>
            </w:tcBorders>
            <w:tcMar>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TYPE OF REPORTING PERSON</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25,850,832 Common Shares outstanding as of September 30, 2023, as reported on the Form 10-Q submitted by the Issuer to the SEC on November 14, 2023.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1.</w:t>
            </w:r>
          </w:p>
        </w:tc>
        <w:tc>
          <w:tcPr>
            <w:tcW w:w="92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Name of Issuer: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Sarcos Technology and Robotics Corporation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Address of Issuers Principal Executive Offices: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650 South 500 West, Suite 150 </w:t>
      </w:r>
    </w:p>
    <w:p>
      <w:pPr>
        <w:pStyle w:val="TextBody"/>
        <w:bidi w:val="0"/>
        <w:spacing w:before="0" w:after="0"/>
        <w:jc w:val="left"/>
        <w:rPr>
          <w:rFonts w:ascii="Times New Roman" w:hAnsi="Times New Roman"/>
          <w:sz w:val="20"/>
        </w:rPr>
      </w:pPr>
      <w:r>
        <w:rPr>
          <w:rFonts w:ascii="Times New Roman" w:hAnsi="Times New Roman"/>
          <w:sz w:val="20"/>
        </w:rPr>
        <w:t xml:space="preserve">Salt Lake City, Utah, USA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2.</w:t>
            </w:r>
          </w:p>
        </w:tc>
        <w:tc>
          <w:tcPr>
            <w:tcW w:w="9287"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b/>
                <w:sz w:val="20"/>
              </w:rPr>
              <w:t>Name of Person Filing:</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Schedule 13G/A is being jointly filed on behalf of the following persons (collectively, the Reporting Persons):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N.V. (Schlumberger Limited), a corporation formed under the laws of Curaçao (SLB);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B.V., a corporation formed under the laws of the Netherlands (SBV);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Holdings Corporation, a corporation formed under the laws of Delaware, United States (SHC);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Schlumberger Technology Corporation, a corporation formed under the laws of Texas, United States (STC). </w:t>
            </w:r>
          </w:p>
        </w:tc>
      </w:tr>
    </w:tbl>
    <w:p>
      <w:pPr>
        <w:pStyle w:val="TextBody"/>
        <w:bidi w:val="0"/>
        <w:spacing w:before="120" w:after="0"/>
        <w:jc w:val="left"/>
        <w:rPr>
          <w:rFonts w:ascii="Times New Roman" w:hAnsi="Times New Roman"/>
          <w:sz w:val="20"/>
        </w:rPr>
      </w:pPr>
      <w:r>
        <w:rPr>
          <w:rFonts w:ascii="Times New Roman" w:hAnsi="Times New Roman"/>
          <w:sz w:val="20"/>
        </w:rPr>
        <w:t xml:space="preserve">SLB is the sole stockholder of SBV. SBV is the sole stockholder of SHC. SHC is the sole stockholder of STC.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Address of Principal Business Office:</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business address of SLB for purposes of this Schedule 13G/A is 5599 San Felipe, Houston, Texas 77056. The business address of SBV is Parkstraat 83, 2514 JG, The Hague, Netherlands. The business address of each of SHC and STC is 300 Schlumberger Drive, Sugar Land, Texas 77478.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Citizenship:</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 3(c) is set forth in Row 4 of the cover pages hereto for each Reporting Person and is incorporated herein by reference for each such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Title of Class of Securities: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Common Stock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CUSIP Number:</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80359A106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3.</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If this statement is filed pursuant to §§240.13d-1(b) or 240.13d-2(b) or (c), check whether the person filing is a: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4.</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required by Items 4(a)-(c) is set forth in Rows 5-11 of the cover pages hereto for each Reporting Person and is incorporated herein by reference for each such Reporting Person.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5.</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Five Percent or Less of a Class.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6.</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Ownership of More than Five Percent on Behalf of Another Person.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7.</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the Subsidiary Which Acquired the Security Being Reported on By the Parent Holding Company.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8.</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Identification and Classification of Members of the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b/>
              </w:rPr>
            </w:pPr>
            <w:r>
              <w:rPr>
                <w:b/>
              </w:rPr>
              <w:t>Item 9.</w:t>
            </w:r>
          </w:p>
        </w:tc>
        <w:tc>
          <w:tcPr>
            <w:tcW w:w="928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Notice of Dissolution of a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b/>
              </w:rPr>
            </w:pPr>
            <w:r>
              <w:rPr>
                <w:b/>
              </w:rPr>
              <w:t>Item 10.</w:t>
            </w:r>
          </w:p>
        </w:tc>
        <w:tc>
          <w:tcPr>
            <w:tcW w:w="928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Certification.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After reasonable inquiry and to the best of my knowledge and belief, I certify that the information set forth in this statement is true, complete and correct. </w:t>
      </w:r>
    </w:p>
    <w:p>
      <w:pPr>
        <w:pStyle w:val="TextBody"/>
        <w:bidi w:val="0"/>
        <w:spacing w:before="240" w:after="0"/>
        <w:jc w:val="left"/>
        <w:rPr>
          <w:rFonts w:ascii="Times New Roman" w:hAnsi="Times New Roman"/>
          <w:sz w:val="20"/>
        </w:rPr>
      </w:pPr>
      <w:r>
        <w:rPr>
          <w:rFonts w:ascii="Times New Roman" w:hAnsi="Times New Roman"/>
          <w:sz w:val="20"/>
        </w:rPr>
        <w:t xml:space="preserve">Date: January 26,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5"/>
        <w:gridCol w:w="60"/>
        <w:gridCol w:w="3357"/>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Limited</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Samantha Blons</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Samantha Blons</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Assistant 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B.V.</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Eileen Hardell</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Eileen Hardell</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Secretary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Holdings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Jeanne Morrissette</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Jeanne Morrissette</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Schlumberger Technology Corporation</w:t>
            </w:r>
          </w:p>
        </w:tc>
      </w:tr>
      <w:tr>
        <w:trPr>
          <w:trHeight w:val="240" w:hRule="atLeast"/>
        </w:trPr>
        <w:tc>
          <w:tcPr>
            <w:tcW w:w="665" w:type="dxa"/>
            <w:tcBorders/>
            <w:vAlign w:val="center"/>
          </w:tcPr>
          <w:p>
            <w:pPr>
              <w:pStyle w:val="TableContents"/>
              <w:bidi w:val="0"/>
              <w:spacing w:before="0" w:after="283"/>
              <w:jc w:val="left"/>
              <w:rPr>
                <w:sz w:val="4"/>
                <w:szCs w:val="4"/>
              </w:rPr>
            </w:pPr>
            <w:r>
              <w:rPr>
                <w:sz w:val="4"/>
                <w:szCs w:val="4"/>
              </w:rPr>
            </w:r>
          </w:p>
        </w:tc>
        <w:tc>
          <w:tcPr>
            <w:tcW w:w="3417"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Arindam Bhattacharya</w:t>
            </w:r>
          </w:p>
        </w:tc>
      </w:tr>
      <w:tr>
        <w:trPr/>
        <w:tc>
          <w:tcPr>
            <w:tcW w:w="66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Arindam Bhattacharya</w:t>
            </w:r>
          </w:p>
        </w:tc>
      </w:tr>
      <w:tr>
        <w:trPr/>
        <w:tc>
          <w:tcPr>
            <w:tcW w:w="66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7" w:type="dxa"/>
            <w:tcBorders/>
          </w:tcPr>
          <w:p>
            <w:pPr>
              <w:pStyle w:val="TableContents"/>
              <w:bidi w:val="0"/>
              <w:spacing w:before="0" w:after="283"/>
              <w:jc w:val="left"/>
              <w:rPr/>
            </w:pPr>
            <w:r>
              <w:rPr/>
              <w:t>Vice President</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1329</Words>
  <Characters>6611</Characters>
  <CharactersWithSpaces>7931</CharactersWithSpaces>
  <Paragraphs>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13G/A</dc:title>
</cp:coreProperties>
</file>