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#806857108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3,083,752</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54,402,098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54,402,098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9.235%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33,000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54,402,098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54,402,098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9.235%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153 East 53 Street</w:t>
      </w:r>
    </w:p>
    <w:p>
      <w:pPr>
        <w:ind w:left="1700"/>
        <w:spacing w:after="0" w:line="238" w:lineRule="auto"/>
        <w:rPr>
          <w:sz w:val="20"/>
          <w:szCs w:val="20"/>
          <w:color w:val="auto"/>
        </w:rPr>
      </w:pPr>
      <w:r>
        <w:rPr>
          <w:rFonts w:ascii="Courier New" w:cs="Courier New" w:eastAsia="Courier New" w:hAnsi="Courier New"/>
          <w:sz w:val="18"/>
          <w:szCs w:val="18"/>
          <w:color w:val="auto"/>
        </w:rPr>
        <w:t>57th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10020</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806857108</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54,402,098</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9.235%</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3,083,752</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54,402,098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Schlumberger Limited. No one person's interest in the Common Stock of Schlumberger</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Limited is more than five percent of the total outstanding Common Stock.</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51,433,406 shares or 8.731% of the Common Stock outstanding of Schlumberger Limited ("the Company") as a result of acting as investment adviser to various investment companies registered under Section 8 of the Investment Company Act of 1940. The number of shares of Common Stock of Schlumberger Limited owned by the investment companies at December 31, 2005 included 41 shares of Common Stock resulting from the assumed conversion of $3,000 principal amount of SCHLUMBERGER CV 1.5 6/23 SER A (13.8255 shares of Common Stock for each $1,000 principal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debenture).</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51,433,406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Trust Company, 82 Devonshire</w:t>
      </w:r>
    </w:p>
    <w:p>
      <w:pPr>
        <w:spacing w:after="0" w:line="238" w:lineRule="auto"/>
        <w:rPr>
          <w:sz w:val="20"/>
          <w:szCs w:val="20"/>
          <w:color w:val="auto"/>
        </w:rPr>
      </w:pPr>
      <w:r>
        <w:rPr>
          <w:rFonts w:ascii="Courier New" w:cs="Courier New" w:eastAsia="Courier New" w:hAnsi="Courier New"/>
          <w:sz w:val="18"/>
          <w:szCs w:val="18"/>
          <w:color w:val="auto"/>
        </w:rPr>
        <w:t>Street, Boston, Massachusetts 02109, a wholly-owned</w:t>
      </w:r>
    </w:p>
    <w:p>
      <w:pPr>
        <w:spacing w:after="0"/>
        <w:rPr>
          <w:sz w:val="20"/>
          <w:szCs w:val="20"/>
          <w:color w:val="auto"/>
        </w:rPr>
      </w:pPr>
      <w:r>
        <w:rPr>
          <w:rFonts w:ascii="Courier New" w:cs="Courier New" w:eastAsia="Courier New" w:hAnsi="Courier New"/>
          <w:sz w:val="18"/>
          <w:szCs w:val="18"/>
          <w:color w:val="auto"/>
        </w:rPr>
        <w:t>subsidiary of FMR Corp. and a bank as defined in Section</w:t>
      </w:r>
    </w:p>
    <w:p>
      <w:pPr>
        <w:spacing w:after="0" w:line="237" w:lineRule="auto"/>
        <w:rPr>
          <w:sz w:val="20"/>
          <w:szCs w:val="20"/>
          <w:color w:val="auto"/>
        </w:rPr>
      </w:pPr>
      <w:r>
        <w:rPr>
          <w:rFonts w:ascii="Courier New" w:cs="Courier New" w:eastAsia="Courier New" w:hAnsi="Courier New"/>
          <w:sz w:val="18"/>
          <w:szCs w:val="18"/>
          <w:color w:val="auto"/>
        </w:rPr>
        <w:t>3(a)(6) of the Securities Exchange Act of 1934, is the</w:t>
      </w:r>
    </w:p>
    <w:p>
      <w:pPr>
        <w:spacing w:after="0"/>
        <w:tabs>
          <w:tab w:leader="none" w:pos="2200" w:val="left"/>
        </w:tabs>
        <w:rPr>
          <w:sz w:val="20"/>
          <w:szCs w:val="20"/>
          <w:color w:val="auto"/>
        </w:rPr>
      </w:pPr>
      <w:r>
        <w:rPr>
          <w:rFonts w:ascii="Courier New" w:cs="Courier New" w:eastAsia="Courier New" w:hAnsi="Courier New"/>
          <w:sz w:val="18"/>
          <w:szCs w:val="18"/>
          <w:color w:val="auto"/>
        </w:rPr>
        <w:t>beneficial owner of</w:t>
      </w:r>
      <w:r>
        <w:rPr>
          <w:sz w:val="20"/>
          <w:szCs w:val="20"/>
          <w:color w:val="auto"/>
        </w:rPr>
        <w:tab/>
      </w:r>
      <w:r>
        <w:rPr>
          <w:rFonts w:ascii="Courier New" w:cs="Courier New" w:eastAsia="Courier New" w:hAnsi="Courier New"/>
          <w:sz w:val="16"/>
          <w:szCs w:val="16"/>
          <w:color w:val="auto"/>
        </w:rPr>
        <w:t>1,831,837 shares or 0.311% of the</w:t>
      </w:r>
    </w:p>
    <w:p>
      <w:pPr>
        <w:spacing w:after="0"/>
        <w:rPr>
          <w:sz w:val="20"/>
          <w:szCs w:val="20"/>
          <w:color w:val="auto"/>
        </w:rPr>
      </w:pPr>
      <w:r>
        <w:rPr>
          <w:rFonts w:ascii="Courier New" w:cs="Courier New" w:eastAsia="Courier New" w:hAnsi="Courier New"/>
          <w:sz w:val="18"/>
          <w:szCs w:val="18"/>
          <w:color w:val="auto"/>
        </w:rPr>
        <w:t>Common Stock outstanding of the Company as a result of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serving as investment manager of the institutional account(s).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number of shares of Common Stock of Schlumberger</w:t>
      </w:r>
    </w:p>
    <w:p>
      <w:pPr>
        <w:spacing w:after="0" w:line="238" w:lineRule="auto"/>
        <w:rPr>
          <w:sz w:val="20"/>
          <w:szCs w:val="20"/>
          <w:color w:val="auto"/>
        </w:rPr>
      </w:pPr>
      <w:r>
        <w:rPr>
          <w:rFonts w:ascii="Courier New" w:cs="Courier New" w:eastAsia="Courier New" w:hAnsi="Courier New"/>
          <w:sz w:val="18"/>
          <w:szCs w:val="18"/>
          <w:color w:val="auto"/>
        </w:rPr>
        <w:t>Limited owned by the institutional account(s) at December 31,</w:t>
      </w:r>
    </w:p>
    <w:p>
      <w:pPr>
        <w:spacing w:after="0"/>
        <w:rPr>
          <w:sz w:val="20"/>
          <w:szCs w:val="20"/>
          <w:color w:val="auto"/>
        </w:rPr>
      </w:pPr>
      <w:r>
        <w:rPr>
          <w:rFonts w:ascii="Courier New" w:cs="Courier New" w:eastAsia="Courier New" w:hAnsi="Courier New"/>
          <w:sz w:val="18"/>
          <w:szCs w:val="18"/>
          <w:color w:val="auto"/>
        </w:rPr>
        <w:t>2005 included 41 shares of Common Stock resulting from the</w:t>
      </w:r>
    </w:p>
    <w:p>
      <w:pPr>
        <w:spacing w:after="0" w:line="237" w:lineRule="auto"/>
        <w:rPr>
          <w:sz w:val="20"/>
          <w:szCs w:val="20"/>
          <w:color w:val="auto"/>
        </w:rPr>
      </w:pPr>
      <w:r>
        <w:rPr>
          <w:rFonts w:ascii="Courier New" w:cs="Courier New" w:eastAsia="Courier New" w:hAnsi="Courier New"/>
          <w:sz w:val="18"/>
          <w:szCs w:val="18"/>
          <w:color w:val="auto"/>
        </w:rPr>
        <w:t>assumed conversion of $3,000 principal amount of</w:t>
      </w:r>
    </w:p>
    <w:p>
      <w:pPr>
        <w:spacing w:after="0" w:line="238" w:lineRule="auto"/>
        <w:rPr>
          <w:sz w:val="20"/>
          <w:szCs w:val="20"/>
          <w:color w:val="auto"/>
        </w:rPr>
      </w:pPr>
      <w:r>
        <w:rPr>
          <w:rFonts w:ascii="Courier New" w:cs="Courier New" w:eastAsia="Courier New" w:hAnsi="Courier New"/>
          <w:sz w:val="18"/>
          <w:szCs w:val="18"/>
          <w:color w:val="auto"/>
        </w:rPr>
        <w:t>SCHLUMBERGER CV 1.5 6/23 SER A (13.8255 shares of</w:t>
      </w:r>
    </w:p>
    <w:p>
      <w:pPr>
        <w:spacing w:after="0"/>
        <w:rPr>
          <w:sz w:val="20"/>
          <w:szCs w:val="20"/>
          <w:color w:val="auto"/>
        </w:rPr>
      </w:pPr>
      <w:r>
        <w:rPr>
          <w:rFonts w:ascii="Courier New" w:cs="Courier New" w:eastAsia="Courier New" w:hAnsi="Courier New"/>
          <w:sz w:val="18"/>
          <w:szCs w:val="18"/>
          <w:color w:val="auto"/>
        </w:rPr>
        <w:t>Common Stock for each $1,000 principal amount of</w:t>
      </w:r>
    </w:p>
    <w:p>
      <w:pPr>
        <w:spacing w:after="0" w:line="237" w:lineRule="auto"/>
        <w:rPr>
          <w:sz w:val="20"/>
          <w:szCs w:val="20"/>
          <w:color w:val="auto"/>
        </w:rPr>
      </w:pPr>
      <w:r>
        <w:rPr>
          <w:rFonts w:ascii="Courier New" w:cs="Courier New" w:eastAsia="Courier New" w:hAnsi="Courier New"/>
          <w:sz w:val="18"/>
          <w:szCs w:val="18"/>
          <w:color w:val="auto"/>
        </w:rPr>
        <w:t>debenture).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 sole</w:t>
      </w:r>
    </w:p>
    <w:p>
      <w:pPr>
        <w:spacing w:after="0"/>
        <w:rPr>
          <w:sz w:val="20"/>
          <w:szCs w:val="20"/>
          <w:color w:val="auto"/>
        </w:rPr>
      </w:pPr>
      <w:r>
        <w:rPr>
          <w:rFonts w:ascii="Courier New" w:cs="Courier New" w:eastAsia="Courier New" w:hAnsi="Courier New"/>
          <w:sz w:val="18"/>
          <w:szCs w:val="18"/>
          <w:color w:val="auto"/>
        </w:rPr>
        <w:t>dispositive power over 1,831,837 shares and sole power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or to direct the voting of 1,649,297 shares, and no power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vote or to direct the voting of 182,540 shares of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owned by the institutional account(s) as reported above.</w:t>
      </w:r>
    </w:p>
    <w:p>
      <w:pPr>
        <w:spacing w:after="0" w:line="224"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As such, FMR Corp.'s beneficial ownership includes 263,195 shares, or 0.045%, of the Common Stock stock outstanding of Schlumberger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beneficially owned through Strategic Advisers, Inc.</w:t>
      </w:r>
    </w:p>
    <w:p>
      <w:pPr>
        <w:spacing w:after="0" w:line="207"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has sole voting and dispositive power over 33,000 shares, shared voting and dispositive power over 0 shares, and no voting or dispositive power over 0 shares.</w:t>
      </w:r>
    </w:p>
    <w:p>
      <w:pPr>
        <w:sectPr>
          <w:pgSz w:w="11900" w:h="16838" w:orient="portrait"/>
          <w:cols w:equalWidth="0" w:num="1">
            <w:col w:w="10219"/>
          </w:cols>
          <w:pgMar w:left="240" w:top="750" w:right="1440" w:bottom="0" w:gutter="0" w:footer="0" w:header="0"/>
        </w:sectPr>
      </w:pPr>
    </w:p>
    <w:bookmarkStart w:id="3" w:name="page4"/>
    <w:bookmarkEnd w:id="3"/>
    <w:p>
      <w:pPr>
        <w:ind w:right="3679" w:firstLine="843"/>
        <w:spacing w:after="0" w:line="271" w:lineRule="auto"/>
        <w:rPr>
          <w:sz w:val="20"/>
          <w:szCs w:val="20"/>
          <w:color w:val="auto"/>
        </w:rPr>
      </w:pPr>
      <w:r>
        <w:rPr>
          <w:rFonts w:ascii="Courier New" w:cs="Courier New" w:eastAsia="Courier New" w:hAnsi="Courier New"/>
          <w:sz w:val="16"/>
          <w:szCs w:val="16"/>
          <w:color w:val="auto"/>
        </w:rPr>
        <w:t>Fidelity International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 pursuant to an SEC No-Action letter dated October 5, 2000, is the beneficial owner of 840,660 shares or 0.143% of the Common Stock outstanding of the Company. The number of shares of</w:t>
      </w:r>
    </w:p>
    <w:p>
      <w:pPr>
        <w:spacing w:after="0" w:line="186"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Common Stock of Schlumberger Limited owned by the institutional account(s) at December 31, 2005 included 41 shares of Common Stock resulting from the assumed conversion of $3,000 principal amount of SCHLUMBERGER</w:t>
      </w:r>
    </w:p>
    <w:p>
      <w:pPr>
        <w:spacing w:after="0" w:line="5"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CV 1.5 6/23 SER A (13.8255 shares of Common Stock for each $1,000 principal amount of debenture).</w:t>
      </w:r>
    </w:p>
    <w:p>
      <w:pPr>
        <w:spacing w:after="0" w:line="208"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predominantly by members of the family of Edward C. Johnson 3d, Chairman of FMR Corp.</w:t>
      </w:r>
    </w:p>
    <w:p>
      <w:pPr>
        <w:ind w:right="3579"/>
        <w:spacing w:after="0" w:line="268" w:lineRule="auto"/>
        <w:rPr>
          <w:sz w:val="20"/>
          <w:szCs w:val="20"/>
          <w:color w:val="auto"/>
        </w:rPr>
      </w:pPr>
      <w:r>
        <w:rPr>
          <w:rFonts w:ascii="Courier New" w:cs="Courier New" w:eastAsia="Courier New" w:hAnsi="Courier New"/>
          <w:sz w:val="16"/>
          <w:szCs w:val="16"/>
          <w:color w:val="auto"/>
        </w:rPr>
        <w:t>and FIL, or trusts for their benefit, owns shares of FIL voting stock with the right to cast approximately 38% of the total votes which may be cast by all holders of FIL voting stock.</w:t>
      </w:r>
    </w:p>
    <w:p>
      <w:pPr>
        <w:spacing w:after="0" w:line="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FMR Corp. and FIL are separate and independent corporate entities, and their Boards of Directors are generally composed of different individuals.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14, 2006, agree and consent to the joint filing on their behalf of this Schedule 13G in connection with their beneficial ownership of the Common Stock of Schlumberger Limited at December 31, 2005.</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2019-12-13T06:36:48Z</dcterms:created>
  <dcterms:modified xsi:type="dcterms:W3CDTF">2019-12-13T06:36:48Z</dcterms:modified>
</cp:coreProperties>
</file>