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2021</w:t>
      </w:r>
    </w:p>
    <w:p>
      <w:pPr>
        <w:jc w:val="center"/>
        <w:spacing w:after="0" w:line="225" w:lineRule="auto"/>
        <w:rPr>
          <w:sz w:val="20"/>
          <w:szCs w:val="20"/>
          <w:color w:val="auto"/>
        </w:rPr>
      </w:pPr>
      <w:r>
        <w:rPr>
          <w:rFonts w:ascii="Arial" w:cs="Arial" w:eastAsia="Arial" w:hAnsi="Arial"/>
          <w:sz w:val="14"/>
          <w:szCs w:val="14"/>
          <w:b w:val="1"/>
          <w:bCs w:val="1"/>
          <w:color w:val="auto"/>
        </w:rPr>
        <w:t>OR</w:t>
      </w:r>
    </w:p>
    <w:p>
      <w:pPr>
        <w:spacing w:after="0" w:line="1" w:lineRule="exact"/>
        <w:rPr>
          <w:sz w:val="24"/>
          <w:szCs w:val="24"/>
          <w:color w:val="auto"/>
        </w:rPr>
      </w:pPr>
    </w:p>
    <w:p>
      <w:pPr>
        <w:ind w:left="4540" w:right="1580" w:hanging="4532"/>
        <w:spacing w:after="0" w:line="344" w:lineRule="auto"/>
        <w:tabs>
          <w:tab w:leader="none" w:pos="5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29210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5000" w:type="dxa"/>
            <w:vAlign w:val="bottom"/>
          </w:tcPr>
          <w:p>
            <w:pPr>
              <w:jc w:val="center"/>
              <w:ind w:right="1695"/>
              <w:spacing w:after="0"/>
              <w:rPr>
                <w:sz w:val="20"/>
                <w:szCs w:val="20"/>
                <w:color w:val="auto"/>
              </w:rPr>
            </w:pPr>
            <w:r>
              <w:rPr>
                <w:rFonts w:ascii="Arial" w:cs="Arial" w:eastAsia="Arial" w:hAnsi="Arial"/>
                <w:sz w:val="18"/>
                <w:szCs w:val="18"/>
                <w:b w:val="1"/>
                <w:bCs w:val="1"/>
                <w:color w:val="auto"/>
                <w:w w:val="91"/>
              </w:rPr>
              <w:t>Curaçao</w:t>
            </w:r>
          </w:p>
        </w:tc>
        <w:tc>
          <w:tcPr>
            <w:tcW w:w="2860" w:type="dxa"/>
            <w:vAlign w:val="bottom"/>
          </w:tcPr>
          <w:p>
            <w:pPr>
              <w:jc w:val="center"/>
              <w:ind w:left="1717"/>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5000" w:type="dxa"/>
            <w:vAlign w:val="bottom"/>
          </w:tcPr>
          <w:p>
            <w:pPr>
              <w:jc w:val="center"/>
              <w:ind w:right="1715"/>
              <w:spacing w:after="0" w:line="149" w:lineRule="exact"/>
              <w:rPr>
                <w:sz w:val="20"/>
                <w:szCs w:val="20"/>
                <w:color w:val="auto"/>
              </w:rPr>
            </w:pPr>
            <w:r>
              <w:rPr>
                <w:rFonts w:ascii="Arial" w:cs="Arial" w:eastAsia="Arial" w:hAnsi="Arial"/>
                <w:sz w:val="14"/>
                <w:szCs w:val="14"/>
                <w:color w:val="auto"/>
                <w:w w:val="95"/>
              </w:rPr>
              <w:t>(State or other jurisdiction of</w:t>
            </w:r>
          </w:p>
        </w:tc>
        <w:tc>
          <w:tcPr>
            <w:tcW w:w="2860" w:type="dxa"/>
            <w:vAlign w:val="bottom"/>
          </w:tcPr>
          <w:p>
            <w:pPr>
              <w:jc w:val="center"/>
              <w:ind w:left="1737"/>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5000" w:type="dxa"/>
            <w:vAlign w:val="bottom"/>
          </w:tcPr>
          <w:p>
            <w:pPr>
              <w:jc w:val="center"/>
              <w:ind w:right="1715"/>
              <w:spacing w:after="0"/>
              <w:rPr>
                <w:sz w:val="20"/>
                <w:szCs w:val="20"/>
                <w:color w:val="auto"/>
              </w:rPr>
            </w:pPr>
            <w:r>
              <w:rPr>
                <w:rFonts w:ascii="Arial" w:cs="Arial" w:eastAsia="Arial" w:hAnsi="Arial"/>
                <w:sz w:val="14"/>
                <w:szCs w:val="14"/>
                <w:color w:val="auto"/>
                <w:w w:val="94"/>
              </w:rPr>
              <w:t>incorporation or organization)</w:t>
            </w:r>
          </w:p>
        </w:tc>
        <w:tc>
          <w:tcPr>
            <w:tcW w:w="2860" w:type="dxa"/>
            <w:vAlign w:val="bottom"/>
          </w:tcPr>
          <w:p>
            <w:pPr>
              <w:jc w:val="center"/>
              <w:ind w:left="1717"/>
              <w:spacing w:after="0"/>
              <w:rPr>
                <w:sz w:val="20"/>
                <w:szCs w:val="20"/>
                <w:color w:val="auto"/>
              </w:rPr>
            </w:pPr>
            <w:r>
              <w:rPr>
                <w:rFonts w:ascii="Arial" w:cs="Arial" w:eastAsia="Arial" w:hAnsi="Arial"/>
                <w:sz w:val="14"/>
                <w:szCs w:val="14"/>
                <w:color w:val="auto"/>
                <w:w w:val="97"/>
              </w:rPr>
              <w:t>Identification No.)</w:t>
            </w:r>
          </w:p>
        </w:tc>
      </w:tr>
      <w:tr>
        <w:trPr>
          <w:trHeight w:val="30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1"/>
              </w:rPr>
              <w:t>42 rue Saint-Dominique</w:t>
            </w:r>
          </w:p>
        </w:tc>
        <w:tc>
          <w:tcPr>
            <w:tcW w:w="2860" w:type="dxa"/>
            <w:vAlign w:val="bottom"/>
          </w:tcPr>
          <w:p>
            <w:pPr>
              <w:spacing w:after="0"/>
              <w:rPr>
                <w:sz w:val="24"/>
                <w:szCs w:val="24"/>
                <w:color w:val="auto"/>
              </w:rPr>
            </w:pPr>
          </w:p>
        </w:tc>
      </w:tr>
      <w:tr>
        <w:trPr>
          <w:trHeight w:val="23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1"/>
              </w:rPr>
              <w:t>Paris, France</w:t>
            </w:r>
          </w:p>
        </w:tc>
        <w:tc>
          <w:tcPr>
            <w:tcW w:w="286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75007</w:t>
            </w:r>
          </w:p>
        </w:tc>
      </w:tr>
      <w:tr>
        <w:trPr>
          <w:trHeight w:val="319"/>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88"/>
              </w:rPr>
              <w:t>5599 San Felipe</w:t>
            </w:r>
          </w:p>
        </w:tc>
        <w:tc>
          <w:tcPr>
            <w:tcW w:w="2860" w:type="dxa"/>
            <w:vAlign w:val="bottom"/>
          </w:tcPr>
          <w:p>
            <w:pPr>
              <w:spacing w:after="0"/>
              <w:rPr>
                <w:sz w:val="24"/>
                <w:szCs w:val="24"/>
                <w:color w:val="auto"/>
              </w:rPr>
            </w:pPr>
          </w:p>
        </w:tc>
      </w:tr>
      <w:tr>
        <w:trPr>
          <w:trHeight w:val="23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286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77056</w:t>
            </w:r>
          </w:p>
        </w:tc>
      </w:tr>
      <w:tr>
        <w:trPr>
          <w:trHeight w:val="319"/>
        </w:trPr>
        <w:tc>
          <w:tcPr>
            <w:tcW w:w="5000" w:type="dxa"/>
            <w:vAlign w:val="bottom"/>
          </w:tcPr>
          <w:p>
            <w:pPr>
              <w:jc w:val="center"/>
              <w:ind w:right="1695"/>
              <w:spacing w:after="0"/>
              <w:rPr>
                <w:sz w:val="20"/>
                <w:szCs w:val="20"/>
                <w:color w:val="auto"/>
              </w:rPr>
            </w:pPr>
            <w:r>
              <w:rPr>
                <w:rFonts w:ascii="Arial" w:cs="Arial" w:eastAsia="Arial" w:hAnsi="Arial"/>
                <w:sz w:val="18"/>
                <w:szCs w:val="18"/>
                <w:b w:val="1"/>
                <w:bCs w:val="1"/>
                <w:color w:val="auto"/>
                <w:w w:val="90"/>
              </w:rPr>
              <w:t>62 Buckingham Gate</w:t>
            </w:r>
          </w:p>
        </w:tc>
        <w:tc>
          <w:tcPr>
            <w:tcW w:w="2860" w:type="dxa"/>
            <w:vAlign w:val="bottom"/>
          </w:tcPr>
          <w:p>
            <w:pPr>
              <w:spacing w:after="0"/>
              <w:rPr>
                <w:sz w:val="24"/>
                <w:szCs w:val="24"/>
                <w:color w:val="auto"/>
              </w:rPr>
            </w:pPr>
          </w:p>
        </w:tc>
      </w:tr>
      <w:tr>
        <w:trPr>
          <w:trHeight w:val="23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1"/>
              </w:rPr>
              <w:t>London, United Kingdom</w:t>
            </w:r>
          </w:p>
        </w:tc>
        <w:tc>
          <w:tcPr>
            <w:tcW w:w="2860" w:type="dxa"/>
            <w:vAlign w:val="bottom"/>
          </w:tcPr>
          <w:p>
            <w:pPr>
              <w:jc w:val="center"/>
              <w:ind w:left="1737"/>
              <w:spacing w:after="0"/>
              <w:rPr>
                <w:sz w:val="20"/>
                <w:szCs w:val="20"/>
                <w:color w:val="auto"/>
              </w:rPr>
            </w:pPr>
            <w:r>
              <w:rPr>
                <w:rFonts w:ascii="Arial" w:cs="Arial" w:eastAsia="Arial" w:hAnsi="Arial"/>
                <w:sz w:val="18"/>
                <w:szCs w:val="18"/>
                <w:b w:val="1"/>
                <w:bCs w:val="1"/>
                <w:color w:val="auto"/>
                <w:w w:val="94"/>
              </w:rPr>
              <w:t>SW1E 6AJ</w:t>
            </w:r>
          </w:p>
        </w:tc>
      </w:tr>
      <w:tr>
        <w:trPr>
          <w:trHeight w:val="319"/>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2"/>
              </w:rPr>
              <w:t>Parkstraat 83, The Hague,</w:t>
            </w:r>
          </w:p>
        </w:tc>
        <w:tc>
          <w:tcPr>
            <w:tcW w:w="2860" w:type="dxa"/>
            <w:vAlign w:val="bottom"/>
          </w:tcPr>
          <w:p>
            <w:pPr>
              <w:spacing w:after="0"/>
              <w:rPr>
                <w:sz w:val="24"/>
                <w:szCs w:val="24"/>
                <w:color w:val="auto"/>
              </w:rPr>
            </w:pPr>
          </w:p>
        </w:tc>
      </w:tr>
      <w:tr>
        <w:trPr>
          <w:trHeight w:val="216"/>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0"/>
              </w:rPr>
              <w:t>The Netherlands</w:t>
            </w:r>
          </w:p>
        </w:tc>
        <w:tc>
          <w:tcPr>
            <w:tcW w:w="2860" w:type="dxa"/>
            <w:vAlign w:val="bottom"/>
          </w:tcPr>
          <w:p>
            <w:pPr>
              <w:jc w:val="center"/>
              <w:ind w:left="1737"/>
              <w:spacing w:after="0"/>
              <w:rPr>
                <w:sz w:val="20"/>
                <w:szCs w:val="20"/>
                <w:color w:val="auto"/>
              </w:rPr>
            </w:pPr>
            <w:r>
              <w:rPr>
                <w:rFonts w:ascii="Arial" w:cs="Arial" w:eastAsia="Arial" w:hAnsi="Arial"/>
                <w:sz w:val="18"/>
                <w:szCs w:val="18"/>
                <w:b w:val="1"/>
                <w:bCs w:val="1"/>
                <w:color w:val="auto"/>
                <w:w w:val="92"/>
              </w:rPr>
              <w:t>2514 JG</w:t>
            </w:r>
          </w:p>
        </w:tc>
      </w:tr>
      <w:tr>
        <w:trPr>
          <w:trHeight w:val="182"/>
        </w:trPr>
        <w:tc>
          <w:tcPr>
            <w:tcW w:w="5000" w:type="dxa"/>
            <w:vAlign w:val="bottom"/>
          </w:tcPr>
          <w:p>
            <w:pPr>
              <w:jc w:val="center"/>
              <w:ind w:right="1715"/>
              <w:spacing w:after="0"/>
              <w:rPr>
                <w:sz w:val="20"/>
                <w:szCs w:val="20"/>
                <w:color w:val="auto"/>
              </w:rPr>
            </w:pPr>
            <w:r>
              <w:rPr>
                <w:rFonts w:ascii="Arial" w:cs="Arial" w:eastAsia="Arial" w:hAnsi="Arial"/>
                <w:sz w:val="14"/>
                <w:szCs w:val="14"/>
                <w:color w:val="auto"/>
                <w:w w:val="94"/>
              </w:rPr>
              <w:t>(Addresses of principal executive offices)</w:t>
            </w:r>
          </w:p>
        </w:tc>
        <w:tc>
          <w:tcPr>
            <w:tcW w:w="2860" w:type="dxa"/>
            <w:vAlign w:val="bottom"/>
          </w:tcPr>
          <w:p>
            <w:pPr>
              <w:jc w:val="center"/>
              <w:ind w:left="1717"/>
              <w:spacing w:after="0"/>
              <w:rPr>
                <w:sz w:val="20"/>
                <w:szCs w:val="20"/>
                <w:color w:val="auto"/>
              </w:rPr>
            </w:pPr>
            <w:r>
              <w:rPr>
                <w:rFonts w:ascii="Arial" w:cs="Arial" w:eastAsia="Arial" w:hAnsi="Arial"/>
                <w:sz w:val="14"/>
                <w:szCs w:val="14"/>
                <w:color w:val="auto"/>
                <w:w w:val="95"/>
              </w:rPr>
              <w:t>(Zip Codes)</w:t>
            </w:r>
          </w:p>
        </w:tc>
      </w:tr>
    </w:tbl>
    <w:p>
      <w:pPr>
        <w:spacing w:after="0" w:line="75"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8"/>
          <w:szCs w:val="18"/>
          <w:b w:val="1"/>
          <w:bCs w:val="1"/>
          <w:color w:val="auto"/>
        </w:rPr>
        <w:t>Registrant’s telephone number in the United States, including area code, is:</w:t>
      </w:r>
      <w:r>
        <w:rPr>
          <w:sz w:val="20"/>
          <w:szCs w:val="20"/>
          <w:color w:val="auto"/>
        </w:rPr>
        <w:tab/>
      </w:r>
      <w:r>
        <w:rPr>
          <w:rFonts w:ascii="Arial" w:cs="Arial" w:eastAsia="Arial" w:hAnsi="Arial"/>
          <w:sz w:val="16"/>
          <w:szCs w:val="16"/>
          <w:b w:val="1"/>
          <w:bCs w:val="1"/>
          <w:color w:val="auto"/>
        </w:rPr>
        <w:t>(713) 513-2000</w:t>
      </w:r>
    </w:p>
    <w:p>
      <w:pPr>
        <w:spacing w:after="0" w:line="85" w:lineRule="exact"/>
        <w:rPr>
          <w:sz w:val="24"/>
          <w:szCs w:val="24"/>
          <w:color w:val="auto"/>
        </w:rPr>
      </w:pPr>
    </w:p>
    <w:tbl>
      <w:tblPr>
        <w:tblLayout w:type="fixed"/>
        <w:tblInd w:w="92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2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000" w:type="dxa"/>
            <w:vAlign w:val="bottom"/>
          </w:tcPr>
          <w:p>
            <w:pPr>
              <w:spacing w:after="0"/>
              <w:rPr>
                <w:sz w:val="17"/>
                <w:szCs w:val="17"/>
                <w:color w:val="auto"/>
              </w:rPr>
            </w:pPr>
          </w:p>
        </w:tc>
      </w:tr>
      <w:tr>
        <w:trPr>
          <w:trHeight w:val="290"/>
        </w:trPr>
        <w:tc>
          <w:tcPr>
            <w:tcW w:w="720" w:type="dxa"/>
            <w:vAlign w:val="bottom"/>
          </w:tcPr>
          <w:p>
            <w:pPr>
              <w:spacing w:after="0"/>
              <w:rPr>
                <w:sz w:val="24"/>
                <w:szCs w:val="24"/>
                <w:color w:val="auto"/>
              </w:rPr>
            </w:pPr>
          </w:p>
        </w:tc>
        <w:tc>
          <w:tcPr>
            <w:tcW w:w="204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spacing w:after="0"/>
              <w:rPr>
                <w:sz w:val="24"/>
                <w:szCs w:val="24"/>
                <w:color w:val="auto"/>
              </w:rPr>
            </w:pPr>
          </w:p>
        </w:tc>
        <w:tc>
          <w:tcPr>
            <w:tcW w:w="2520" w:type="dxa"/>
            <w:vAlign w:val="bottom"/>
            <w:gridSpan w:val="2"/>
          </w:tcPr>
          <w:p>
            <w:pPr>
              <w:jc w:val="center"/>
              <w:ind w:right="1220"/>
              <w:spacing w:after="0"/>
              <w:rPr>
                <w:sz w:val="20"/>
                <w:szCs w:val="20"/>
                <w:color w:val="auto"/>
              </w:rPr>
            </w:pPr>
            <w:r>
              <w:rPr>
                <w:rFonts w:ascii="Arial" w:cs="Arial" w:eastAsia="Arial" w:hAnsi="Arial"/>
                <w:sz w:val="16"/>
                <w:szCs w:val="16"/>
                <w:b w:val="1"/>
                <w:bCs w:val="1"/>
                <w:color w:val="auto"/>
                <w:w w:val="92"/>
              </w:rPr>
              <w:t>Trading Symbol(s)</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17"/>
        </w:trPr>
        <w:tc>
          <w:tcPr>
            <w:tcW w:w="2760" w:type="dxa"/>
            <w:vAlign w:val="bottom"/>
            <w:gridSpan w:val="3"/>
          </w:tcPr>
          <w:p>
            <w:pPr>
              <w:jc w:val="center"/>
              <w:ind w:right="100"/>
              <w:spacing w:after="0"/>
              <w:rPr>
                <w:sz w:val="20"/>
                <w:szCs w:val="20"/>
                <w:color w:val="auto"/>
              </w:rPr>
            </w:pPr>
            <w:r>
              <w:rPr>
                <w:rFonts w:ascii="Arial" w:cs="Arial" w:eastAsia="Arial" w:hAnsi="Arial"/>
                <w:sz w:val="16"/>
                <w:szCs w:val="16"/>
                <w:color w:val="auto"/>
                <w:w w:val="90"/>
              </w:rPr>
              <w:t>common stock, par value $0.01 per share</w:t>
            </w:r>
          </w:p>
        </w:tc>
        <w:tc>
          <w:tcPr>
            <w:tcW w:w="1300" w:type="dxa"/>
            <w:vAlign w:val="bottom"/>
          </w:tcPr>
          <w:p>
            <w:pPr>
              <w:spacing w:after="0"/>
              <w:rPr>
                <w:sz w:val="18"/>
                <w:szCs w:val="18"/>
                <w:color w:val="auto"/>
              </w:rPr>
            </w:pPr>
          </w:p>
        </w:tc>
        <w:tc>
          <w:tcPr>
            <w:tcW w:w="2520" w:type="dxa"/>
            <w:vAlign w:val="bottom"/>
            <w:gridSpan w:val="2"/>
          </w:tcPr>
          <w:p>
            <w:pPr>
              <w:jc w:val="center"/>
              <w:ind w:right="1220"/>
              <w:spacing w:after="0"/>
              <w:rPr>
                <w:sz w:val="20"/>
                <w:szCs w:val="20"/>
                <w:color w:val="auto"/>
              </w:rPr>
            </w:pPr>
            <w:r>
              <w:rPr>
                <w:rFonts w:ascii="Arial" w:cs="Arial" w:eastAsia="Arial" w:hAnsi="Arial"/>
                <w:sz w:val="16"/>
                <w:szCs w:val="16"/>
                <w:color w:val="auto"/>
                <w:w w:val="99"/>
              </w:rPr>
              <w:t>SLB</w:t>
            </w: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04" w:lineRule="exact"/>
        <w:rPr>
          <w:sz w:val="24"/>
          <w:szCs w:val="24"/>
          <w:color w:val="auto"/>
        </w:rPr>
      </w:pPr>
    </w:p>
    <w:p>
      <w:pPr>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00"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060" w:type="dxa"/>
            <w:vAlign w:val="bottom"/>
            <w:gridSpan w:val="3"/>
          </w:tcPr>
          <w:p>
            <w:pPr>
              <w:spacing w:after="0" w:line="184" w:lineRule="exact"/>
              <w:rPr>
                <w:sz w:val="20"/>
                <w:szCs w:val="20"/>
                <w:color w:val="auto"/>
              </w:rPr>
            </w:pPr>
            <w:r>
              <w:rPr>
                <w:rFonts w:ascii="Arial" w:cs="Arial" w:eastAsia="Arial" w:hAnsi="Arial"/>
                <w:sz w:val="16"/>
                <w:szCs w:val="16"/>
                <w:color w:val="auto"/>
                <w:w w:val="93"/>
              </w:rPr>
              <w:t xml:space="preserve">Indicate by check mark whether the registrant is a shell company (as defined in Rule 12b-2 of the Exchange Act).  Yes </w:t>
            </w:r>
            <w:r>
              <w:rPr>
                <w:rFonts w:ascii="MS PGothic" w:cs="MS PGothic" w:eastAsia="MS PGothic" w:hAnsi="MS PGothic"/>
                <w:sz w:val="16"/>
                <w:szCs w:val="16"/>
                <w:color w:val="auto"/>
                <w:w w:val="93"/>
              </w:rPr>
              <w:t>☐</w:t>
            </w:r>
          </w:p>
        </w:tc>
        <w:tc>
          <w:tcPr>
            <w:tcW w:w="3180" w:type="dxa"/>
            <w:vAlign w:val="bottom"/>
            <w:gridSpan w:val="3"/>
          </w:tcPr>
          <w:p>
            <w:pPr>
              <w:ind w:left="1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2"/>
        </w:trPr>
        <w:tc>
          <w:tcPr>
            <w:tcW w:w="8060" w:type="dxa"/>
            <w:vAlign w:val="bottom"/>
            <w:gridSpan w:val="3"/>
          </w:tcPr>
          <w:p>
            <w:pPr>
              <w:spacing w:after="0"/>
              <w:rPr>
                <w:sz w:val="20"/>
                <w:szCs w:val="20"/>
                <w:color w:val="auto"/>
              </w:rPr>
            </w:pPr>
            <w:r>
              <w:rPr>
                <w:rFonts w:ascii="Arial" w:cs="Arial" w:eastAsia="Arial" w:hAnsi="Arial"/>
                <w:sz w:val="16"/>
                <w:szCs w:val="16"/>
                <w:color w:val="auto"/>
                <w:w w:val="91"/>
              </w:rPr>
              <w:t>Indicate the number of shares outstanding of each of the issuer’s classes of common stock, as of the latest practicable date.</w:t>
            </w: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7"/>
        </w:trPr>
        <w:tc>
          <w:tcPr>
            <w:tcW w:w="8060" w:type="dxa"/>
            <w:vAlign w:val="bottom"/>
            <w:gridSpan w:val="3"/>
          </w:tcPr>
          <w:p>
            <w:pPr>
              <w:ind w:left="3760"/>
              <w:spacing w:after="0"/>
              <w:rPr>
                <w:sz w:val="20"/>
                <w:szCs w:val="20"/>
                <w:color w:val="auto"/>
              </w:rPr>
            </w:pPr>
            <w:r>
              <w:rPr>
                <w:rFonts w:ascii="Arial" w:cs="Arial" w:eastAsia="Arial" w:hAnsi="Arial"/>
                <w:sz w:val="16"/>
                <w:szCs w:val="16"/>
                <w:b w:val="1"/>
                <w:bCs w:val="1"/>
                <w:color w:val="auto"/>
              </w:rPr>
              <w:t>Class</w:t>
            </w:r>
          </w:p>
        </w:tc>
        <w:tc>
          <w:tcPr>
            <w:tcW w:w="420" w:type="dxa"/>
            <w:vAlign w:val="bottom"/>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Outstanding at March 31, 2021</w:t>
            </w:r>
          </w:p>
        </w:tc>
        <w:tc>
          <w:tcPr>
            <w:tcW w:w="600" w:type="dxa"/>
            <w:vAlign w:val="bottom"/>
          </w:tcPr>
          <w:p>
            <w:pPr>
              <w:spacing w:after="0"/>
              <w:rPr>
                <w:sz w:val="24"/>
                <w:szCs w:val="24"/>
                <w:color w:val="auto"/>
              </w:rPr>
            </w:pPr>
          </w:p>
        </w:tc>
      </w:tr>
      <w:tr>
        <w:trPr>
          <w:trHeight w:val="223"/>
        </w:trPr>
        <w:tc>
          <w:tcPr>
            <w:tcW w:w="8060" w:type="dxa"/>
            <w:vAlign w:val="bottom"/>
            <w:gridSpan w:val="3"/>
          </w:tcPr>
          <w:p>
            <w:pPr>
              <w:spacing w:after="0"/>
              <w:rPr>
                <w:sz w:val="20"/>
                <w:szCs w:val="20"/>
                <w:color w:val="auto"/>
              </w:rPr>
            </w:pPr>
            <w:r>
              <w:rPr>
                <w:rFonts w:ascii="Arial" w:cs="Arial" w:eastAsia="Arial" w:hAnsi="Arial"/>
                <w:sz w:val="16"/>
                <w:szCs w:val="16"/>
                <w:color w:val="auto"/>
              </w:rPr>
              <w:t>COMMON STOCK, $0.01 PAR VALUE PER SHARE</w:t>
            </w:r>
          </w:p>
        </w:tc>
        <w:tc>
          <w:tcPr>
            <w:tcW w:w="2580" w:type="dxa"/>
            <w:vAlign w:val="bottom"/>
            <w:gridSpan w:val="2"/>
          </w:tcPr>
          <w:p>
            <w:pPr>
              <w:jc w:val="right"/>
              <w:ind w:right="579"/>
              <w:spacing w:after="0"/>
              <w:rPr>
                <w:sz w:val="20"/>
                <w:szCs w:val="20"/>
                <w:color w:val="auto"/>
              </w:rPr>
            </w:pPr>
            <w:r>
              <w:rPr>
                <w:rFonts w:ascii="Arial" w:cs="Arial" w:eastAsia="Arial" w:hAnsi="Arial"/>
                <w:sz w:val="16"/>
                <w:szCs w:val="16"/>
                <w:color w:val="auto"/>
              </w:rPr>
              <w:t>1,398,332,463</w:t>
            </w:r>
          </w:p>
        </w:tc>
        <w:tc>
          <w:tcPr>
            <w:tcW w:w="600" w:type="dxa"/>
            <w:vAlign w:val="bottom"/>
          </w:tcPr>
          <w:p>
            <w:pPr>
              <w:spacing w:after="0"/>
              <w:rPr>
                <w:sz w:val="19"/>
                <w:szCs w:val="19"/>
                <w:color w:val="auto"/>
              </w:rPr>
            </w:pPr>
          </w:p>
        </w:tc>
      </w:tr>
      <w:tr>
        <w:trPr>
          <w:trHeight w:val="1404"/>
        </w:trPr>
        <w:tc>
          <w:tcPr>
            <w:tcW w:w="3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Quarter 2021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0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9600" w:type="dxa"/>
            <w:vAlign w:val="bottom"/>
            <w:gridSpan w:val="11"/>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600" w:type="dxa"/>
            <w:vAlign w:val="bottom"/>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2520" w:type="dxa"/>
            <w:vAlign w:val="bottom"/>
            <w:tcBorders>
              <w:top w:val="single" w:sz="8" w:color="0000EE"/>
            </w:tcBorders>
            <w:gridSpan w:val="2"/>
          </w:tcPr>
          <w:p>
            <w:pPr>
              <w:spacing w:after="0"/>
              <w:rPr>
                <w:sz w:val="24"/>
                <w:szCs w:val="24"/>
                <w:color w:val="auto"/>
              </w:rPr>
            </w:pPr>
          </w:p>
        </w:tc>
        <w:tc>
          <w:tcPr>
            <w:tcW w:w="53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0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8260" w:type="dxa"/>
            <w:vAlign w:val="bottom"/>
            <w:gridSpan w:val="7"/>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960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52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728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828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00" w:type="dxa"/>
            <w:vAlign w:val="bottom"/>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216"/>
        </w:trPr>
        <w:tc>
          <w:tcPr>
            <w:tcW w:w="11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u w:val="single" w:color="auto"/>
          <w:color w:val="auto"/>
        </w:rPr>
        <w:t>CONSOLIDATED STATEMENT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56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444"/>
        </w:trPr>
        <w:tc>
          <w:tcPr>
            <w:tcW w:w="5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9"/>
                <w:szCs w:val="19"/>
                <w:color w:val="auto"/>
              </w:rPr>
            </w:pPr>
          </w:p>
        </w:tc>
        <w:tc>
          <w:tcPr>
            <w:tcW w:w="1380" w:type="dxa"/>
            <w:vAlign w:val="bottom"/>
            <w:gridSpan w:val="2"/>
          </w:tcPr>
          <w:p>
            <w:pPr>
              <w:jc w:val="right"/>
              <w:ind w:right="47"/>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9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Services</w:t>
            </w:r>
          </w:p>
        </w:tc>
        <w:tc>
          <w:tcPr>
            <w:tcW w:w="2980" w:type="dxa"/>
            <w:vAlign w:val="bottom"/>
            <w:gridSpan w:val="2"/>
          </w:tcPr>
          <w:p>
            <w:pPr>
              <w:jc w:val="right"/>
              <w:ind w:right="895"/>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3,482</w:t>
            </w:r>
          </w:p>
        </w:tc>
        <w:tc>
          <w:tcPr>
            <w:tcW w:w="138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w:t>
            </w:r>
          </w:p>
        </w:tc>
        <w:tc>
          <w:tcPr>
            <w:tcW w:w="19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1,741</w:t>
            </w:r>
          </w:p>
        </w:tc>
        <w:tc>
          <w:tcPr>
            <w:tcW w:w="3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5,223</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w:t>
            </w:r>
          </w:p>
        </w:tc>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3,031</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1,473</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&amp; engineering</w:t>
            </w:r>
          </w:p>
        </w:tc>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135</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General &amp; administrative</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Impairments &amp; other</w:t>
            </w:r>
          </w:p>
        </w:tc>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8,523</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w:t>
            </w:r>
          </w:p>
        </w:tc>
        <w:tc>
          <w:tcPr>
            <w:tcW w:w="19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3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FF0FC"/>
            </w:tcBorders>
          </w:tcPr>
          <w:p>
            <w:pPr>
              <w:spacing w:after="0"/>
              <w:rPr>
                <w:sz w:val="19"/>
                <w:szCs w:val="19"/>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(loss) before taxes</w:t>
            </w:r>
          </w:p>
        </w:tc>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386</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(8,089)</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Tax expense (benefit)</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19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w:t>
            </w:r>
          </w:p>
        </w:tc>
        <w:tc>
          <w:tcPr>
            <w:tcW w:w="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(7,368)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19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3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19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5"/>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299</w:t>
            </w:r>
          </w:p>
        </w:tc>
        <w:tc>
          <w:tcPr>
            <w:tcW w:w="3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(7,376)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income (loss) per share of Schlumberger</w:t>
            </w:r>
          </w:p>
        </w:tc>
        <w:tc>
          <w:tcPr>
            <w:tcW w:w="2980" w:type="dxa"/>
            <w:vAlign w:val="bottom"/>
            <w:gridSpan w:val="2"/>
            <w:shd w:val="clear" w:color="auto" w:fill="CFF0FC"/>
          </w:tcPr>
          <w:p>
            <w:pPr>
              <w:jc w:val="right"/>
              <w:ind w:right="895"/>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0.21</w:t>
            </w:r>
          </w:p>
        </w:tc>
        <w:tc>
          <w:tcPr>
            <w:tcW w:w="1380" w:type="dxa"/>
            <w:vAlign w:val="bottom"/>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(5.32)</w:t>
            </w: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income (loss) per share of Schlumberger</w:t>
            </w:r>
          </w:p>
        </w:tc>
        <w:tc>
          <w:tcPr>
            <w:tcW w:w="2980" w:type="dxa"/>
            <w:vAlign w:val="bottom"/>
            <w:gridSpan w:val="2"/>
            <w:shd w:val="clear" w:color="auto" w:fill="CFF0FC"/>
          </w:tcPr>
          <w:p>
            <w:pPr>
              <w:jc w:val="right"/>
              <w:ind w:right="895"/>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0.21</w:t>
            </w:r>
          </w:p>
        </w:tc>
        <w:tc>
          <w:tcPr>
            <w:tcW w:w="1380" w:type="dxa"/>
            <w:vAlign w:val="bottom"/>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(5.32)</w:t>
            </w: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1,398</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Assuming dilution</w:t>
            </w:r>
          </w:p>
        </w:tc>
        <w:tc>
          <w:tcPr>
            <w:tcW w:w="1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1,419</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FF0FC"/>
          </w:tcPr>
          <w:p>
            <w:pPr>
              <w:spacing w:after="0"/>
              <w:rPr>
                <w:sz w:val="19"/>
                <w:szCs w:val="19"/>
                <w:color w:val="auto"/>
              </w:rPr>
            </w:pPr>
          </w:p>
        </w:tc>
      </w:tr>
    </w:tbl>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CONSOLIDATED STATEMENT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6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26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6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1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w:t>
            </w:r>
          </w:p>
        </w:tc>
        <w:tc>
          <w:tcPr>
            <w:tcW w:w="100" w:type="dxa"/>
            <w:vAlign w:val="bottom"/>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1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w:t>
            </w:r>
          </w:p>
        </w:tc>
      </w:tr>
      <w:tr>
        <w:trPr>
          <w:trHeight w:val="229"/>
        </w:trPr>
        <w:tc>
          <w:tcPr>
            <w:tcW w:w="626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(loss) on cash flow hedges</w:t>
            </w:r>
          </w:p>
        </w:tc>
        <w:tc>
          <w:tcPr>
            <w:tcW w:w="1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w:t>
            </w:r>
          </w:p>
        </w:tc>
      </w:tr>
      <w:tr>
        <w:trPr>
          <w:trHeight w:val="230"/>
        </w:trPr>
        <w:tc>
          <w:tcPr>
            <w:tcW w:w="6260" w:type="dxa"/>
            <w:vAlign w:val="bottom"/>
          </w:tcPr>
          <w:p>
            <w:pPr>
              <w:ind w:left="260"/>
              <w:spacing w:after="0"/>
              <w:rPr>
                <w:sz w:val="20"/>
                <w:szCs w:val="20"/>
                <w:color w:val="auto"/>
              </w:rPr>
            </w:pPr>
            <w:r>
              <w:rPr>
                <w:rFonts w:ascii="Arial" w:cs="Arial" w:eastAsia="Arial" w:hAnsi="Arial"/>
                <w:sz w:val="18"/>
                <w:szCs w:val="18"/>
                <w:color w:val="auto"/>
              </w:rPr>
              <w:t>Reclassification to net income (loss) of net realized (gain) loss</w:t>
            </w: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1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60" w:type="dxa"/>
            <w:vAlign w:val="bottom"/>
          </w:tcPr>
          <w:p>
            <w:pPr>
              <w:ind w:left="260"/>
              <w:spacing w:after="0"/>
              <w:rPr>
                <w:sz w:val="20"/>
                <w:szCs w:val="20"/>
                <w:color w:val="auto"/>
              </w:rPr>
            </w:pPr>
            <w:r>
              <w:rPr>
                <w:rFonts w:ascii="Arial" w:cs="Arial" w:eastAsia="Arial" w:hAnsi="Arial"/>
                <w:sz w:val="18"/>
                <w:szCs w:val="18"/>
                <w:color w:val="auto"/>
              </w:rPr>
              <w:t>Amortization to net income (loss) of net actuarial loss</w:t>
            </w: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(loss) of net prior service credit</w:t>
            </w:r>
          </w:p>
        </w:tc>
        <w:tc>
          <w:tcPr>
            <w:tcW w:w="1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29"/>
        </w:trPr>
        <w:tc>
          <w:tcPr>
            <w:tcW w:w="6260" w:type="dxa"/>
            <w:vAlign w:val="bottom"/>
          </w:tcPr>
          <w:p>
            <w:pPr>
              <w:ind w:left="260"/>
              <w:spacing w:after="0"/>
              <w:rPr>
                <w:sz w:val="20"/>
                <w:szCs w:val="20"/>
                <w:color w:val="auto"/>
              </w:rPr>
            </w:pPr>
            <w:r>
              <w:rPr>
                <w:rFonts w:ascii="Arial" w:cs="Arial" w:eastAsia="Arial" w:hAnsi="Arial"/>
                <w:sz w:val="18"/>
                <w:szCs w:val="18"/>
                <w:color w:val="auto"/>
              </w:rPr>
              <w:t>Income taxes on pension and other postretirement benefit plans</w:t>
            </w: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w:t>
            </w:r>
          </w:p>
        </w:tc>
        <w:tc>
          <w:tcPr>
            <w:tcW w:w="14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14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tcPr>
          <w:p>
            <w:pPr>
              <w:spacing w:after="0"/>
              <w:rPr>
                <w:sz w:val="19"/>
                <w:szCs w:val="19"/>
                <w:color w:val="auto"/>
              </w:rPr>
            </w:pPr>
          </w:p>
        </w:tc>
      </w:tr>
      <w:tr>
        <w:trPr>
          <w:trHeight w:val="223"/>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14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Mar. 31,</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(2021 - $319; 2020 - $301)</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5,269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3,303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6,620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12,978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3,397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42,036</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7,956</w:t>
            </w:r>
          </w:p>
        </w:tc>
        <w:tc>
          <w:tcPr>
            <w:tcW w:w="3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749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9,873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15,834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1,003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2,354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29,064</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12,663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(2,598)</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7,142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(4,664)</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23"/>
        </w:trPr>
        <w:tc>
          <w:tcPr>
            <w:tcW w:w="7640" w:type="dxa"/>
            <w:vAlign w:val="bottom"/>
          </w:tcPr>
          <w:p>
            <w:pPr>
              <w:ind w:left="260"/>
              <w:spacing w:after="0"/>
              <w:rPr>
                <w:sz w:val="20"/>
                <w:szCs w:val="20"/>
                <w:color w:val="auto"/>
              </w:rPr>
            </w:pPr>
            <w:r>
              <w:rPr>
                <w:rFonts w:ascii="Arial" w:cs="Arial" w:eastAsia="Arial" w:hAnsi="Arial"/>
                <w:sz w:val="18"/>
                <w:szCs w:val="18"/>
                <w:color w:val="auto"/>
              </w:rPr>
              <w:t>Schlumberger stockholders’ equity</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12,543</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12,972</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42,036</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60"/>
        </w:trPr>
        <w:tc>
          <w:tcPr>
            <w:tcW w:w="6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6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240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312</w:t>
            </w:r>
          </w:p>
        </w:tc>
        <w:tc>
          <w:tcPr>
            <w:tcW w:w="3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(7,368)</w:t>
            </w: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cash provided by operating activities:</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620"/>
              <w:spacing w:after="0"/>
              <w:rPr>
                <w:sz w:val="20"/>
                <w:szCs w:val="20"/>
                <w:color w:val="auto"/>
              </w:rPr>
            </w:pPr>
            <w:r>
              <w:rPr>
                <w:rFonts w:ascii="Arial" w:cs="Arial" w:eastAsia="Arial" w:hAnsi="Arial"/>
                <w:sz w:val="16"/>
                <w:szCs w:val="16"/>
                <w:color w:val="auto"/>
              </w:rPr>
              <w:t>Impairments and other charges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620"/>
              <w:spacing w:after="0" w:line="218"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5"/>
                <w:szCs w:val="25"/>
                <w:color w:val="auto"/>
                <w:vertAlign w:val="superscript"/>
              </w:rPr>
              <w:t>(1)</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620"/>
              <w:spacing w:after="0"/>
              <w:rPr>
                <w:sz w:val="20"/>
                <w:szCs w:val="20"/>
                <w:color w:val="auto"/>
              </w:rPr>
            </w:pPr>
            <w:r>
              <w:rPr>
                <w:rFonts w:ascii="Arial" w:cs="Arial" w:eastAsia="Arial" w:hAnsi="Arial"/>
                <w:sz w:val="16"/>
                <w:szCs w:val="16"/>
                <w:color w:val="auto"/>
              </w:rPr>
              <w:t>Deferred taxes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(29)</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Stock-based compensation expense</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(13)</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5"/>
                <w:szCs w:val="25"/>
                <w:color w:val="auto"/>
                <w:vertAlign w:val="superscript"/>
              </w:rPr>
              <w:t>(2)</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620"/>
              <w:spacing w:after="0"/>
              <w:rPr>
                <w:sz w:val="20"/>
                <w:szCs w:val="20"/>
                <w:color w:val="auto"/>
              </w:rPr>
            </w:pPr>
            <w:r>
              <w:rPr>
                <w:rFonts w:ascii="Arial" w:cs="Arial" w:eastAsia="Arial" w:hAnsi="Arial"/>
                <w:sz w:val="16"/>
                <w:szCs w:val="16"/>
                <w:color w:val="auto"/>
              </w:rPr>
              <w:t>(Increase) decrease in receivables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(16)</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inventories</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6360" w:type="dxa"/>
            <w:vAlign w:val="bottom"/>
          </w:tcPr>
          <w:p>
            <w:pPr>
              <w:ind w:left="620"/>
              <w:spacing w:after="0"/>
              <w:rPr>
                <w:sz w:val="20"/>
                <w:szCs w:val="20"/>
                <w:color w:val="auto"/>
              </w:rPr>
            </w:pPr>
            <w:r>
              <w:rPr>
                <w:rFonts w:ascii="Arial" w:cs="Arial" w:eastAsia="Arial" w:hAnsi="Arial"/>
                <w:sz w:val="16"/>
                <w:szCs w:val="16"/>
                <w:color w:val="auto"/>
              </w:rPr>
              <w:t>(Increase) decrease in other current assets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(17)</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other assets</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6360" w:type="dxa"/>
            <w:vAlign w:val="bottom"/>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(438)</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estimated liability for taxes on income</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(33)</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6360" w:type="dxa"/>
            <w:vAlign w:val="bottom"/>
          </w:tcPr>
          <w:p>
            <w:pPr>
              <w:ind w:left="620"/>
              <w:spacing w:after="0"/>
              <w:rPr>
                <w:sz w:val="20"/>
                <w:szCs w:val="20"/>
                <w:color w:val="auto"/>
              </w:rPr>
            </w:pPr>
            <w:r>
              <w:rPr>
                <w:rFonts w:ascii="Arial" w:cs="Arial" w:eastAsia="Arial" w:hAnsi="Arial"/>
                <w:sz w:val="16"/>
                <w:szCs w:val="16"/>
                <w:color w:val="auto"/>
              </w:rPr>
              <w:t>Decrease in other liabilities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(18)</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Other</w:t>
            </w:r>
          </w:p>
        </w:tc>
        <w:tc>
          <w:tcPr>
            <w:tcW w:w="13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132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w:t>
            </w:r>
          </w:p>
        </w:tc>
        <w:tc>
          <w:tcPr>
            <w:tcW w:w="3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(178)</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APS investments</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(85)</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3"/>
        </w:trPr>
        <w:tc>
          <w:tcPr>
            <w:tcW w:w="6360" w:type="dxa"/>
            <w:vAlign w:val="bottom"/>
          </w:tcPr>
          <w:p>
            <w:pPr>
              <w:ind w:left="380"/>
              <w:spacing w:after="0"/>
              <w:rPr>
                <w:sz w:val="20"/>
                <w:szCs w:val="20"/>
                <w:color w:val="auto"/>
              </w:rPr>
            </w:pPr>
            <w:r>
              <w:rPr>
                <w:rFonts w:ascii="Arial" w:cs="Arial" w:eastAsia="Arial" w:hAnsi="Arial"/>
                <w:sz w:val="16"/>
                <w:szCs w:val="16"/>
                <w:color w:val="auto"/>
              </w:rPr>
              <w:t>Multiclient seismic data costs capitalized</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(7)</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Business acquisitions and investments, net of cash acquired</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(13)</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380"/>
              <w:spacing w:after="0"/>
              <w:rPr>
                <w:sz w:val="20"/>
                <w:szCs w:val="20"/>
                <w:color w:val="auto"/>
              </w:rPr>
            </w:pPr>
            <w:r>
              <w:rPr>
                <w:rFonts w:ascii="Arial" w:cs="Arial" w:eastAsia="Arial" w:hAnsi="Arial"/>
                <w:sz w:val="16"/>
                <w:szCs w:val="16"/>
                <w:color w:val="auto"/>
              </w:rPr>
              <w:t>Sale (purchase) of investments, net</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520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proceeds from divestitures</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380"/>
              <w:spacing w:after="0"/>
              <w:rPr>
                <w:sz w:val="20"/>
                <w:szCs w:val="20"/>
                <w:color w:val="auto"/>
              </w:rPr>
            </w:pPr>
            <w:r>
              <w:rPr>
                <w:rFonts w:ascii="Arial" w:cs="Arial" w:eastAsia="Arial" w:hAnsi="Arial"/>
                <w:sz w:val="16"/>
                <w:szCs w:val="16"/>
                <w:color w:val="auto"/>
              </w:rPr>
              <w:t>Other</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(26)</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PROVIDED BY (USED IN) INVESTING ACTIVITIES</w:t>
            </w:r>
          </w:p>
        </w:tc>
        <w:tc>
          <w:tcPr>
            <w:tcW w:w="13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60" w:type="dxa"/>
            <w:vAlign w:val="bottom"/>
            <w:vMerge w:val="continue"/>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3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Dividends paid</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(174)</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3"/>
        </w:trPr>
        <w:tc>
          <w:tcPr>
            <w:tcW w:w="6360" w:type="dxa"/>
            <w:vAlign w:val="bottom"/>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repurchase program</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636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 of long-term debt</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(98)</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6360" w:type="dxa"/>
            <w:vAlign w:val="bottom"/>
          </w:tcPr>
          <w:p>
            <w:pPr>
              <w:ind w:left="380"/>
              <w:spacing w:after="0"/>
              <w:rPr>
                <w:sz w:val="20"/>
                <w:szCs w:val="20"/>
                <w:color w:val="auto"/>
              </w:rPr>
            </w:pPr>
            <w:r>
              <w:rPr>
                <w:rFonts w:ascii="Arial" w:cs="Arial" w:eastAsia="Arial" w:hAnsi="Arial"/>
                <w:sz w:val="16"/>
                <w:szCs w:val="16"/>
                <w:color w:val="auto"/>
              </w:rPr>
              <w:t>Net (decrease) increase in short-term borrowings</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(101)</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1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(35)</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PROVIDED BY FINANCING ACTIVITIES</w:t>
            </w:r>
          </w:p>
        </w:tc>
        <w:tc>
          <w:tcPr>
            <w:tcW w:w="1320" w:type="dxa"/>
            <w:vAlign w:val="bottom"/>
            <w:tcBorders>
              <w:bottom w:val="single" w:sz="8" w:color="CFF0FC"/>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w:t>
            </w:r>
          </w:p>
        </w:tc>
        <w:tc>
          <w:tcPr>
            <w:tcW w:w="30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cash before translation effect</w:t>
            </w:r>
          </w:p>
        </w:tc>
        <w:tc>
          <w:tcPr>
            <w:tcW w:w="1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13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60" w:type="dxa"/>
            <w:vAlign w:val="bottom"/>
          </w:tcPr>
          <w:p>
            <w:pPr>
              <w:spacing w:after="0"/>
              <w:rPr>
                <w:sz w:val="20"/>
                <w:szCs w:val="20"/>
                <w:color w:val="auto"/>
              </w:rPr>
            </w:pPr>
            <w:r>
              <w:rPr>
                <w:rFonts w:ascii="Arial" w:cs="Arial" w:eastAsia="Arial" w:hAnsi="Arial"/>
                <w:sz w:val="16"/>
                <w:szCs w:val="16"/>
                <w:color w:val="auto"/>
              </w:rPr>
              <w:t>Cash, end of period</w:t>
            </w:r>
          </w:p>
        </w:tc>
        <w:tc>
          <w:tcPr>
            <w:tcW w:w="1320" w:type="dxa"/>
            <w:vAlign w:val="bottom"/>
          </w:tcPr>
          <w:p>
            <w:pPr>
              <w:spacing w:after="0"/>
              <w:rPr>
                <w:sz w:val="17"/>
                <w:szCs w:val="17"/>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1,268</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80" w:hanging="372"/>
        <w:spacing w:after="0"/>
        <w:tabs>
          <w:tab w:leader="none" w:pos="380" w:val="left"/>
        </w:tabs>
        <w:numPr>
          <w:ilvl w:val="0"/>
          <w:numId w:val="3"/>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 and divestitures.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2021 – March 31, 2021</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2021</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12,970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(3,033)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7,018</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(4,884)</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12,489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Dividends declared ($0.125 per share)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(175)</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r>
      <w:tr>
        <w:trPr>
          <w:trHeight w:val="155"/>
        </w:trPr>
        <w:tc>
          <w:tcPr>
            <w:tcW w:w="378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March 31, 2021</w:t>
            </w: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12,663</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(2,598)</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7,142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(4,664)</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12,972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8"/>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2020 – March 31, 2020</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2020</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13,078</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(3,631)</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18,751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(4,438)</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416</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24,176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(7,376)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(7,368)</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(128)</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(202)</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Shares sold to optionees, less shares exchanged</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 repurchase program</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r>
      <w:tr>
        <w:trPr>
          <w:trHeight w:val="162"/>
        </w:trPr>
        <w:tc>
          <w:tcPr>
            <w:tcW w:w="3780" w:type="dxa"/>
            <w:vAlign w:val="bottom"/>
            <w:gridSpan w:val="2"/>
            <w:shd w:val="clear" w:color="auto" w:fill="CFF0FA"/>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A"/>
          </w:tcPr>
          <w:p>
            <w:pPr>
              <w:spacing w:after="0"/>
              <w:rPr>
                <w:sz w:val="14"/>
                <w:szCs w:val="14"/>
                <w:color w:val="auto"/>
              </w:rPr>
            </w:pPr>
          </w:p>
        </w:tc>
        <w:tc>
          <w:tcPr>
            <w:tcW w:w="800" w:type="dxa"/>
            <w:vAlign w:val="bottom"/>
            <w:shd w:val="clear" w:color="auto" w:fill="CFF0FA"/>
          </w:tcPr>
          <w:p>
            <w:pPr>
              <w:jc w:val="right"/>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0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880" w:type="dxa"/>
            <w:vAlign w:val="bottom"/>
            <w:shd w:val="clear" w:color="auto" w:fill="CFF0FA"/>
          </w:tcPr>
          <w:p>
            <w:pPr>
              <w:spacing w:after="0"/>
              <w:rPr>
                <w:sz w:val="14"/>
                <w:szCs w:val="14"/>
                <w:color w:val="auto"/>
              </w:rPr>
            </w:pPr>
          </w:p>
        </w:tc>
        <w:tc>
          <w:tcPr>
            <w:tcW w:w="24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2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86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220" w:type="dxa"/>
            <w:vAlign w:val="bottom"/>
            <w:shd w:val="clear" w:color="auto" w:fill="CFF0FA"/>
          </w:tcPr>
          <w:p>
            <w:pPr>
              <w:spacing w:after="0"/>
              <w:rPr>
                <w:sz w:val="14"/>
                <w:szCs w:val="14"/>
                <w:color w:val="auto"/>
              </w:rPr>
            </w:pPr>
          </w:p>
        </w:tc>
        <w:tc>
          <w:tcPr>
            <w:tcW w:w="820" w:type="dxa"/>
            <w:vAlign w:val="bottom"/>
            <w:shd w:val="clear" w:color="auto" w:fill="CFF0FA"/>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FF0FA"/>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Dividends declared ($0.50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(694)</w:t>
            </w:r>
          </w:p>
        </w:tc>
      </w:tr>
      <w:tr>
        <w:trPr>
          <w:trHeight w:val="162"/>
        </w:trPr>
        <w:tc>
          <w:tcPr>
            <w:tcW w:w="3780" w:type="dxa"/>
            <w:vAlign w:val="bottom"/>
            <w:gridSpan w:val="2"/>
            <w:shd w:val="clear" w:color="auto" w:fill="CFF0FA"/>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A"/>
          </w:tcPr>
          <w:p>
            <w:pPr>
              <w:spacing w:after="0"/>
              <w:rPr>
                <w:sz w:val="14"/>
                <w:szCs w:val="14"/>
                <w:color w:val="auto"/>
              </w:rPr>
            </w:pPr>
          </w:p>
        </w:tc>
        <w:tc>
          <w:tcPr>
            <w:tcW w:w="960" w:type="dxa"/>
            <w:vAlign w:val="bottom"/>
            <w:gridSpan w:val="2"/>
            <w:shd w:val="clear" w:color="auto" w:fill="CFF0FA"/>
          </w:tcPr>
          <w:p>
            <w:pPr>
              <w:jc w:val="right"/>
              <w:ind w:right="10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0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880" w:type="dxa"/>
            <w:vAlign w:val="bottom"/>
            <w:shd w:val="clear" w:color="auto" w:fill="CFF0FA"/>
          </w:tcPr>
          <w:p>
            <w:pPr>
              <w:spacing w:after="0"/>
              <w:rPr>
                <w:sz w:val="14"/>
                <w:szCs w:val="14"/>
                <w:color w:val="auto"/>
              </w:rPr>
            </w:pPr>
          </w:p>
        </w:tc>
        <w:tc>
          <w:tcPr>
            <w:tcW w:w="24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2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860" w:type="dxa"/>
            <w:vAlign w:val="bottom"/>
            <w:shd w:val="clear" w:color="auto" w:fill="CFF0FA"/>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A"/>
          </w:tcPr>
          <w:p>
            <w:pPr>
              <w:spacing w:after="0"/>
              <w:rPr>
                <w:sz w:val="14"/>
                <w:szCs w:val="14"/>
                <w:color w:val="auto"/>
              </w:rPr>
            </w:pPr>
          </w:p>
        </w:tc>
        <w:tc>
          <w:tcPr>
            <w:tcW w:w="220" w:type="dxa"/>
            <w:vAlign w:val="bottom"/>
            <w:shd w:val="clear" w:color="auto" w:fill="CFF0FA"/>
          </w:tcPr>
          <w:p>
            <w:pPr>
              <w:spacing w:after="0"/>
              <w:rPr>
                <w:sz w:val="14"/>
                <w:szCs w:val="14"/>
                <w:color w:val="auto"/>
              </w:rPr>
            </w:pPr>
          </w:p>
        </w:tc>
        <w:tc>
          <w:tcPr>
            <w:tcW w:w="920" w:type="dxa"/>
            <w:vAlign w:val="bottom"/>
            <w:gridSpan w:val="2"/>
            <w:shd w:val="clear" w:color="auto" w:fill="CFF0FA"/>
          </w:tcPr>
          <w:p>
            <w:pPr>
              <w:jc w:val="right"/>
              <w:ind w:right="60"/>
              <w:spacing w:after="0"/>
              <w:rPr>
                <w:sz w:val="20"/>
                <w:szCs w:val="20"/>
                <w:color w:val="auto"/>
              </w:rPr>
            </w:pPr>
            <w:r>
              <w:rPr>
                <w:rFonts w:ascii="Arial" w:cs="Arial" w:eastAsia="Arial" w:hAnsi="Arial"/>
                <w:sz w:val="14"/>
                <w:szCs w:val="14"/>
                <w:color w:val="auto"/>
              </w:rPr>
              <w:t>(10)</w:t>
            </w: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Balance, March 31, 2020</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12,963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(3,360)</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10,681</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(4,723)</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422</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15,983</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6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r>
      <w:tr>
        <w:trPr>
          <w:trHeight w:val="234"/>
        </w:trPr>
        <w:tc>
          <w:tcPr>
            <w:tcW w:w="6600" w:type="dxa"/>
            <w:vAlign w:val="bottom"/>
          </w:tcPr>
          <w:p>
            <w:pPr>
              <w:spacing w:after="0"/>
              <w:rPr>
                <w:sz w:val="20"/>
                <w:szCs w:val="20"/>
                <w:color w:val="auto"/>
              </w:rPr>
            </w:pPr>
          </w:p>
        </w:tc>
        <w:tc>
          <w:tcPr>
            <w:tcW w:w="900" w:type="dxa"/>
            <w:vAlign w:val="bottom"/>
          </w:tcPr>
          <w:p>
            <w:pPr>
              <w:ind w:left="420"/>
              <w:spacing w:after="0"/>
              <w:rPr>
                <w:sz w:val="20"/>
                <w:szCs w:val="20"/>
                <w:color w:val="auto"/>
              </w:rPr>
            </w:pPr>
            <w:r>
              <w:rPr>
                <w:rFonts w:ascii="Arial" w:cs="Arial" w:eastAsia="Arial" w:hAnsi="Arial"/>
                <w:sz w:val="18"/>
                <w:szCs w:val="18"/>
                <w:b w:val="1"/>
                <w:bCs w:val="1"/>
                <w:color w:val="auto"/>
                <w:w w:val="80"/>
              </w:rPr>
              <w:t>Issued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b w:val="1"/>
                <w:bCs w:val="1"/>
                <w:color w:val="auto"/>
              </w:rPr>
              <w:t>In Treasury</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2021</w:t>
            </w:r>
          </w:p>
        </w:tc>
        <w:tc>
          <w:tcPr>
            <w:tcW w:w="9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9"/>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Balance, March 31, 2021</w:t>
            </w:r>
          </w:p>
        </w:tc>
        <w:tc>
          <w:tcPr>
            <w:tcW w:w="9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2021 are not necessarily indicative of the results that may be expected for the full year ending December 31, 2021. The December 31, 2020 balance sheet information has been derived from the Schlumberger 2020 audited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2020, filed with the Securities and Exchange Commission on January 27, 2021.</w:t>
      </w:r>
    </w:p>
    <w:p>
      <w:pPr>
        <w:spacing w:after="0" w:line="270"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did not record any charges or credits during the first quarter of 2021.</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During the first quarter of 2020, Schlumberger recorded the following charges, all of which are classified as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 (Loss)</w:t>
      </w:r>
      <w:r>
        <w:rPr>
          <w:rFonts w:ascii="Arial" w:cs="Arial" w:eastAsia="Arial" w:hAnsi="Arial"/>
          <w:sz w:val="18"/>
          <w:szCs w:val="18"/>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Pretax</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900" w:type="dxa"/>
            <w:vAlign w:val="bottom"/>
            <w:tcBorders>
              <w:top w:val="single" w:sz="8" w:color="auto"/>
            </w:tcBorders>
            <w:shd w:val="clear" w:color="auto" w:fill="CFF0FC"/>
          </w:tcPr>
          <w:p>
            <w:pPr>
              <w:jc w:val="right"/>
              <w:ind w:right="74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3,070</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Intangible assets</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3,321</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APS investments</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1,264</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North American pressure pumping</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Severance</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8,523</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40" w:hanging="368"/>
        <w:spacing w:after="0" w:line="25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Geopolitical events that increased the supply of low-priced oil to the global market occurred at the same time that demand weakened due to the worldwide effects of the COVID-19 pandemic, leading to a collapse in oil prices during March 2020. As a result, Schlumberger’s market capitalization deteriorated significantly compared to the end of 2019. Schlumberger’s stock price reached a low during the first quarter of 2020 not seen since 1995. Additionally, the Philadelphia Oil Services Sector index, which is comprised of companies involved in the oil services sector, reached an all-time low. As a result of these facts, Schlumberger determined that it was more likely than not that the fair value of certain of its reporting units were less than their carrying value. Therefore, Schlumberger performed an interim goodwill impairment test that resulted in a $3.1 billion goodwill impairment charge.</w:t>
      </w:r>
    </w:p>
    <w:p>
      <w:pPr>
        <w:spacing w:after="0" w:line="194" w:lineRule="exact"/>
        <w:rPr>
          <w:rFonts w:ascii="Arial" w:cs="Arial" w:eastAsia="Arial" w:hAnsi="Arial"/>
          <w:sz w:val="18"/>
          <w:szCs w:val="18"/>
          <w:color w:val="auto"/>
        </w:rPr>
      </w:pPr>
    </w:p>
    <w:p>
      <w:pPr>
        <w:jc w:val="both"/>
        <w:ind w:left="760"/>
        <w:spacing w:after="0" w:line="275" w:lineRule="auto"/>
        <w:rPr>
          <w:rFonts w:ascii="Arial" w:cs="Arial" w:eastAsia="Arial" w:hAnsi="Arial"/>
          <w:sz w:val="18"/>
          <w:szCs w:val="18"/>
          <w:color w:val="auto"/>
        </w:rPr>
      </w:pPr>
      <w:r>
        <w:rPr>
          <w:rFonts w:ascii="Arial" w:cs="Arial" w:eastAsia="Arial" w:hAnsi="Arial"/>
          <w:sz w:val="17"/>
          <w:szCs w:val="17"/>
          <w:color w:val="auto"/>
        </w:rPr>
        <w:t>Schlumberger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216" w:lineRule="exact"/>
        <w:rPr>
          <w:rFonts w:ascii="Arial" w:cs="Arial" w:eastAsia="Arial" w:hAnsi="Arial"/>
          <w:sz w:val="18"/>
          <w:szCs w:val="18"/>
          <w:color w:val="auto"/>
        </w:rPr>
      </w:pPr>
    </w:p>
    <w:p>
      <w:pPr>
        <w:jc w:val="both"/>
        <w:ind w:left="760"/>
        <w:spacing w:after="0" w:line="257" w:lineRule="auto"/>
        <w:rPr>
          <w:rFonts w:ascii="Arial" w:cs="Arial" w:eastAsia="Arial" w:hAnsi="Arial"/>
          <w:sz w:val="18"/>
          <w:szCs w:val="18"/>
          <w:color w:val="auto"/>
        </w:rPr>
      </w:pPr>
      <w:r>
        <w:rPr>
          <w:rFonts w:ascii="Arial" w:cs="Arial" w:eastAsia="Arial" w:hAnsi="Arial"/>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 However, given the inherent uncertainty in determining the assumptions underlying a discounted cash flow analysis, particularly in the current volatile market, actual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ind w:left="760"/>
        <w:spacing w:after="0"/>
        <w:rPr>
          <w:sz w:val="20"/>
          <w:szCs w:val="20"/>
          <w:color w:val="auto"/>
        </w:rPr>
      </w:pPr>
      <w:r>
        <w:rPr>
          <w:rFonts w:ascii="Arial" w:cs="Arial" w:eastAsia="Arial" w:hAnsi="Arial"/>
          <w:sz w:val="18"/>
          <w:szCs w:val="18"/>
          <w:color w:val="auto"/>
        </w:rPr>
        <w:t>results may differ from those used in Schlumberger’s valuations which could result in additional impairment charges in the future.</w:t>
      </w:r>
    </w:p>
    <w:p>
      <w:pPr>
        <w:spacing w:after="0" w:line="25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discount rates utilized to value Schlumberger’s reporting units were between 12.0% and 13.5%, depending on the risks and uncertainty inherent in the respective reporting unit as well as the size of the reporting unit. Assuming all other assumptions and inputs used in each of the respective discounted cash flow analysis were held constant, a 50-basis point increase or decrease in the discount rate assumptions would have changed the fair value of the seven reporting units, on average, by less than 5%.</w:t>
      </w:r>
    </w:p>
    <w:p>
      <w:pPr>
        <w:spacing w:after="0" w:line="187" w:lineRule="exact"/>
        <w:rPr>
          <w:sz w:val="20"/>
          <w:szCs w:val="20"/>
          <w:color w:val="auto"/>
        </w:rPr>
      </w:pPr>
    </w:p>
    <w:p>
      <w:pPr>
        <w:jc w:val="both"/>
        <w:ind w:left="740" w:hanging="368"/>
        <w:spacing w:after="0" w:line="311" w:lineRule="auto"/>
        <w:tabs>
          <w:tab w:leader="none" w:pos="74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negative market indicators described above were triggering events that indicated that certain of Schlumberger’s long-lived intangible and tangible assets may have been impaired. Recoverability testing indicated that certain long-lived assets were impaired. The estimated fair value of these assets was determined to be below their carrying value. As a result, Schlumberger recorded the following impairment charges:</w:t>
      </w:r>
    </w:p>
    <w:p>
      <w:pPr>
        <w:spacing w:after="0" w:line="121" w:lineRule="exact"/>
        <w:rPr>
          <w:rFonts w:ascii="Arial" w:cs="Arial" w:eastAsia="Arial" w:hAnsi="Arial"/>
          <w:sz w:val="16"/>
          <w:szCs w:val="16"/>
          <w:color w:val="auto"/>
        </w:rPr>
      </w:pPr>
    </w:p>
    <w:p>
      <w:pPr>
        <w:jc w:val="both"/>
        <w:ind w:left="1120" w:hanging="370"/>
        <w:spacing w:after="0" w:line="263" w:lineRule="auto"/>
        <w:tabs>
          <w:tab w:leader="none" w:pos="1120" w:val="left"/>
        </w:tabs>
        <w:numPr>
          <w:ilvl w:val="2"/>
          <w:numId w:val="7"/>
        </w:numPr>
        <w:rPr>
          <w:rFonts w:ascii="Arial" w:cs="Arial" w:eastAsia="Arial" w:hAnsi="Arial"/>
          <w:sz w:val="18"/>
          <w:szCs w:val="18"/>
          <w:color w:val="auto"/>
        </w:rPr>
      </w:pPr>
      <w:r>
        <w:rPr>
          <w:rFonts w:ascii="Arial" w:cs="Arial" w:eastAsia="Arial" w:hAnsi="Arial"/>
          <w:sz w:val="18"/>
          <w:szCs w:val="18"/>
          <w:color w:val="auto"/>
        </w:rPr>
        <w:t>$3.3 billion relating to intangible assets, of which $2.2 billion related to Schlumberger’s 2016 acquisition of Cameron International Corporation and $1.1 billion related to Schlumberger’s 2010 acquisition of Smith International, Inc. Following this impairment charge, the carrying value of the impaired intangible assets was approximately $0.9 billion.</w:t>
      </w:r>
    </w:p>
    <w:p>
      <w:pPr>
        <w:spacing w:after="0" w:line="143" w:lineRule="exact"/>
        <w:rPr>
          <w:rFonts w:ascii="Arial" w:cs="Arial" w:eastAsia="Arial" w:hAnsi="Arial"/>
          <w:sz w:val="18"/>
          <w:szCs w:val="18"/>
          <w:color w:val="auto"/>
        </w:rPr>
      </w:pPr>
    </w:p>
    <w:p>
      <w:pPr>
        <w:ind w:left="1120" w:hanging="370"/>
        <w:spacing w:after="0"/>
        <w:tabs>
          <w:tab w:leader="none" w:pos="1120" w:val="left"/>
        </w:tabs>
        <w:numPr>
          <w:ilvl w:val="2"/>
          <w:numId w:val="7"/>
        </w:numPr>
        <w:rPr>
          <w:rFonts w:ascii="Arial" w:cs="Arial" w:eastAsia="Arial" w:hAnsi="Arial"/>
          <w:sz w:val="18"/>
          <w:szCs w:val="18"/>
          <w:color w:val="auto"/>
        </w:rPr>
      </w:pPr>
      <w:r>
        <w:rPr>
          <w:rFonts w:ascii="Arial" w:cs="Arial" w:eastAsia="Arial" w:hAnsi="Arial"/>
          <w:sz w:val="18"/>
          <w:szCs w:val="18"/>
          <w:color w:val="auto"/>
        </w:rPr>
        <w:t>$1.3 billion relating to the carrying value of certain Asset Performance Solutions (“APS”) projects in North America.</w:t>
      </w:r>
    </w:p>
    <w:p>
      <w:pPr>
        <w:spacing w:after="0" w:line="184" w:lineRule="exact"/>
        <w:rPr>
          <w:rFonts w:ascii="Arial" w:cs="Arial" w:eastAsia="Arial" w:hAnsi="Arial"/>
          <w:sz w:val="18"/>
          <w:szCs w:val="18"/>
          <w:color w:val="auto"/>
        </w:rPr>
      </w:pPr>
    </w:p>
    <w:p>
      <w:pPr>
        <w:ind w:left="1120" w:hanging="370"/>
        <w:spacing w:after="0"/>
        <w:tabs>
          <w:tab w:leader="none" w:pos="1120" w:val="left"/>
        </w:tabs>
        <w:numPr>
          <w:ilvl w:val="2"/>
          <w:numId w:val="7"/>
        </w:numPr>
        <w:rPr>
          <w:rFonts w:ascii="Arial" w:cs="Arial" w:eastAsia="Arial" w:hAnsi="Arial"/>
          <w:sz w:val="18"/>
          <w:szCs w:val="18"/>
          <w:color w:val="auto"/>
        </w:rPr>
      </w:pPr>
      <w:r>
        <w:rPr>
          <w:rFonts w:ascii="Arial" w:cs="Arial" w:eastAsia="Arial" w:hAnsi="Arial"/>
          <w:sz w:val="18"/>
          <w:szCs w:val="18"/>
          <w:color w:val="auto"/>
        </w:rPr>
        <w:t>$0.6 billion of fixed assets associated with the pressure pumping business in North America.</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$202 million of severance.</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$79 million of other restructuring charges, primarily consisting of the impairment of an equity method investment that was determined to be other-than-temporarily impaired.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$164 million relating to a valuation allowance against certain deferred tax assets.</w:t>
      </w:r>
    </w:p>
    <w:p>
      <w:pPr>
        <w:spacing w:after="0" w:line="329"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income (loss) per share of Schlumberger to diluted income (loss) per share of Schlumberger: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1"/>
              </w:rPr>
              <w:t>(Stated in millions, except per share amounts)</w:t>
            </w:r>
          </w:p>
        </w:tc>
      </w:tr>
      <w:tr>
        <w:trPr>
          <w:trHeight w:val="428"/>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16"/>
                <w:szCs w:val="16"/>
                <w:color w:val="auto"/>
                <w:w w:val="89"/>
              </w:rPr>
              <w:t>2020</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Schlumberger</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5"/>
              <w:spacing w:after="0"/>
              <w:rPr>
                <w:sz w:val="20"/>
                <w:szCs w:val="20"/>
                <w:color w:val="auto"/>
              </w:rPr>
            </w:pPr>
            <w:r>
              <w:rPr>
                <w:rFonts w:ascii="Arial" w:cs="Arial" w:eastAsia="Arial" w:hAnsi="Arial"/>
                <w:sz w:val="16"/>
                <w:szCs w:val="16"/>
                <w:b w:val="1"/>
                <w:bCs w:val="1"/>
                <w:color w:val="auto"/>
                <w:w w:val="93"/>
              </w:rPr>
              <w:t>Income per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Schlumberger</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Shares</w:t>
            </w: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Loss per</w:t>
            </w:r>
          </w:p>
        </w:tc>
      </w:tr>
      <w:tr>
        <w:trPr>
          <w:trHeight w:val="213"/>
        </w:trPr>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Net Income</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95"/>
              <w:spacing w:after="0"/>
              <w:rPr>
                <w:sz w:val="20"/>
                <w:szCs w:val="20"/>
                <w:color w:val="auto"/>
              </w:rPr>
            </w:pPr>
            <w:r>
              <w:rPr>
                <w:rFonts w:ascii="Arial" w:cs="Arial" w:eastAsia="Arial" w:hAnsi="Arial"/>
                <w:sz w:val="16"/>
                <w:szCs w:val="16"/>
                <w:b w:val="1"/>
                <w:bCs w:val="1"/>
                <w:color w:val="auto"/>
              </w:rPr>
              <w:t>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Outstanding</w:t>
            </w: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6"/>
                <w:szCs w:val="16"/>
                <w:color w:val="auto"/>
              </w:rPr>
              <w:t>Share</w:t>
            </w:r>
          </w:p>
        </w:tc>
      </w:tr>
      <w:tr>
        <w:trPr>
          <w:trHeight w:val="206"/>
        </w:trPr>
        <w:tc>
          <w:tcPr>
            <w:tcW w:w="1060" w:type="dxa"/>
            <w:vAlign w:val="bottom"/>
            <w:tcBorders>
              <w:top w:val="single" w:sz="8" w:color="CFF0FC"/>
              <w:bottom w:val="single" w:sz="8" w:color="auto"/>
            </w:tcBorders>
            <w:shd w:val="clear" w:color="auto" w:fill="CFF0FC"/>
          </w:tcPr>
          <w:p>
            <w:pPr>
              <w:spacing w:after="0" w:line="186" w:lineRule="exact"/>
              <w:rPr>
                <w:sz w:val="20"/>
                <w:szCs w:val="20"/>
                <w:color w:val="auto"/>
              </w:rPr>
            </w:pPr>
            <w:r>
              <w:rPr>
                <w:rFonts w:ascii="Arial" w:cs="Arial" w:eastAsia="Arial" w:hAnsi="Arial"/>
                <w:sz w:val="18"/>
                <w:szCs w:val="18"/>
                <w:b w:val="1"/>
                <w:bCs w:val="1"/>
                <w:color w:val="auto"/>
                <w:w w:val="95"/>
              </w:rPr>
              <w:t>First Quarter</w:t>
            </w:r>
          </w:p>
        </w:tc>
        <w:tc>
          <w:tcPr>
            <w:tcW w:w="148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70"/>
        </w:trPr>
        <w:tc>
          <w:tcPr>
            <w:tcW w:w="2540" w:type="dxa"/>
            <w:vAlign w:val="bottom"/>
            <w:gridSpan w:val="2"/>
          </w:tcPr>
          <w:p>
            <w:pPr>
              <w:spacing w:after="0"/>
              <w:rPr>
                <w:sz w:val="20"/>
                <w:szCs w:val="20"/>
                <w:color w:val="auto"/>
              </w:rPr>
            </w:pPr>
            <w:r>
              <w:rPr>
                <w:rFonts w:ascii="Arial" w:cs="Arial" w:eastAsia="Arial" w:hAnsi="Arial"/>
                <w:sz w:val="18"/>
                <w:szCs w:val="18"/>
                <w:color w:val="auto"/>
              </w:rPr>
              <w:t>Basic</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299</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1,398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(7,376)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1,387</w:t>
            </w:r>
          </w:p>
        </w:tc>
        <w:tc>
          <w:tcPr>
            <w:tcW w:w="24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r>
      <w:tr>
        <w:trPr>
          <w:trHeight w:val="210"/>
        </w:trPr>
        <w:tc>
          <w:tcPr>
            <w:tcW w:w="2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7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r>
      <w:tr>
        <w:trPr>
          <w:trHeight w:val="20"/>
        </w:trPr>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that were not included in the computation of diluted loss per share, because to do so would have had an antidilutive effect,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7680" w:type="dxa"/>
            <w:vAlign w:val="bottom"/>
          </w:tcPr>
          <w:p>
            <w:pPr>
              <w:spacing w:after="0"/>
              <w:rPr>
                <w:sz w:val="24"/>
                <w:szCs w:val="24"/>
                <w:color w:val="auto"/>
              </w:rPr>
            </w:pPr>
          </w:p>
        </w:tc>
        <w:tc>
          <w:tcPr>
            <w:tcW w:w="356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80" w:type="dxa"/>
            <w:vAlign w:val="bottom"/>
            <w:tcBorders>
              <w:bottom w:val="single" w:sz="8" w:color="CFF0FC"/>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11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44</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34"/>
        </w:trPr>
        <w:tc>
          <w:tcPr>
            <w:tcW w:w="886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r>
      <w:tr>
        <w:trPr>
          <w:trHeight w:val="427"/>
        </w:trPr>
        <w:tc>
          <w:tcPr>
            <w:tcW w:w="7680" w:type="dxa"/>
            <w:vAlign w:val="bottom"/>
          </w:tcPr>
          <w:p>
            <w:pPr>
              <w:jc w:val="right"/>
              <w:ind w:right="1930"/>
              <w:spacing w:after="0"/>
              <w:rPr>
                <w:sz w:val="20"/>
                <w:szCs w:val="20"/>
                <w:color w:val="auto"/>
              </w:rPr>
            </w:pPr>
            <w:r>
              <w:rPr>
                <w:rFonts w:ascii="Arial" w:cs="Arial" w:eastAsia="Arial" w:hAnsi="Arial"/>
                <w:sz w:val="18"/>
                <w:szCs w:val="18"/>
                <w:color w:val="auto"/>
              </w:rPr>
              <w:t>9</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6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9" w:name="page10"/>
    <w:bookmarkEnd w:id="9"/>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which are stated at the lower of average cost or net realizable value,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Mar. 31,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388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2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1,545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483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3,303</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120" w:type="dxa"/>
            <w:vAlign w:val="bottom"/>
            <w:gridSpan w:val="3"/>
            <w:vMerge w:val="continue"/>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2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Mar. 31,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388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2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29,703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2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23,083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19"/>
                <w:szCs w:val="19"/>
                <w:color w:val="auto"/>
              </w:rPr>
            </w:pPr>
          </w:p>
        </w:tc>
        <w:tc>
          <w:tcPr>
            <w:tcW w:w="25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6,620</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relating to fixed assets was $355 million and $449 million in the first quarter of 2021 and 2020, respectively.</w:t>
      </w:r>
    </w:p>
    <w:p>
      <w:pPr>
        <w:spacing w:after="0" w:line="200" w:lineRule="exact"/>
        <w:rPr>
          <w:sz w:val="20"/>
          <w:szCs w:val="20"/>
          <w:color w:val="auto"/>
        </w:rPr>
      </w:pPr>
    </w:p>
    <w:p>
      <w:pPr>
        <w:spacing w:after="0" w:line="210"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three months ended March 31, 2021 was as follows:</w:t>
      </w:r>
    </w:p>
    <w:p>
      <w:pPr>
        <w:spacing w:after="0" w:line="234" w:lineRule="exact"/>
        <w:rPr>
          <w:sz w:val="20"/>
          <w:szCs w:val="20"/>
          <w:color w:val="auto"/>
        </w:rPr>
      </w:pPr>
    </w:p>
    <w:p>
      <w:pPr>
        <w:ind w:left="1000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240"/>
          </w:cols>
          <w:pgMar w:left="320" w:top="810" w:right="3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Charged to expense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gross book value, accumulated amortization and net book value of intangible assets were as follows: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080" w:hanging="107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317</w:t>
      </w:r>
    </w:p>
    <w:p>
      <w:pPr>
        <w:spacing w:after="0" w:line="2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572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5" w:lineRule="exact"/>
        <w:rPr>
          <w:sz w:val="20"/>
          <w:szCs w:val="20"/>
          <w:color w:val="auto"/>
        </w:rPr>
      </w:pPr>
    </w:p>
    <w:p>
      <w:pPr>
        <w:ind w:left="1080" w:hanging="107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572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8572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2">
            <w:col w:w="9040" w:space="720"/>
            <w:col w:w="1480"/>
          </w:cols>
          <w:pgMar w:left="320" w:top="810" w:right="339" w:bottom="1440" w:gutter="0" w:footer="0" w:header="0"/>
          <w:type w:val="continuous"/>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1"/>
        </w:trPr>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Mar. 31, 2021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Dec. 31, 2020</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3"/>
              <w:spacing w:after="0"/>
              <w:rPr>
                <w:sz w:val="20"/>
                <w:szCs w:val="20"/>
                <w:color w:val="auto"/>
              </w:rPr>
            </w:pPr>
            <w:r>
              <w:rPr>
                <w:rFonts w:ascii="Arial" w:cs="Arial" w:eastAsia="Arial" w:hAnsi="Arial"/>
                <w:sz w:val="16"/>
                <w:szCs w:val="16"/>
                <w:b w:val="1"/>
                <w:bCs w:val="1"/>
                <w:color w:val="auto"/>
                <w:w w:val="96"/>
              </w:rPr>
              <w:t>Net Book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6"/>
                <w:szCs w:val="16"/>
                <w:color w:val="auto"/>
              </w:rPr>
              <w:t>Gross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Accumulated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7"/>
              </w:rPr>
              <w:t>Net Book</w:t>
            </w:r>
          </w:p>
        </w:tc>
      </w:tr>
      <w:tr>
        <w:trPr>
          <w:trHeight w:val="246"/>
        </w:trPr>
        <w:tc>
          <w:tcPr>
            <w:tcW w:w="2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Book Value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3"/>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6"/>
                <w:szCs w:val="16"/>
                <w:color w:val="auto"/>
                <w:w w:val="95"/>
              </w:rPr>
              <w:t>Book Value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Value</w:t>
            </w:r>
          </w:p>
        </w:tc>
      </w:tr>
      <w:tr>
        <w:trPr>
          <w:trHeight w:val="226"/>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FF0FC"/>
          </w:tcPr>
          <w:p>
            <w:pPr>
              <w:spacing w:after="0"/>
              <w:rPr>
                <w:sz w:val="19"/>
                <w:szCs w:val="19"/>
                <w:color w:val="auto"/>
              </w:rPr>
            </w:pPr>
          </w:p>
        </w:tc>
      </w:tr>
      <w:tr>
        <w:trPr>
          <w:trHeight w:val="230"/>
        </w:trPr>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FF0FC"/>
            </w:tcBorders>
          </w:tcPr>
          <w:p>
            <w:pPr>
              <w:spacing w:after="0"/>
              <w:rPr>
                <w:sz w:val="19"/>
                <w:szCs w:val="19"/>
                <w:color w:val="auto"/>
              </w:rPr>
            </w:pPr>
          </w:p>
        </w:tc>
      </w:tr>
      <w:tr>
        <w:trPr>
          <w:trHeight w:val="223"/>
        </w:trPr>
        <w:tc>
          <w:tcPr>
            <w:tcW w:w="2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5,303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1,906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3,397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Amortization expense charged to income was $76 million during the first quarter of 2021 and $133 million during the first quarter of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net book value of intangible assets at March 31, 2021, amortization charged to income for the subsequent five years is estimated to be: remaining three quarters of 2021—$228 million; 2022—$295 million; 2023—$288 million; 2024—$267 million; 2025—$255 million; and 2026—$252 million.</w:t>
      </w:r>
    </w:p>
    <w:p>
      <w:pPr>
        <w:spacing w:after="0" w:line="288"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Mar. 31,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r>
      <w:tr>
        <w:trPr>
          <w:trHeight w:val="234"/>
        </w:trPr>
        <w:tc>
          <w:tcPr>
            <w:tcW w:w="50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2023</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3.90%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2028</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1,452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2030</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1.375% Guaranteed Notes due 2026</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1,173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2032</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0.25%</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1,057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0.50%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2031</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999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4.30%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845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2024</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1.00%</w:t>
            </w:r>
          </w:p>
        </w:tc>
        <w:tc>
          <w:tcPr>
            <w:tcW w:w="4660" w:type="dxa"/>
            <w:vAlign w:val="bottom"/>
          </w:tcPr>
          <w:p>
            <w:pPr>
              <w:ind w:left="20"/>
              <w:spacing w:after="0"/>
              <w:rPr>
                <w:sz w:val="20"/>
                <w:szCs w:val="20"/>
                <w:color w:val="auto"/>
              </w:rPr>
            </w:pPr>
            <w:r>
              <w:rPr>
                <w:rFonts w:ascii="Arial" w:cs="Arial" w:eastAsia="Arial" w:hAnsi="Arial"/>
                <w:sz w:val="18"/>
                <w:szCs w:val="18"/>
                <w:color w:val="auto"/>
              </w:rPr>
              <w:t>Guaranteed Notes due 2026</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703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599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1.40%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3.63%</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7.00%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2038</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5.95%</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2041</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5.13%</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2043</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Commercial paper borrowings</w:t>
            </w:r>
          </w:p>
        </w:tc>
        <w:tc>
          <w:tcPr>
            <w:tcW w:w="25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FF0FC"/>
            </w:tcBorders>
          </w:tcPr>
          <w:p>
            <w:pPr>
              <w:spacing w:after="0"/>
              <w:rPr>
                <w:sz w:val="19"/>
                <w:szCs w:val="19"/>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19"/>
                <w:szCs w:val="19"/>
                <w:color w:val="auto"/>
              </w:rPr>
            </w:pPr>
          </w:p>
        </w:tc>
        <w:tc>
          <w:tcPr>
            <w:tcW w:w="25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15,834</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based on quoted market prices at March 31, 2021 and December 31, 2020, was $17.5 billion and $17.3 billion, respectively.</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second quarter of 2020, Schlumberger entered into a €1.54 billion one-year committed revolving credit facility. In March 2021, Schlumberger exercised an option to extend this facility for six months. This facility can be extended for a further six months at Schlumberger’s election. In April 2021, Schlumberger reduced the size of the facility to €0.75 billion. At March 31, 2021 no amounts had been drawn under this facility.</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revolving credit facility described above, at March 31, 2021, Schlumberger had separate committed credit facility agreements aggregating $6.25 billion with commercial banks, of which $5.82 billion was available and unused. These committed facilities support commercial paper programs in the United States and Europe, of which $2.75 billion matures in February 2023, $2.0 billion matures in February 2025 and $1.5 billion matures in July 2025. Interest rates and other terms of borrowing under these lines of credit vary by facility.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 xml:space="preserve">Borrowings under the commercial paper programs at both March 31, 2021 and December 31, 2020 were $0.4 billion, all of which was classified in </w:t>
      </w: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w:t>
      </w:r>
      <w:r>
        <w:rPr>
          <w:rFonts w:ascii="Arial" w:cs="Arial" w:eastAsia="Arial" w:hAnsi="Arial"/>
          <w:sz w:val="18"/>
          <w:szCs w:val="18"/>
          <w:color w:val="auto"/>
        </w:rPr>
        <w:t>Sheet.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During the first quarter of 2020, Schlumberger issued €400 million of 0.25% Notes due 2027 and €400 million of 0.50% Notes due 2031.</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Schlumberger Limited fully and unconditionally guarantees the securities issued by certain of its subsidiaries, including securities issued by Schlumberger Investment SA and Schlumberger Finance Canada Ltd., both wholly-owned subsidiaries of Schlumberger.</w:t>
      </w:r>
    </w:p>
    <w:p>
      <w:pPr>
        <w:spacing w:after="0" w:line="274"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a multinational company, Schlumberger conducts its business in over 120 countries. Schlumberger’s functional currency is primarily the US dollar.</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reclassified into earnings in the same period or periods that the hedged item is recognized in earnings.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Schlumberger is also exposed to risks on future cash flows relating to certain of its fixed rate debt denominated in currencies other than the functional currency. Schlumberger uses cross-currency swaps to provide a hedge against these cash flow risks.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was $367 million at March 31, 2021 ($427 million at December 31, 2020) and included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was $22 million at March 31, 2021 ($13 million at December 31, 2020) relating to the fair value of outstanding cross-currency swap derivatives. The fair value was determined using a model with inputs that are observable in the market or can be derived or collaborated by observable data.</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0.50% Notes due 2031. These cross-currency swaps effectively convert the Euro-denominated notes to US-dollar denominated debt with fixed annual interest rates of 2.29%, 2.51% and 2.76%,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2020, a US-dollar functional currency subsidiary of Schlumberger issued €0.8 billion of Euro-denominated debt. Schlumberger entered into cross-currency swaps for an aggregate notional amount of €0.8 billion in order to hedge changes in the fair value of its €0.4 billion of 0.25% Notes due 2027 and €0.4 billion of 0.50% Notes due 2031. These cross-currency swaps effectively convert the Euro-denominated notes to US-dollar denominated debt with fixed annual interest rates of 1.87% and 2.20%, respectively.</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second quarter of 2020, a US-dollar functional currency subsidiary of Schlumberger issued €2.0 billion of Euro-denominated debt. Schlumberger entered into cross-currency swaps for an aggregate notional amount of €2.0 billion in order to hedge changes in the fair value of its €1.0 billion of 1.375% Guaranteed Notes due 2026 and €1.0 billion of 2.00% Guaranteed Notes due 2032. These cross-currency swaps effectively convert the swapped portion of the Euro-denominated notes to US-dollar denominated debt with fixed annual interest rates of 2.77% and 3.49%, respectively.</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During the third quarter of 2020, a Canadian dollar functional currency subsidiary of Schlumberger issued $0.5 billion of US dollar denominated debt. Schlumberger entered into cross-currency swaps for an aggregate notional amount of $0.5 billion in order to hedge changes in the fair value of its $0.5 billion 1.40% Senior Notes due 2025. These cross-currency swaps effectively convert the US dollar notes to Canadian dollar denominated debt with a fixed annual interest rate of 1.73%.</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Schlumberger is exposed to changes in the fair value of assets and liabilities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changes in the fair value are recognized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as are changes in the fair value of the hedged item.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contracts were outstanding for the US dollar equivalent of $8.4 billion in various foreign currencies, of which $6.2 billion relates to hedges of debt denominated in currencies other than the functional currency.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ind w:right="20"/>
        <w:spacing w:after="0" w:line="277" w:lineRule="auto"/>
        <w:rPr>
          <w:sz w:val="20"/>
          <w:szCs w:val="20"/>
          <w:color w:val="auto"/>
        </w:rPr>
      </w:pPr>
      <w:r>
        <w:rPr>
          <w:rFonts w:ascii="Arial" w:cs="Arial" w:eastAsia="Arial" w:hAnsi="Arial"/>
          <w:sz w:val="18"/>
          <w:szCs w:val="18"/>
          <w:color w:val="auto"/>
        </w:rPr>
        <w:t>Other than the previously mentioned cross-currency swaps, the fair value of the other outstanding derivatives was not material at March 31, 2021 and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r>
      <w:tr>
        <w:trPr>
          <w:trHeight w:val="417"/>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20" w:type="dxa"/>
            <w:vAlign w:val="bottom"/>
            <w:gridSpan w:val="7"/>
          </w:tcPr>
          <w:p>
            <w:pPr>
              <w:jc w:val="center"/>
              <w:ind w:right="180"/>
              <w:spacing w:after="0"/>
              <w:rPr>
                <w:sz w:val="20"/>
                <w:szCs w:val="20"/>
                <w:color w:val="auto"/>
              </w:rPr>
            </w:pPr>
            <w:r>
              <w:rPr>
                <w:rFonts w:ascii="Arial" w:cs="Arial" w:eastAsia="Arial" w:hAnsi="Arial"/>
                <w:sz w:val="16"/>
                <w:szCs w:val="16"/>
                <w:b w:val="1"/>
                <w:bCs w:val="1"/>
                <w:color w:val="auto"/>
                <w:w w:val="90"/>
              </w:rPr>
              <w:t>Gain (Loss) Recognized in Income</w:t>
            </w: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13"/>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439"/>
              <w:spacing w:after="0"/>
              <w:rPr>
                <w:sz w:val="20"/>
                <w:szCs w:val="20"/>
                <w:color w:val="auto"/>
              </w:rPr>
            </w:pPr>
            <w:r>
              <w:rPr>
                <w:rFonts w:ascii="Arial" w:cs="Arial" w:eastAsia="Arial" w:hAnsi="Arial"/>
                <w:sz w:val="16"/>
                <w:szCs w:val="16"/>
                <w:b w:val="1"/>
                <w:bCs w:val="1"/>
                <w:color w:val="auto"/>
                <w:w w:val="84"/>
              </w:rPr>
              <w:t>(loss)</w:t>
            </w:r>
          </w:p>
        </w:tc>
        <w:tc>
          <w:tcPr>
            <w:tcW w:w="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07"/>
        </w:trPr>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ind w:right="419"/>
              <w:spacing w:after="0"/>
              <w:rPr>
                <w:sz w:val="20"/>
                <w:szCs w:val="20"/>
                <w:color w:val="auto"/>
              </w:rPr>
            </w:pPr>
            <w:r>
              <w:rPr>
                <w:rFonts w:ascii="Arial" w:cs="Arial" w:eastAsia="Arial" w:hAnsi="Arial"/>
                <w:sz w:val="16"/>
                <w:szCs w:val="16"/>
                <w:b w:val="1"/>
                <w:bCs w:val="1"/>
                <w:color w:val="auto"/>
                <w:w w:val="93"/>
              </w:rPr>
              <w:t>Three Months</w:t>
            </w:r>
          </w:p>
        </w:tc>
        <w:tc>
          <w:tcPr>
            <w:tcW w:w="3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12"/>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gridSpan w:val="2"/>
          </w:tcPr>
          <w:p>
            <w:pPr>
              <w:ind w:left="100"/>
              <w:spacing w:after="0"/>
              <w:rPr>
                <w:sz w:val="20"/>
                <w:szCs w:val="20"/>
                <w:color w:val="auto"/>
              </w:rPr>
            </w:pPr>
            <w:r>
              <w:rPr>
                <w:rFonts w:ascii="Arial" w:cs="Arial" w:eastAsia="Arial" w:hAnsi="Arial"/>
                <w:sz w:val="16"/>
                <w:szCs w:val="16"/>
                <w:color w:val="auto"/>
              </w:rPr>
              <w:t>Consolidated Statement of Loss Classification</w:t>
            </w:r>
          </w:p>
        </w:tc>
      </w:tr>
      <w:tr>
        <w:trPr>
          <w:trHeight w:val="226"/>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Derivatives designated as cash flow hedges:</w:t>
            </w:r>
          </w:p>
        </w:tc>
        <w:tc>
          <w:tcPr>
            <w:tcW w:w="3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380" w:type="dxa"/>
            <w:vAlign w:val="bottom"/>
            <w:tcBorders>
              <w:top w:val="single" w:sz="8" w:color="auto"/>
            </w:tcBorders>
            <w:shd w:val="clear" w:color="auto" w:fill="CFF0FC"/>
          </w:tcPr>
          <w:p>
            <w:pPr>
              <w:spacing w:after="0"/>
              <w:rPr>
                <w:sz w:val="19"/>
                <w:szCs w:val="19"/>
                <w:color w:val="auto"/>
              </w:rPr>
            </w:pPr>
          </w:p>
        </w:tc>
      </w:tr>
      <w:tr>
        <w:trPr>
          <w:trHeight w:val="229"/>
        </w:trPr>
        <w:tc>
          <w:tcPr>
            <w:tcW w:w="3560" w:type="dxa"/>
            <w:vAlign w:val="bottom"/>
          </w:tcPr>
          <w:p>
            <w:pPr>
              <w:ind w:left="260"/>
              <w:spacing w:after="0"/>
              <w:rPr>
                <w:sz w:val="20"/>
                <w:szCs w:val="20"/>
                <w:color w:val="auto"/>
              </w:rPr>
            </w:pPr>
            <w:r>
              <w:rPr>
                <w:rFonts w:ascii="Arial" w:cs="Arial" w:eastAsia="Arial" w:hAnsi="Arial"/>
                <w:sz w:val="18"/>
                <w:szCs w:val="18"/>
                <w:color w:val="auto"/>
              </w:rPr>
              <w:t>Cross currency swaps</w:t>
            </w:r>
          </w:p>
        </w:tc>
        <w:tc>
          <w:tcPr>
            <w:tcW w:w="1180" w:type="dxa"/>
            <w:vAlign w:val="bottom"/>
            <w:gridSpan w:val="2"/>
          </w:tcPr>
          <w:p>
            <w:pPr>
              <w:jc w:val="right"/>
              <w:ind w:right="64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(216)</w:t>
            </w:r>
          </w:p>
        </w:tc>
        <w:tc>
          <w:tcPr>
            <w:tcW w:w="880" w:type="dxa"/>
            <w:vAlign w:val="bottom"/>
            <w:gridSpan w:val="2"/>
          </w:tcPr>
          <w:p>
            <w:pPr>
              <w:jc w:val="right"/>
              <w:ind w:right="739"/>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4480" w:type="dxa"/>
            <w:vAlign w:val="bottom"/>
            <w:gridSpan w:val="2"/>
          </w:tcPr>
          <w:p>
            <w:pPr>
              <w:ind w:left="100"/>
              <w:spacing w:after="0"/>
              <w:rPr>
                <w:sz w:val="20"/>
                <w:szCs w:val="20"/>
                <w:color w:val="auto"/>
              </w:rPr>
            </w:pPr>
            <w:r>
              <w:rPr>
                <w:rFonts w:ascii="Arial" w:cs="Arial" w:eastAsia="Arial" w:hAnsi="Arial"/>
                <w:sz w:val="18"/>
                <w:szCs w:val="18"/>
                <w:i w:val="1"/>
                <w:iCs w:val="1"/>
                <w:color w:val="auto"/>
              </w:rPr>
              <w:t>Cost of services/sales</w:t>
            </w:r>
          </w:p>
        </w:tc>
      </w:tr>
      <w:tr>
        <w:trPr>
          <w:trHeight w:val="229"/>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contracts</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4480" w:type="dxa"/>
            <w:vAlign w:val="bottom"/>
            <w:gridSpan w:val="2"/>
            <w:shd w:val="clear" w:color="auto" w:fill="CFF0FC"/>
          </w:tcPr>
          <w:p>
            <w:pPr>
              <w:ind w:left="100"/>
              <w:spacing w:after="0"/>
              <w:rPr>
                <w:sz w:val="20"/>
                <w:szCs w:val="20"/>
                <w:color w:val="auto"/>
              </w:rPr>
            </w:pPr>
            <w:r>
              <w:rPr>
                <w:rFonts w:ascii="Arial" w:cs="Arial" w:eastAsia="Arial" w:hAnsi="Arial"/>
                <w:sz w:val="18"/>
                <w:szCs w:val="18"/>
                <w:i w:val="1"/>
                <w:iCs w:val="1"/>
                <w:color w:val="auto"/>
              </w:rPr>
              <w:t>Cost of services/sales</w:t>
            </w:r>
          </w:p>
        </w:tc>
      </w:tr>
      <w:tr>
        <w:trPr>
          <w:trHeight w:val="263"/>
        </w:trPr>
        <w:tc>
          <w:tcPr>
            <w:tcW w:w="356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(214)</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380" w:type="dxa"/>
            <w:vAlign w:val="bottom"/>
            <w:tcBorders>
              <w:bottom w:val="single" w:sz="8" w:color="CFF0FC"/>
            </w:tcBorders>
          </w:tcPr>
          <w:p>
            <w:pPr>
              <w:spacing w:after="0"/>
              <w:rPr>
                <w:sz w:val="22"/>
                <w:szCs w:val="22"/>
                <w:color w:val="auto"/>
              </w:rPr>
            </w:pPr>
          </w:p>
        </w:tc>
      </w:tr>
      <w:tr>
        <w:trPr>
          <w:trHeight w:val="21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380" w:type="dxa"/>
            <w:vAlign w:val="bottom"/>
            <w:shd w:val="clear" w:color="auto" w:fill="CFF0FC"/>
          </w:tcPr>
          <w:p>
            <w:pPr>
              <w:spacing w:after="0"/>
              <w:rPr>
                <w:sz w:val="18"/>
                <w:szCs w:val="18"/>
                <w:color w:val="auto"/>
              </w:rPr>
            </w:pPr>
          </w:p>
        </w:tc>
      </w:tr>
      <w:tr>
        <w:trPr>
          <w:trHeight w:val="229"/>
        </w:trPr>
        <w:tc>
          <w:tcPr>
            <w:tcW w:w="356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1180" w:type="dxa"/>
            <w:vAlign w:val="bottom"/>
            <w:gridSpan w:val="2"/>
          </w:tcPr>
          <w:p>
            <w:pPr>
              <w:jc w:val="right"/>
              <w:ind w:right="64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880" w:type="dxa"/>
            <w:vAlign w:val="bottom"/>
            <w:gridSpan w:val="2"/>
          </w:tcPr>
          <w:p>
            <w:pPr>
              <w:jc w:val="right"/>
              <w:ind w:right="739"/>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480" w:type="dxa"/>
            <w:vAlign w:val="bottom"/>
            <w:gridSpan w:val="2"/>
          </w:tcPr>
          <w:p>
            <w:pPr>
              <w:ind w:left="100"/>
              <w:spacing w:after="0"/>
              <w:rPr>
                <w:sz w:val="20"/>
                <w:szCs w:val="20"/>
                <w:color w:val="auto"/>
              </w:rPr>
            </w:pPr>
            <w:r>
              <w:rPr>
                <w:rFonts w:ascii="Arial" w:cs="Arial" w:eastAsia="Arial" w:hAnsi="Arial"/>
                <w:sz w:val="18"/>
                <w:szCs w:val="18"/>
                <w:i w:val="1"/>
                <w:iCs w:val="1"/>
                <w:color w:val="auto"/>
              </w:rPr>
              <w:t>Cost of services/sales</w:t>
            </w:r>
          </w:p>
        </w:tc>
      </w:tr>
      <w:tr>
        <w:trPr>
          <w:trHeight w:val="20"/>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333"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88"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First Quarter 2021</w:t>
            </w:r>
          </w:p>
        </w:tc>
        <w:tc>
          <w:tcPr>
            <w:tcW w:w="180" w:type="dxa"/>
            <w:vAlign w:val="bottom"/>
          </w:tcPr>
          <w:p>
            <w:pPr>
              <w:spacing w:after="0"/>
              <w:rPr>
                <w:sz w:val="24"/>
                <w:szCs w:val="24"/>
                <w:color w:val="auto"/>
              </w:rPr>
            </w:pPr>
          </w:p>
        </w:tc>
        <w:tc>
          <w:tcPr>
            <w:tcW w:w="2500" w:type="dxa"/>
            <w:vAlign w:val="bottom"/>
            <w:gridSpan w:val="5"/>
          </w:tcPr>
          <w:p>
            <w:pPr>
              <w:jc w:val="right"/>
              <w:ind w:right="740"/>
              <w:spacing w:after="0"/>
              <w:rPr>
                <w:sz w:val="20"/>
                <w:szCs w:val="20"/>
                <w:color w:val="auto"/>
              </w:rPr>
            </w:pPr>
            <w:r>
              <w:rPr>
                <w:rFonts w:ascii="Arial" w:cs="Arial" w:eastAsia="Arial" w:hAnsi="Arial"/>
                <w:sz w:val="18"/>
                <w:szCs w:val="18"/>
                <w:color w:val="auto"/>
              </w:rPr>
              <w:t>First Quarter 2020</w:t>
            </w: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29"/>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Taxes</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1,935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(32)</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(150)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(8,523)</w:t>
            </w:r>
          </w:p>
        </w:tc>
      </w:tr>
      <w:tr>
        <w:trPr>
          <w:trHeight w:val="223"/>
        </w:trPr>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p>
      <w:pPr>
        <w:ind w:left="380" w:right="20" w:hanging="372"/>
        <w:spacing w:after="0" w:line="193" w:lineRule="auto"/>
        <w:tabs>
          <w:tab w:leader="none" w:pos="38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2021; $- million in 2020).</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($4 million in 2021; $7 million in 2020).</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Revenue by geographic area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44"/>
        </w:trPr>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First Quarter</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50"/>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Middle East &amp; Asia</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4"/>
            <w:vMerge w:val="restart"/>
          </w:tcPr>
          <w:p>
            <w:pPr>
              <w:spacing w:after="0"/>
              <w:rPr>
                <w:sz w:val="20"/>
                <w:szCs w:val="20"/>
                <w:color w:val="auto"/>
              </w:rPr>
            </w:pPr>
            <w:r>
              <w:rPr>
                <w:rFonts w:ascii="Arial" w:cs="Arial" w:eastAsia="Arial" w:hAnsi="Arial"/>
                <w:sz w:val="18"/>
                <w:szCs w:val="18"/>
                <w:color w:val="auto"/>
              </w:rPr>
              <w:t>North America and International revenue disaggregated by segment was as follows:</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44"/>
        </w:trPr>
        <w:tc>
          <w:tcPr>
            <w:tcW w:w="5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4"/>
              </w:rPr>
              <w:t>First Quarter 2021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America</w:t>
            </w:r>
          </w:p>
        </w:tc>
        <w:tc>
          <w:tcPr>
            <w:tcW w:w="13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4"/>
              </w:rPr>
              <w:t>International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5"/>
              </w:rPr>
              <w:t>&amp; other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610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Reservoir Performance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922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1,577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Production Systems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(21)</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color w:val="auto"/>
                <w:w w:val="91"/>
              </w:rPr>
              <w:t>First Quarter 2020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5"/>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America</w:t>
            </w:r>
          </w:p>
        </w:tc>
        <w:tc>
          <w:tcPr>
            <w:tcW w:w="10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&amp; other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Reservoir Performance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Production Systems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w w:val="99"/>
              </w:rPr>
              <w:t>(29)</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Revenue in excess of billings related to contracts where revenue is recognized over time was $0.2 billion at both March 31, 2021 and December 31, 2020. Such amounts are included within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nature of its business, Schlumberger does not have significant backlog. Total backlog was $2.7 billion at March 31, 2021, of which approximately 45% is expected to be recognized as revenue over the next 12 months.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Billings and cash collections in excess of revenue was $1.0 billion at March 31, 2021 and $0.9 billion at December 31, 2020. Such amounts are included within </w:t>
      </w:r>
      <w:r>
        <w:rPr>
          <w:rFonts w:ascii="Arial" w:cs="Arial" w:eastAsia="Arial" w:hAnsi="Arial"/>
          <w:sz w:val="18"/>
          <w:szCs w:val="18"/>
          <w:i w:val="1"/>
          <w:iCs w:val="1"/>
          <w:color w:val="auto"/>
        </w:rPr>
        <w:t>Accounts payable and accrued liabilities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4" w:name="page15"/>
    <w:bookmarkEnd w:id="14"/>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(credit) cost for the Schlumberger pension plans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31"/>
        </w:trPr>
        <w:tc>
          <w:tcPr>
            <w:tcW w:w="4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First Quarter</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8"/>
                <w:szCs w:val="18"/>
                <w:color w:val="auto"/>
              </w:rPr>
              <w:t>2020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Int’l</w:t>
            </w:r>
          </w:p>
        </w:tc>
        <w:tc>
          <w:tcPr>
            <w:tcW w:w="2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US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Int’l</w:t>
            </w:r>
          </w:p>
        </w:tc>
        <w:tc>
          <w:tcPr>
            <w:tcW w:w="100" w:type="dxa"/>
            <w:vAlign w:val="bottom"/>
          </w:tcPr>
          <w:p>
            <w:pPr>
              <w:spacing w:after="0"/>
              <w:rPr>
                <w:sz w:val="19"/>
                <w:szCs w:val="19"/>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Interest cost</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(63)</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(158)</w:t>
            </w: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6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23"/>
        </w:trPr>
        <w:tc>
          <w:tcPr>
            <w:tcW w:w="4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credit for the Schlumberger US postretirement medical plan included the following components: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431"/>
        </w:trPr>
        <w:tc>
          <w:tcPr>
            <w:tcW w:w="40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First Quarter</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19"/>
                <w:szCs w:val="19"/>
                <w:color w:val="auto"/>
              </w:rPr>
            </w:pPr>
          </w:p>
        </w:tc>
        <w:tc>
          <w:tcPr>
            <w:tcW w:w="3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3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Interest cost</w:t>
            </w:r>
          </w:p>
        </w:tc>
        <w:tc>
          <w:tcPr>
            <w:tcW w:w="3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3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3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6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tcPr>
          <w:p>
            <w:pPr>
              <w:spacing w:after="0"/>
              <w:rPr>
                <w:sz w:val="19"/>
                <w:szCs w:val="19"/>
                <w:color w:val="auto"/>
              </w:rPr>
            </w:pPr>
          </w:p>
        </w:tc>
        <w:tc>
          <w:tcPr>
            <w:tcW w:w="3620" w:type="dxa"/>
            <w:vAlign w:val="bottom"/>
            <w:vMerge w:val="continue"/>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w:t>
            </w:r>
          </w:p>
        </w:tc>
        <w:tc>
          <w:tcPr>
            <w:tcW w:w="120" w:type="dxa"/>
            <w:vAlign w:val="bottom"/>
            <w:vMerge w:val="continue"/>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620" w:type="dxa"/>
            <w:vAlign w:val="bottom"/>
            <w:vMerge w:val="restart"/>
          </w:tcPr>
          <w:p>
            <w:pPr>
              <w:jc w:val="right"/>
              <w:ind w:right="1870"/>
              <w:spacing w:after="0"/>
              <w:rPr>
                <w:sz w:val="20"/>
                <w:szCs w:val="20"/>
                <w:color w:val="auto"/>
              </w:rPr>
            </w:pPr>
            <w:r>
              <w:rPr>
                <w:rFonts w:ascii="Arial" w:cs="Arial" w:eastAsia="Arial" w:hAnsi="Arial"/>
                <w:sz w:val="18"/>
                <w:szCs w:val="18"/>
                <w:color w:val="auto"/>
              </w:rPr>
              <w:t>15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Quarter 2021 Compared to Fourth Quarter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First Quarter 2021</w:t>
            </w: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Fourth Quarter 2020</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Income Before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2"/>
              </w:rPr>
              <w:t>Income Before</w:t>
            </w:r>
          </w:p>
        </w:tc>
        <w:tc>
          <w:tcPr>
            <w:tcW w:w="1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800" w:type="dxa"/>
            <w:vAlign w:val="bottom"/>
          </w:tcPr>
          <w:p>
            <w:pPr>
              <w:ind w:left="360"/>
              <w:spacing w:after="0"/>
              <w:rPr>
                <w:sz w:val="20"/>
                <w:szCs w:val="20"/>
                <w:color w:val="auto"/>
              </w:rPr>
            </w:pPr>
            <w:r>
              <w:rPr>
                <w:rFonts w:ascii="Arial" w:cs="Arial" w:eastAsia="Arial" w:hAnsi="Arial"/>
                <w:sz w:val="18"/>
                <w:szCs w:val="18"/>
                <w:b w:val="1"/>
                <w:bCs w:val="1"/>
                <w:color w:val="auto"/>
                <w:w w:val="82"/>
              </w:rPr>
              <w:t>Taxes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Taxes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773</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1,935</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1,649</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(77)</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(32)</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5"/>
              </w:rPr>
              <w:t>(150)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(132)</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5"/>
              </w:rPr>
              <w:t>(132)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(137)</w:t>
            </w:r>
          </w:p>
        </w:tc>
      </w:tr>
      <w:tr>
        <w:trPr>
          <w:trHeight w:val="229"/>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0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FF0FC"/>
            </w:tcBorders>
          </w:tcPr>
          <w:p>
            <w:pPr>
              <w:spacing w:after="0"/>
              <w:rPr>
                <w:sz w:val="19"/>
                <w:szCs w:val="19"/>
                <w:color w:val="auto"/>
              </w:rPr>
            </w:pPr>
          </w:p>
        </w:tc>
      </w:tr>
      <w:tr>
        <w:trPr>
          <w:trHeight w:val="223"/>
        </w:trPr>
        <w:tc>
          <w:tcPr>
            <w:tcW w:w="372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5,223</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5,532</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0"/>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ind w:left="380" w:right="20" w:hanging="372"/>
        <w:spacing w:after="0" w:line="193" w:lineRule="auto"/>
        <w:tabs>
          <w:tab w:leader="none" w:pos="38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3" w:lineRule="exact"/>
        <w:rPr>
          <w:rFonts w:ascii="Arial" w:cs="Arial" w:eastAsia="Arial" w:hAnsi="Arial"/>
          <w:sz w:val="28"/>
          <w:szCs w:val="28"/>
          <w:color w:val="auto"/>
          <w:vertAlign w:val="superscript"/>
        </w:rPr>
      </w:pPr>
    </w:p>
    <w:p>
      <w:pPr>
        <w:ind w:left="380" w:hanging="372"/>
        <w:spacing w:after="0"/>
        <w:tabs>
          <w:tab w:leader="none" w:pos="38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Q1 2021; $- million in Q4 2020).</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($4 million in Q1 2021; $7 million in Q4 2020).</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First-quarter revenue declined 6% sequentially, reflecting the expected reduction in North America following the divestitures of the OneStim</w:t>
      </w:r>
      <w:r>
        <w:rPr>
          <w:rFonts w:ascii="Arial" w:cs="Arial" w:eastAsia="Arial" w:hAnsi="Arial"/>
          <w:sz w:val="15"/>
          <w:szCs w:val="15"/>
          <w:color w:val="auto"/>
        </w:rPr>
        <w:t>®</w:t>
      </w:r>
      <w:r>
        <w:rPr>
          <w:rFonts w:ascii="Arial" w:cs="Arial" w:eastAsia="Arial" w:hAnsi="Arial"/>
          <w:sz w:val="18"/>
          <w:szCs w:val="18"/>
          <w:color w:val="auto"/>
        </w:rPr>
        <w:t xml:space="preserve"> pressure pumping business and the low-flow artificial lift business during the fourth quarter of 2020. These divestitures were consistent with Schlumberger’s strategy to focus on high-grading and rationalizing its business portfolio to expand margins, minimize earnings volatility, and focus on more capital efficient businesses. Excluding the impact of these divestitures, which generated $285 million of revenue (all of which was in North America) during the fourth quarter of 2020, global revenue was essentially flat sequentially as the impact of seasonally lower activity in the Northern Hemisphere was fully offset by growth in multiple countries.</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North America, excluding the effects of divestitures, revenue grew 10% sequentially driven by land revenue which increased 24% due to higher drilling activity, despite the Texas freeze. Offshore revenue declined 10% sequentially following the seasonal year-end product sales in the fourth quarter.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revenue in the quarter reflected the usual seasonal dip, though China and Russia experienced a particularly severe winter. However, the sequential revenue decline was less pronounced than in prior years due to strong growth in Latin America and in several key countries in the Middle East and Africa. The first-quarter revenue sequential decline was the shallowest since 2008, while international rig count experienced the strongest first-quarter sequential growth since 2011, affirming the international recovery.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First-quarter revenue was also characterized by growth in Well Construction and Reservoir Performance, excluding the effects of divestitures, and despite seasonality in the Northern Hemisphere. Well Construction revenue increased 4% sequentially due to higher drilling activity in North America and Latin America. Reservoir Performance decreased 20% due to the OneStim</w:t>
      </w:r>
      <w:r>
        <w:rPr>
          <w:rFonts w:ascii="Arial" w:cs="Arial" w:eastAsia="Arial" w:hAnsi="Arial"/>
          <w:sz w:val="15"/>
          <w:szCs w:val="15"/>
          <w:color w:val="auto"/>
        </w:rPr>
        <w:t>®</w:t>
      </w:r>
      <w:r>
        <w:rPr>
          <w:rFonts w:ascii="Arial" w:cs="Arial" w:eastAsia="Arial" w:hAnsi="Arial"/>
          <w:sz w:val="18"/>
          <w:szCs w:val="18"/>
          <w:color w:val="auto"/>
        </w:rPr>
        <w:t xml:space="preserve"> divesture in North America—but excluding this, the Division grew by 3% driven by robust international land and offshore activity. Digital &amp; Integration revenue decreased 7% sequentially due to seasonally lower sales of software and multiclient seismic data licenses. Production Systems revenue declined 4%, mostly due to lower product sales following the strong year-end sales of the previous quarter.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Sequentially, despite the revenue decline, first-quarter pretax segment operating income increased 1%. Pretax segment operating income margin expanded by 88 basis points (“bps’) sequentially to 13%, representing a 230 bps improvement compared to the first quarter of 2020 despite a 30% revenue decline year-on-year. This performance represents a promising start to the Company’s margin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expansion ambition this year and highlights the impact of the capital stewardship program and cost reduction measures, which provides Schlumberger with significant operating leverage.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Looking ahead, Schlumberger continues to be encouraged by constructive macroeconomic drivers. While the world is still grappling with COVID-19 infection rates, vaccination programs and fiscal stimulus packages are expected to support a rebound of economic activity and oil demand recovery through the year. Industry analysis estimates 5-6 million barrels-per-day (“bb/d”) of oil demand will be added by the end of 2021 as demand recovery is projected to improve in the second quarter, exiting the year just 2 million bbl/d short of 2019 levels.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gradual return of oil demand, Schlumberger anticipates North America activity will level off at production maintenance levels, while international activity is poised to ramp up through the end of 2021 and beyond. Schlumberger expects to significantly benefit from this anticipated shift to increased international activity due to the strength and breadth of its international franchise. Consequently, Schlumberger is increasingly confident that its international revenue will see double-digit growth in the second half of 2021 as compared to the same period last year, which implies potential upside to the already robust growth that is anticipated in 2022 and beyond.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Digital &amp; Integration revenue of $773 million decreased 7% sequentially due to seasonally lower sales of digital solutions, software, and multiclient seismic data licenses.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Digital &amp; Integration pretax operating margin of 32% was essentially flat sequentially. Despite the revenue decline, operating margin was maintained as the effects of digital solutions and multiclient revenue declines were largely offset by improved profitability from Asset Performance Solutions (“APS”) projects.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Reservoir Performance revenue of $1.0 billion declined 20% sequentially. The revenue decline reflected the OneStim divestiture, which generated $274 million of revenue during the fourth quarter of 2020. Excluding the impact of the OneStim divestiture, revenue grew 3% sequentially despite the impact of seasonally lower activity in Russia and China, due to higher activity in Latin America, North America, Sub-Sahara Africa, and the Middle East.</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Reservoir Performance pretax operating margin of 10% expanded 261 bps sequentially as profitability was improved due to the divestiture of the OneStim business, which was previously dilutive to margins.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 revenue of $1.9 billion increased 4% sequentially primarily due to robust activity in North America land.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Sequentially, Well Construction pretax operating margin of 11% improved by 103 bps, mainly driven by higher drilling activity in North America.</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Systems revenue of $1.6 billion decreased 4% sequentially. The revenue decrease was across North America offshore, Europe/CIS/Africa, and Asia.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the revenue decline, pretax operating margin only decreased 71 bps to 9%, as a result of cost control measures as well as improved profitability in midstream production systems due to higher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First Quarter 2021 Compared to First Quarter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First Quarter 2021</w:t>
            </w:r>
          </w:p>
        </w:tc>
        <w:tc>
          <w:tcPr>
            <w:tcW w:w="180" w:type="dxa"/>
            <w:vAlign w:val="bottom"/>
          </w:tcPr>
          <w:p>
            <w:pPr>
              <w:spacing w:after="0"/>
              <w:rPr>
                <w:sz w:val="24"/>
                <w:szCs w:val="24"/>
                <w:color w:val="auto"/>
              </w:rPr>
            </w:pPr>
          </w:p>
        </w:tc>
        <w:tc>
          <w:tcPr>
            <w:tcW w:w="2500" w:type="dxa"/>
            <w:vAlign w:val="bottom"/>
            <w:gridSpan w:val="5"/>
          </w:tcPr>
          <w:p>
            <w:pPr>
              <w:jc w:val="right"/>
              <w:ind w:right="740"/>
              <w:spacing w:after="0"/>
              <w:rPr>
                <w:sz w:val="20"/>
                <w:szCs w:val="20"/>
                <w:color w:val="auto"/>
              </w:rPr>
            </w:pPr>
            <w:r>
              <w:rPr>
                <w:rFonts w:ascii="Arial" w:cs="Arial" w:eastAsia="Arial" w:hAnsi="Arial"/>
                <w:sz w:val="18"/>
                <w:szCs w:val="18"/>
                <w:color w:val="auto"/>
              </w:rPr>
              <w:t>First Quarter 2020</w:t>
            </w: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29"/>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Taxes</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1,935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(32)</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(150)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(8,523)</w:t>
            </w:r>
          </w:p>
        </w:tc>
      </w:tr>
      <w:tr>
        <w:trPr>
          <w:trHeight w:val="223"/>
        </w:trPr>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ind w:left="380" w:right="20" w:hanging="372"/>
        <w:spacing w:after="0" w:line="193" w:lineRule="auto"/>
        <w:tabs>
          <w:tab w:leader="none" w:pos="38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2021; $- million in 2020).</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($4 million in 2021; $7 million in 2020).</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First-quarter 2021 revenue of $5.2 billion decreased 30% year-on-year reflecting the significant fall in activity following the historic demand destruction driven by the COVID-19 pandemic that commenced in early 2020. More than a year after the unprecedented global health and economic crisis sparked by the pandemic began, customers have gradually increased their spending. Revenue also declined year-on-year, particularly in North America, following the previously mentioned divestitures during the fourth quarter of 2020. Excluding the impact of these divestitures, which generated $659 million of revenue (all of which was in North America) during the first quarter of 2020, first-quarter 2021 global revenue declined 23% year-on-year.</w:t>
      </w:r>
    </w:p>
    <w:p>
      <w:pPr>
        <w:spacing w:after="0" w:line="16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North America revenue declined 55% year-on-year; however, excluding the impact of the previously described divestitures, first-quarter revenue only declined 36%. International revenue declined 19% year-on-year driven by significant activity decreases in Europe/CIS/Africa and the Middle East &amp; Asia.</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First-quarter 2021 pretax segment operating margin of 13% was 230 bps higher compared to the same period last year, despite the 30% decline in revenue, due to the divestitures of certain businesses in North America, which were previously dilutive to margins, combined with reduced depreciation and amortization expense following the asset impairment charges recorded during 2020 and the effects of cost reduction measures.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First-quarter 2021 revenue of $773 million decreased 13% year-on-year following the significant cut in discretionary and exploration activity triggered by the pandemic.</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Year-on-year, pretax operating margin increased from 17% to 32%. Despite the revenue decline, pretax operating margins increased primarily due to improved profitability from APS projects as a result of reduced amortization following the impairment charges that were recorded in 2020 relating to certain APS investments in North America and Latin America.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First-quarter 2021 revenue of $1.0 billion decreased 49% year-on-year largely due to the effects of the pandemic. The revenue decline also reflected the effects of the OneStim divestiture, which generated $601 million of revenue during the first quarter of 2020. Excluding the impact of the OneStim divestiture, revenue declined 27% year-on-year.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Year-on-year, pretax operating margin increased by 341 bps to 10% largely due to the divestiture of the OneStim business, which was previously dilutive to margins.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First-quarter 2021 revenue of $1.9 billion decreased 31% year-on-year due to the significant drop in rig count in North America and internationally due to the effects of the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95 bps to 11% primarily due to the significant decrease in revenue.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First-quarter 2021 revenue of $1.6 billion decreased 17% year-on-year primarily driven by the North America short-cycle business due to the significant decline in completions activity due to the effects of the pandemic.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decreased 127 bps to 9% due to reduced profitability in surface, midstream, and subsea production systems.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5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First Quarter</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500" w:type="dxa"/>
            <w:vAlign w:val="bottom"/>
            <w:tcBorders>
              <w:bottom w:val="single" w:sz="8" w:color="CFF0FC"/>
            </w:tcBorders>
          </w:tcPr>
          <w:p>
            <w:pPr>
              <w:spacing w:after="0"/>
              <w:rPr>
                <w:sz w:val="19"/>
                <w:szCs w:val="19"/>
                <w:color w:val="auto"/>
              </w:rPr>
            </w:pPr>
          </w:p>
        </w:tc>
        <w:tc>
          <w:tcPr>
            <w:tcW w:w="21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2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1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r>
      <w:tr>
        <w:trPr>
          <w:trHeight w:val="223"/>
        </w:trPr>
        <w:tc>
          <w:tcPr>
            <w:tcW w:w="550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first quarter ended March 31, 2021 and 2020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80"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First Quarter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FF0FC"/>
            </w:tcBorders>
          </w:tcPr>
          <w:p>
            <w:pPr>
              <w:spacing w:after="0"/>
              <w:rPr>
                <w:sz w:val="19"/>
                <w:szCs w:val="19"/>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1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2.6%</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bl>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effective tax rate for the first quarter of 2021 was 19%, as compared to 9% for the same period of 2020. The higher effective tax rate was almost entirely due to the charges recorded during the first quarter of 2020 (see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included a significant amount related to non-deductible goodwill.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During the first quarter of 2020 Schlumberger recorded the following which are fully described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2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Pretax</w:t>
            </w:r>
          </w:p>
        </w:tc>
        <w:tc>
          <w:tcPr>
            <w:tcW w:w="240" w:type="dxa"/>
            <w:vAlign w:val="bottom"/>
          </w:tcPr>
          <w:p>
            <w:pPr>
              <w:spacing w:after="0"/>
              <w:rPr>
                <w:sz w:val="24"/>
                <w:szCs w:val="2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Tax</w:t>
            </w:r>
          </w:p>
        </w:tc>
        <w:tc>
          <w:tcPr>
            <w:tcW w:w="16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Goodwill</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APS investments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Arial" w:cs="Arial" w:eastAsia="Arial" w:hAnsi="Arial"/>
                <w:sz w:val="18"/>
                <w:szCs w:val="18"/>
                <w:color w:val="auto"/>
              </w:rPr>
              <w:t>North American pressure pumping</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Severance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6"/>
              </w:rPr>
              <w:t>Liquidity and Capital Resources</w:t>
            </w:r>
          </w:p>
        </w:tc>
        <w:tc>
          <w:tcPr>
            <w:tcW w:w="31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2400" w:type="dxa"/>
            <w:vAlign w:val="bottom"/>
            <w:tcBorders>
              <w:bottom w:val="single" w:sz="8" w:color="auto"/>
            </w:tcBorders>
            <w:vMerge w:val="continue"/>
          </w:tcPr>
          <w:p>
            <w:pPr>
              <w:spacing w:after="0"/>
              <w:rPr>
                <w:sz w:val="24"/>
                <w:szCs w:val="24"/>
                <w:color w:val="auto"/>
              </w:rPr>
            </w:pPr>
          </w:p>
        </w:tc>
        <w:tc>
          <w:tcPr>
            <w:tcW w:w="31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520" w:type="dxa"/>
            <w:vAlign w:val="bottom"/>
            <w:gridSpan w:val="2"/>
          </w:tcPr>
          <w:p>
            <w:pPr>
              <w:spacing w:after="0"/>
              <w:rPr>
                <w:sz w:val="20"/>
                <w:szCs w:val="20"/>
                <w:color w:val="auto"/>
              </w:rPr>
            </w:pPr>
            <w:r>
              <w:rPr>
                <w:rFonts w:ascii="Arial" w:cs="Arial" w:eastAsia="Arial" w:hAnsi="Arial"/>
                <w:sz w:val="18"/>
                <w:szCs w:val="18"/>
                <w:color w:val="auto"/>
                <w:w w:val="93"/>
              </w:rPr>
              <w:t>Details of the components of liquidity as well as changes in liquidity follow:</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Mar. 31,</w:t>
            </w:r>
          </w:p>
        </w:tc>
        <w:tc>
          <w:tcPr>
            <w:tcW w:w="240" w:type="dxa"/>
            <w:vAlign w:val="bottom"/>
          </w:tcPr>
          <w:p>
            <w:pPr>
              <w:spacing w:after="0"/>
              <w:rPr>
                <w:sz w:val="24"/>
                <w:szCs w:val="2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Mar. 31,</w:t>
            </w:r>
          </w:p>
        </w:tc>
        <w:tc>
          <w:tcPr>
            <w:tcW w:w="16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Dec. 31,</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Components of Liquidity:</w:t>
            </w:r>
          </w:p>
        </w:tc>
        <w:tc>
          <w:tcPr>
            <w:tcW w:w="10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(749)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(1,233)</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(15,834)</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(15,409)</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(13,673)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vMerge w:val="restart"/>
          </w:tcPr>
          <w:p>
            <w:pPr>
              <w:jc w:val="right"/>
              <w:ind w:right="790"/>
              <w:spacing w:after="0"/>
              <w:rPr>
                <w:sz w:val="20"/>
                <w:szCs w:val="20"/>
                <w:color w:val="auto"/>
              </w:rPr>
            </w:pPr>
            <w:r>
              <w:rPr>
                <w:rFonts w:ascii="Arial" w:cs="Arial" w:eastAsia="Arial" w:hAnsi="Arial"/>
                <w:sz w:val="18"/>
                <w:szCs w:val="18"/>
                <w:color w:val="auto"/>
                <w:w w:val="89"/>
              </w:rPr>
              <w:t>20</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 Mar. 31,</w:t>
            </w:r>
          </w:p>
        </w:tc>
      </w:tr>
      <w:tr>
        <w:trPr>
          <w:trHeight w:val="223"/>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Changes in Liquidity:</w:t>
            </w:r>
          </w:p>
        </w:tc>
        <w:tc>
          <w:tcPr>
            <w:tcW w:w="8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8,523</w:t>
            </w:r>
          </w:p>
        </w:tc>
        <w:tc>
          <w:tcPr>
            <w:tcW w:w="100" w:type="dxa"/>
            <w:vAlign w:val="bottom"/>
          </w:tcPr>
          <w:p>
            <w:pPr>
              <w:spacing w:after="0"/>
              <w:rPr>
                <w:sz w:val="19"/>
                <w:szCs w:val="19"/>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(29)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(781)</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(455)</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(482)</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operations</w:t>
            </w:r>
          </w:p>
        </w:tc>
        <w:tc>
          <w:tcPr>
            <w:tcW w:w="8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APS investments</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(85)</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Multiclient seismic data costs capitalized</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8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Dividends paid</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employee stock plans</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Net proceeds from asset divestitures</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(61)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Change in net debt before impact of changes in foreign exchange rates on net debt</w:t>
            </w:r>
          </w:p>
        </w:tc>
        <w:tc>
          <w:tcPr>
            <w:tcW w:w="8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8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Decrease (increase) in net debt</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(13,880)</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(13,127)</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Net debt, end of period</w:t>
            </w:r>
          </w:p>
        </w:tc>
        <w:tc>
          <w:tcPr>
            <w:tcW w:w="8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(13,298)</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left="380" w:hanging="372"/>
        <w:spacing w:after="0" w:line="213" w:lineRule="auto"/>
        <w:tabs>
          <w:tab w:leader="none" w:pos="380" w:val="left"/>
        </w:tabs>
        <w:numPr>
          <w:ilvl w:val="0"/>
          <w:numId w:val="21"/>
        </w:numPr>
        <w:rPr>
          <w:rFonts w:ascii="Arial" w:cs="Arial" w:eastAsia="Arial" w:hAnsi="Arial"/>
          <w:sz w:val="28"/>
          <w:szCs w:val="28"/>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Includes severance payments of approximately $112 million and $56 million during the three months ended March 31, 2021 and 2020, respectively.</w:t>
      </w:r>
    </w:p>
    <w:p>
      <w:pPr>
        <w:spacing w:after="0" w:line="118" w:lineRule="exact"/>
        <w:rPr>
          <w:rFonts w:ascii="Arial" w:cs="Arial" w:eastAsia="Arial" w:hAnsi="Arial"/>
          <w:sz w:val="22"/>
          <w:szCs w:val="22"/>
          <w:color w:val="auto"/>
          <w:vertAlign w:val="superscript"/>
        </w:rPr>
      </w:pPr>
    </w:p>
    <w:p>
      <w:pPr>
        <w:jc w:val="both"/>
        <w:ind w:left="380" w:hanging="372"/>
        <w:spacing w:after="0" w:line="247" w:lineRule="auto"/>
        <w:tabs>
          <w:tab w:leader="none" w:pos="38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view of the uncertainty of the depth and extent of the contraction in oil demand due to the COVID-19 pandemic combined with the weaker commodity price environment at the time, in April 2020 Schlumberger announced a 75% reduction to its quarterly cash dividend. The revised dividend supports Schlumberger’s value proposition through a balanced approach of shareholder distributions and organic investment, while providing flexibility to address the uncertain environment. This decision reflected the Company’s focus on its capital stewardship program as well as its commitment to maintain both a strong liquidity position and a strong investment grade credit rating that provides privileged access to the financial markets.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three months of 2021 and 2020 included:</w:t>
      </w:r>
    </w:p>
    <w:p>
      <w:pPr>
        <w:spacing w:after="0" w:line="185" w:lineRule="exact"/>
        <w:rPr>
          <w:sz w:val="20"/>
          <w:szCs w:val="20"/>
          <w:color w:val="auto"/>
        </w:rPr>
      </w:pPr>
    </w:p>
    <w:p>
      <w:pPr>
        <w:jc w:val="both"/>
        <w:ind w:left="380" w:hanging="372"/>
        <w:spacing w:after="0" w:line="286"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January 21, 2016, the Board approved a $10 billion share repurchase program for Schlumberger common stock. Schlumberger had repurchased $1.0 billion of Schlumberger common stock under this program as of March 31, 2021. Schlumberger did not repurchase any of its common stock during the first quarter of 2021. Schlumberger repurchased $26 million of its common stock during the first quarter of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left="380"/>
        <w:spacing w:after="0" w:line="263" w:lineRule="auto"/>
        <w:rPr>
          <w:sz w:val="20"/>
          <w:szCs w:val="20"/>
          <w:color w:val="auto"/>
        </w:rPr>
      </w:pPr>
      <w:r>
        <w:rPr>
          <w:rFonts w:ascii="Arial" w:cs="Arial" w:eastAsia="Arial" w:hAnsi="Arial"/>
          <w:sz w:val="18"/>
          <w:szCs w:val="18"/>
          <w:color w:val="auto"/>
        </w:rPr>
        <w:t>•Capital investments (consisting of capital expenditures, APS investments and multiclient seismic data capitalized) were $0.3 billion during the first quarter of 2021 compared to $0.6 billion during the first three months of 2020. Capital investments during the full year of 2021 are expected to be between $1.5 billion and $1.7 billion as compared to $1.5 billion for the full year 2020.</w:t>
      </w:r>
    </w:p>
    <w:p>
      <w:pPr>
        <w:spacing w:after="0" w:line="184"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quarter of 2020, Schlumberger issued €400 million of 0.25% Notes due 2027 and €400 million of 0.50% Notes due 2031.</w:t>
      </w:r>
    </w:p>
    <w:p>
      <w:pPr>
        <w:spacing w:after="0" w:line="225" w:lineRule="exact"/>
        <w:rPr>
          <w:rFonts w:ascii="Arial" w:cs="Arial" w:eastAsia="Arial" w:hAnsi="Arial"/>
          <w:sz w:val="18"/>
          <w:szCs w:val="18"/>
          <w:color w:val="auto"/>
        </w:rPr>
      </w:pPr>
    </w:p>
    <w:p>
      <w:pPr>
        <w:ind w:left="380" w:right="20" w:hanging="372"/>
        <w:spacing w:after="0" w:line="308"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the first quarter of 2020, Schlumberger completed the sale of its 49% interest in the Bandurria Sur Block in Argentina. The net cash proceeds from this transaction, combined with the proceeds received from the divestiture of a smaller APS project, amounted to $298 million.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Schlumberger had $2.91 billion of cash and short-term investments on hand. Schlumberger had committed debt facility agreements aggregating $8.06 billion, of which $7.64 billion was available and unused. Schlumberger believes these amounts are sufficient to meet future business requirements for at least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March 31, 2021 were $0.4 billion.</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 As a large multinational company with a long history of operating in a cyclical industry, Schlumberger has extensive experience in working with its customers during difficult times to manage its accounts receivable.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generates revenue in more than 120 countries. As of March 31, 2021, only five of those countries individually accounted for greater than 5% of Schlumberger’s net receivable balance, of which only one (Mexico) accounted for greater than 10% of such receivables.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Schlumberger has recently experienced delays in payment from its primary customer in Mexico. Included in </w:t>
      </w:r>
      <w:r>
        <w:rPr>
          <w:rFonts w:ascii="Arial" w:cs="Arial" w:eastAsia="Arial" w:hAnsi="Arial"/>
          <w:sz w:val="18"/>
          <w:szCs w:val="18"/>
          <w:i w:val="1"/>
          <w:iCs w:val="1"/>
          <w:color w:val="auto"/>
        </w:rPr>
        <w:t>Receivables, less allowance for doubtful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 </w:t>
      </w:r>
      <w:r>
        <w:rPr>
          <w:rFonts w:ascii="Arial" w:cs="Arial" w:eastAsia="Arial" w:hAnsi="Arial"/>
          <w:sz w:val="18"/>
          <w:szCs w:val="18"/>
          <w:color w:val="auto"/>
        </w:rPr>
        <w:t>as of March 31, 2021 is approximately $0.7 billion of receivables relating to Mexico. Schlumberger’s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from its primary customer in Mexico are not in dispute and Schlumberger has not historically had any material write-offs due to uncollectible accounts receivable relating to this customer.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first-quarter 2021 Form 10-Q, as well as other statements we make, contains “forward-looking statements” within the meaning of the federal securities laws, which include any statements that are not historical facts, such as our forecasts or expectations regarding business outlook; growth for Schlumberger as a whole and for each of its Divisions (and for specified business lines or geographic areas within each Division); oil and natural gas demand and production growth; oil and natural gas prices; pricing; Schlumberger’s response to, and preparedness for, the COVID-19 pandemic and other widespread health emergencies; improvements in operating procedures and technology; capital expenditures by Schlumberger and the oil and gas industry; the business strategies of Schlumberger, including digital and “fit for basin,” as well as the strategies of Schlumberger’s customers; Schlumberger’s restructuring efforts and charges recorded as a result of such efforts; access to raw materials; Schlumberger’s effective tax rate; Schlumberger’s APS projects, joint ventures, and other alliances;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achieve its financial and performance targets and other forecasts and expectations; Schlumberger’s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intended benefits from its business strategies and initiatives, such as digital or Schlumberger New Energy, as well as its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Form 10-Q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7"/>
          <w:szCs w:val="17"/>
          <w:color w:val="auto"/>
        </w:rPr>
        <w:t>our most recent Form 10-K and Forms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first-quarter 2021 Form 10-Q are made as of April 28, 2021, and Schlumberger disclaims any intention or obligation to update publicly or revise such statements, whether as a result of new information, future events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2020. Schlumberger’s exposure to market risk has not changed materially since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with respect to this Item 1 is set forth under Note 10—</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in the accompanying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disclosed in Part 1, Item 1A, of Schlumberger’s Annual Report on Form 10-K for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2021, Schlumberger had repurchased $1.0 billion of Schlumberger common stock under its $10 billion share repurchase program.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did not repurchase any of its common stock during the first quarter of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residual transactions or dealings with the government of Iran during the first quarter of 2021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2" w:lineRule="exact"/>
        <w:rPr>
          <w:sz w:val="20"/>
          <w:szCs w:val="20"/>
          <w:color w:val="auto"/>
        </w:rPr>
      </w:pPr>
    </w:p>
    <w:p>
      <w:pPr>
        <w:ind w:left="440"/>
        <w:spacing w:after="0" w:line="277" w:lineRule="auto"/>
        <w:rPr>
          <w:rFonts w:ascii="Arial" w:cs="Arial" w:eastAsia="Arial" w:hAnsi="Arial"/>
          <w:sz w:val="18"/>
          <w:szCs w:val="18"/>
          <w:u w:val="single" w:color="auto"/>
          <w:color w:val="0000FF"/>
        </w:rPr>
      </w:pPr>
      <w:hyperlink r:id="rId47">
        <w:r>
          <w:rPr>
            <w:rFonts w:ascii="Arial" w:cs="Arial" w:eastAsia="Arial" w:hAnsi="Arial"/>
            <w:sz w:val="18"/>
            <w:szCs w:val="18"/>
            <w:color w:val="auto"/>
          </w:rPr>
          <w:t>Exhibit 3.1—</w:t>
        </w:r>
        <w:r>
          <w:rPr>
            <w:rFonts w:ascii="Arial" w:cs="Arial" w:eastAsia="Arial" w:hAnsi="Arial"/>
            <w:sz w:val="18"/>
            <w:szCs w:val="18"/>
            <w:u w:val="single" w:color="auto"/>
            <w:color w:val="0000FF"/>
          </w:rPr>
          <w:t>Articles of Incorporation of Schlumberger Limited (Schlumberger N.V.) (incorporated by reference to Exhibit 3.1 to Schlumberger’s</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Current Report 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-182245</wp:posOffset>
            </wp:positionV>
            <wp:extent cx="62185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185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-45085</wp:posOffset>
            </wp:positionV>
            <wp:extent cx="23736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373630" cy="8890"/>
                    </a:xfrm>
                    <a:prstGeom prst="rect">
                      <a:avLst/>
                    </a:prstGeom>
                    <a:noFill/>
                  </pic:spPr>
                </pic:pic>
              </a:graphicData>
            </a:graphic>
          </wp:anchor>
        </w:drawing>
      </w:r>
    </w:p>
    <w:p>
      <w:pPr>
        <w:spacing w:after="0" w:line="15" w:lineRule="exact"/>
        <w:rPr>
          <w:sz w:val="20"/>
          <w:szCs w:val="20"/>
          <w:color w:val="auto"/>
        </w:rPr>
      </w:pPr>
    </w:p>
    <w:p>
      <w:pPr>
        <w:ind w:left="440"/>
        <w:spacing w:after="0" w:line="277" w:lineRule="auto"/>
        <w:rPr>
          <w:rFonts w:ascii="Arial" w:cs="Arial" w:eastAsia="Arial" w:hAnsi="Arial"/>
          <w:sz w:val="18"/>
          <w:szCs w:val="18"/>
          <w:u w:val="single" w:color="auto"/>
          <w:color w:val="0000FF"/>
        </w:rPr>
      </w:pPr>
      <w:hyperlink r:id="rId50">
        <w:r>
          <w:rPr>
            <w:rFonts w:ascii="Arial" w:cs="Arial" w:eastAsia="Arial" w:hAnsi="Arial"/>
            <w:sz w:val="18"/>
            <w:szCs w:val="18"/>
            <w:color w:val="auto"/>
          </w:rPr>
          <w:t>Exhibit 3.2—</w:t>
        </w:r>
        <w:r>
          <w:rPr>
            <w:rFonts w:ascii="Arial" w:cs="Arial" w:eastAsia="Arial" w:hAnsi="Arial"/>
            <w:sz w:val="18"/>
            <w:szCs w:val="18"/>
            <w:u w:val="single" w:color="auto"/>
            <w:color w:val="0000FF"/>
          </w:rPr>
          <w:t>Amended and Restated By-laws of Schlumberger Limited (Schlumberger N.V.) (incorporated by reference to Exhibit 3 to</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FF"/>
          </w:rPr>
          <w:t>Schlumberger’s Current Report on Form 8-K filed on July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-182245</wp:posOffset>
            </wp:positionV>
            <wp:extent cx="6189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-45085</wp:posOffset>
            </wp:positionV>
            <wp:extent cx="3128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128010" cy="8255"/>
                    </a:xfrm>
                    <a:prstGeom prst="rect">
                      <a:avLst/>
                    </a:prstGeom>
                    <a:noFill/>
                  </pic:spPr>
                </pic:pic>
              </a:graphicData>
            </a:graphic>
          </wp:anchor>
        </w:drawing>
      </w:r>
    </w:p>
    <w:p>
      <w:pPr>
        <w:spacing w:after="0" w:line="15" w:lineRule="exact"/>
        <w:rPr>
          <w:sz w:val="20"/>
          <w:szCs w:val="20"/>
          <w:color w:val="auto"/>
        </w:rPr>
      </w:pPr>
    </w:p>
    <w:p>
      <w:pPr>
        <w:ind w:left="440" w:firstLine="9"/>
        <w:spacing w:after="0" w:line="277" w:lineRule="auto"/>
        <w:tabs>
          <w:tab w:leader="none" w:pos="616" w:val="left"/>
        </w:tabs>
        <w:numPr>
          <w:ilvl w:val="0"/>
          <w:numId w:val="24"/>
        </w:numPr>
        <w:rPr>
          <w:rFonts w:ascii="Arial" w:cs="Arial" w:eastAsia="Arial" w:hAnsi="Arial"/>
          <w:sz w:val="18"/>
          <w:szCs w:val="18"/>
          <w:u w:val="single" w:color="auto"/>
          <w:color w:val="0000EE"/>
        </w:rPr>
      </w:pPr>
      <w:hyperlink w:anchor="page27">
        <w:r>
          <w:rPr>
            <w:rFonts w:ascii="Arial" w:cs="Arial" w:eastAsia="Arial" w:hAnsi="Arial"/>
            <w:sz w:val="18"/>
            <w:szCs w:val="18"/>
            <w:color w:val="auto"/>
          </w:rPr>
          <w:t>Exhibit 10.1—</w:t>
        </w:r>
        <w:r>
          <w:rPr>
            <w:rFonts w:ascii="Arial" w:cs="Arial" w:eastAsia="Arial" w:hAnsi="Arial"/>
            <w:sz w:val="18"/>
            <w:szCs w:val="18"/>
            <w:u w:val="single" w:color="auto"/>
            <w:color w:val="0000EE"/>
          </w:rPr>
          <w:t>Form of 2021 Performance Share Unit Award Agreement (Based on Return on Capital Employed Performance) under the</w:t>
        </w:r>
      </w:hyperlink>
      <w:r>
        <w:rPr>
          <w:rFonts w:ascii="Arial" w:cs="Arial" w:eastAsia="Arial" w:hAnsi="Arial"/>
          <w:sz w:val="18"/>
          <w:szCs w:val="18"/>
          <w:color w:val="auto"/>
        </w:rPr>
        <w:t xml:space="preserve"> </w:t>
      </w:r>
      <w:hyperlink w:anchor="page27">
        <w:r>
          <w:rPr>
            <w:rFonts w:ascii="Arial" w:cs="Arial" w:eastAsia="Arial" w:hAnsi="Arial"/>
            <w:sz w:val="18"/>
            <w:szCs w:val="18"/>
            <w:u w:val="single" w:color="auto"/>
            <w:color w:val="0000EE"/>
          </w:rPr>
          <w:t>Schlumberger 2017 Omnibus Stock Incentive Plan (+)</w:t>
        </w:r>
      </w:hyperlink>
    </w:p>
    <w:p>
      <w:pPr>
        <w:spacing w:after="0" w:line="35" w:lineRule="exact"/>
        <w:rPr>
          <w:rFonts w:ascii="Arial" w:cs="Arial" w:eastAsia="Arial" w:hAnsi="Arial"/>
          <w:sz w:val="18"/>
          <w:szCs w:val="18"/>
          <w:u w:val="single" w:color="auto"/>
          <w:color w:val="0000EE"/>
        </w:rPr>
      </w:pPr>
    </w:p>
    <w:p>
      <w:pPr>
        <w:ind w:left="440" w:firstLine="9"/>
        <w:spacing w:after="0" w:line="277" w:lineRule="auto"/>
        <w:tabs>
          <w:tab w:leader="none" w:pos="582" w:val="left"/>
        </w:tabs>
        <w:numPr>
          <w:ilvl w:val="0"/>
          <w:numId w:val="24"/>
        </w:numPr>
        <w:rPr>
          <w:rFonts w:ascii="Arial" w:cs="Arial" w:eastAsia="Arial" w:hAnsi="Arial"/>
          <w:sz w:val="18"/>
          <w:szCs w:val="18"/>
          <w:u w:val="single" w:color="auto"/>
          <w:color w:val="0000EE"/>
        </w:rPr>
      </w:pPr>
      <w:hyperlink w:anchor="page46">
        <w:r>
          <w:rPr>
            <w:rFonts w:ascii="Arial" w:cs="Arial" w:eastAsia="Arial" w:hAnsi="Arial"/>
            <w:sz w:val="18"/>
            <w:szCs w:val="18"/>
            <w:color w:val="auto"/>
          </w:rPr>
          <w:t>Exhibit 10.2—</w:t>
        </w:r>
        <w:r>
          <w:rPr>
            <w:rFonts w:ascii="Arial" w:cs="Arial" w:eastAsia="Arial" w:hAnsi="Arial"/>
            <w:sz w:val="18"/>
            <w:szCs w:val="18"/>
            <w:u w:val="single" w:color="auto"/>
            <w:color w:val="0000EE"/>
          </w:rPr>
          <w:t>Form of 2021 Performance Share Unit Award Agreement (Based on Free Cash Flow Margin Performance) under the Schlumberger</w:t>
        </w:r>
      </w:hyperlink>
      <w:r>
        <w:rPr>
          <w:rFonts w:ascii="Arial" w:cs="Arial" w:eastAsia="Arial" w:hAnsi="Arial"/>
          <w:sz w:val="18"/>
          <w:szCs w:val="18"/>
          <w:color w:val="auto"/>
        </w:rPr>
        <w:t xml:space="preserve"> </w:t>
      </w:r>
      <w:hyperlink w:anchor="page46">
        <w:r>
          <w:rPr>
            <w:rFonts w:ascii="Arial" w:cs="Arial" w:eastAsia="Arial" w:hAnsi="Arial"/>
            <w:sz w:val="18"/>
            <w:szCs w:val="18"/>
            <w:u w:val="single" w:color="auto"/>
            <w:color w:val="0000EE"/>
          </w:rPr>
          <w:t>2017 Omnibus Stock Incentive Plan (+)</w:t>
        </w:r>
      </w:hyperlink>
    </w:p>
    <w:p>
      <w:pPr>
        <w:spacing w:after="0" w:line="35" w:lineRule="exact"/>
        <w:rPr>
          <w:rFonts w:ascii="Arial" w:cs="Arial" w:eastAsia="Arial" w:hAnsi="Arial"/>
          <w:sz w:val="18"/>
          <w:szCs w:val="18"/>
          <w:u w:val="single" w:color="auto"/>
          <w:color w:val="0000EE"/>
        </w:rPr>
      </w:pPr>
    </w:p>
    <w:p>
      <w:pPr>
        <w:ind w:left="440" w:firstLine="9"/>
        <w:spacing w:after="0" w:line="277" w:lineRule="auto"/>
        <w:tabs>
          <w:tab w:leader="none" w:pos="595" w:val="left"/>
        </w:tabs>
        <w:numPr>
          <w:ilvl w:val="0"/>
          <w:numId w:val="24"/>
        </w:numPr>
        <w:rPr>
          <w:rFonts w:ascii="Arial" w:cs="Arial" w:eastAsia="Arial" w:hAnsi="Arial"/>
          <w:sz w:val="18"/>
          <w:szCs w:val="18"/>
          <w:u w:val="single" w:color="auto"/>
          <w:color w:val="0000EE"/>
        </w:rPr>
      </w:pPr>
      <w:hyperlink w:anchor="page63">
        <w:r>
          <w:rPr>
            <w:rFonts w:ascii="Arial" w:cs="Arial" w:eastAsia="Arial" w:hAnsi="Arial"/>
            <w:sz w:val="18"/>
            <w:szCs w:val="18"/>
            <w:color w:val="auto"/>
          </w:rPr>
          <w:t>Exhibit 10.3—</w:t>
        </w:r>
        <w:r>
          <w:rPr>
            <w:rFonts w:ascii="Arial" w:cs="Arial" w:eastAsia="Arial" w:hAnsi="Arial"/>
            <w:sz w:val="18"/>
            <w:szCs w:val="18"/>
            <w:u w:val="single" w:color="auto"/>
            <w:color w:val="0000EE"/>
          </w:rPr>
          <w:t>Form of 2021 Performance Share Unit Award Agreement (Based on Relative TSR Performance) under the Schlumberger 2017</w:t>
        </w:r>
      </w:hyperlink>
      <w:r>
        <w:rPr>
          <w:rFonts w:ascii="Arial" w:cs="Arial" w:eastAsia="Arial" w:hAnsi="Arial"/>
          <w:sz w:val="18"/>
          <w:szCs w:val="18"/>
          <w:color w:val="auto"/>
        </w:rPr>
        <w:t xml:space="preserve"> </w:t>
      </w:r>
      <w:hyperlink w:anchor="page63">
        <w:r>
          <w:rPr>
            <w:rFonts w:ascii="Arial" w:cs="Arial" w:eastAsia="Arial" w:hAnsi="Arial"/>
            <w:sz w:val="18"/>
            <w:szCs w:val="18"/>
            <w:u w:val="single" w:color="auto"/>
            <w:color w:val="0000EE"/>
          </w:rPr>
          <w:t>Omnibus Stock Incentive Plan (+)</w:t>
        </w:r>
      </w:hyperlink>
    </w:p>
    <w:p>
      <w:pPr>
        <w:spacing w:after="0" w:line="116" w:lineRule="exact"/>
        <w:rPr>
          <w:rFonts w:ascii="Arial" w:cs="Arial" w:eastAsia="Arial" w:hAnsi="Arial"/>
          <w:sz w:val="18"/>
          <w:szCs w:val="18"/>
          <w:u w:val="single" w:color="auto"/>
          <w:color w:val="0000EE"/>
        </w:rPr>
      </w:pPr>
    </w:p>
    <w:p>
      <w:pPr>
        <w:ind w:left="580" w:hanging="131"/>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22—</w:t>
      </w:r>
      <w:hyperlink w:anchor="page83">
        <w:r>
          <w:rPr>
            <w:rFonts w:ascii="Arial" w:cs="Arial" w:eastAsia="Arial" w:hAnsi="Arial"/>
            <w:sz w:val="18"/>
            <w:szCs w:val="18"/>
            <w:u w:val="single" w:color="auto"/>
            <w:color w:val="0000EE"/>
          </w:rPr>
          <w:t>Issuers of Registered Guaranteed Debt Securities</w:t>
        </w:r>
      </w:hyperlink>
    </w:p>
    <w:p>
      <w:pPr>
        <w:spacing w:after="0" w:line="90" w:lineRule="exact"/>
        <w:rPr>
          <w:rFonts w:ascii="Arial" w:cs="Arial" w:eastAsia="Arial" w:hAnsi="Arial"/>
          <w:sz w:val="18"/>
          <w:szCs w:val="18"/>
          <w:color w:val="auto"/>
        </w:rPr>
      </w:pPr>
    </w:p>
    <w:p>
      <w:pPr>
        <w:ind w:left="440" w:firstLine="9"/>
        <w:spacing w:after="0" w:line="277" w:lineRule="auto"/>
        <w:tabs>
          <w:tab w:leader="none" w:pos="575" w:val="left"/>
        </w:tabs>
        <w:numPr>
          <w:ilvl w:val="0"/>
          <w:numId w:val="24"/>
        </w:numPr>
        <w:rPr>
          <w:rFonts w:ascii="Arial" w:cs="Arial" w:eastAsia="Arial" w:hAnsi="Arial"/>
          <w:sz w:val="18"/>
          <w:szCs w:val="18"/>
          <w:u w:val="single" w:color="auto"/>
          <w:color w:val="0000EE"/>
        </w:rPr>
      </w:pPr>
      <w:hyperlink w:anchor="page84">
        <w:r>
          <w:rPr>
            <w:rFonts w:ascii="Arial" w:cs="Arial" w:eastAsia="Arial" w:hAnsi="Arial"/>
            <w:sz w:val="18"/>
            <w:szCs w:val="18"/>
            <w:color w:val="auto"/>
          </w:rPr>
          <w:t>Exhibit 31.1—</w:t>
        </w:r>
        <w:r>
          <w:rPr>
            <w:rFonts w:ascii="Arial" w:cs="Arial" w:eastAsia="Arial" w:hAnsi="Arial"/>
            <w:sz w:val="18"/>
            <w:szCs w:val="18"/>
            <w:u w:val="single" w:color="auto"/>
            <w:color w:val="0000EE"/>
          </w:rPr>
          <w:t>Certification of Chief Executive Officer pursuant to Rule 13a-14(a) of the Securities Exchange Act of 1934, as amended, as adopted</w:t>
        </w:r>
      </w:hyperlink>
      <w:r>
        <w:rPr>
          <w:rFonts w:ascii="Arial" w:cs="Arial" w:eastAsia="Arial" w:hAnsi="Arial"/>
          <w:sz w:val="18"/>
          <w:szCs w:val="18"/>
          <w:color w:val="auto"/>
        </w:rPr>
        <w:t xml:space="preserve"> </w:t>
      </w:r>
      <w:hyperlink w:anchor="page84">
        <w:r>
          <w:rPr>
            <w:rFonts w:ascii="Arial" w:cs="Arial" w:eastAsia="Arial" w:hAnsi="Arial"/>
            <w:sz w:val="18"/>
            <w:szCs w:val="18"/>
            <w:u w:val="single" w:color="auto"/>
            <w:color w:val="0000EE"/>
          </w:rPr>
          <w:t>pursuant to Section 302 of the Sarbanes-Oxley Act of 2002</w:t>
        </w:r>
      </w:hyperlink>
    </w:p>
    <w:p>
      <w:pPr>
        <w:spacing w:after="0" w:line="35" w:lineRule="exact"/>
        <w:rPr>
          <w:rFonts w:ascii="Arial" w:cs="Arial" w:eastAsia="Arial" w:hAnsi="Arial"/>
          <w:sz w:val="18"/>
          <w:szCs w:val="18"/>
          <w:u w:val="single" w:color="auto"/>
          <w:color w:val="0000EE"/>
        </w:rPr>
      </w:pPr>
    </w:p>
    <w:p>
      <w:pPr>
        <w:ind w:left="440" w:firstLine="9"/>
        <w:spacing w:after="0" w:line="277" w:lineRule="auto"/>
        <w:tabs>
          <w:tab w:leader="none" w:pos="575" w:val="left"/>
        </w:tabs>
        <w:numPr>
          <w:ilvl w:val="0"/>
          <w:numId w:val="24"/>
        </w:numPr>
        <w:rPr>
          <w:rFonts w:ascii="Arial" w:cs="Arial" w:eastAsia="Arial" w:hAnsi="Arial"/>
          <w:sz w:val="18"/>
          <w:szCs w:val="18"/>
          <w:u w:val="single" w:color="auto"/>
          <w:color w:val="0000EE"/>
        </w:rPr>
      </w:pPr>
      <w:hyperlink w:anchor="page85">
        <w:r>
          <w:rPr>
            <w:rFonts w:ascii="Arial" w:cs="Arial" w:eastAsia="Arial" w:hAnsi="Arial"/>
            <w:sz w:val="18"/>
            <w:szCs w:val="18"/>
            <w:color w:val="auto"/>
          </w:rPr>
          <w:t>Exhibit 31.2—</w:t>
        </w:r>
        <w:r>
          <w:rPr>
            <w:rFonts w:ascii="Arial" w:cs="Arial" w:eastAsia="Arial" w:hAnsi="Arial"/>
            <w:sz w:val="18"/>
            <w:szCs w:val="18"/>
            <w:u w:val="single" w:color="auto"/>
            <w:color w:val="0000EE"/>
          </w:rPr>
          <w:t>Certification of Chief Financial Officer pursuant to Rule 13a-14(a) of the Securities Exchange Act of 1934, as amended, as adopted</w:t>
        </w:r>
      </w:hyperlink>
      <w:r>
        <w:rPr>
          <w:rFonts w:ascii="Arial" w:cs="Arial" w:eastAsia="Arial" w:hAnsi="Arial"/>
          <w:sz w:val="18"/>
          <w:szCs w:val="18"/>
          <w:color w:val="auto"/>
        </w:rPr>
        <w:t xml:space="preserve"> </w:t>
      </w:r>
      <w:hyperlink w:anchor="page85">
        <w:r>
          <w:rPr>
            <w:rFonts w:ascii="Arial" w:cs="Arial" w:eastAsia="Arial" w:hAnsi="Arial"/>
            <w:sz w:val="18"/>
            <w:szCs w:val="18"/>
            <w:u w:val="single" w:color="auto"/>
            <w:color w:val="0000EE"/>
          </w:rPr>
          <w:t>pursuant to Section 302 of the Sarbanes-Oxley Act of 2002</w:t>
        </w:r>
      </w:hyperlink>
    </w:p>
    <w:p>
      <w:pPr>
        <w:spacing w:after="0" w:line="35" w:lineRule="exact"/>
        <w:rPr>
          <w:rFonts w:ascii="Arial" w:cs="Arial" w:eastAsia="Arial" w:hAnsi="Arial"/>
          <w:sz w:val="18"/>
          <w:szCs w:val="18"/>
          <w:color w:val="auto"/>
        </w:rPr>
      </w:pPr>
    </w:p>
    <w:p>
      <w:pPr>
        <w:ind w:left="440" w:firstLine="9"/>
        <w:spacing w:after="0" w:line="277" w:lineRule="auto"/>
        <w:tabs>
          <w:tab w:leader="none" w:pos="672" w:val="left"/>
        </w:tabs>
        <w:numPr>
          <w:ilvl w:val="0"/>
          <w:numId w:val="25"/>
        </w:numPr>
        <w:rPr>
          <w:rFonts w:ascii="Arial" w:cs="Arial" w:eastAsia="Arial" w:hAnsi="Arial"/>
          <w:sz w:val="18"/>
          <w:szCs w:val="18"/>
          <w:u w:val="single" w:color="auto"/>
          <w:color w:val="0000EE"/>
        </w:rPr>
      </w:pPr>
      <w:hyperlink w:anchor="page86">
        <w:r>
          <w:rPr>
            <w:rFonts w:ascii="Arial" w:cs="Arial" w:eastAsia="Arial" w:hAnsi="Arial"/>
            <w:sz w:val="18"/>
            <w:szCs w:val="18"/>
            <w:color w:val="auto"/>
          </w:rPr>
          <w:t>Exhibit 32.1—</w:t>
        </w:r>
        <w:r>
          <w:rPr>
            <w:rFonts w:ascii="Arial" w:cs="Arial" w:eastAsia="Arial" w:hAnsi="Arial"/>
            <w:sz w:val="18"/>
            <w:szCs w:val="18"/>
            <w:u w:val="single" w:color="auto"/>
            <w:color w:val="0000EE"/>
          </w:rPr>
          <w:t>Certification of Chief Executive Officer pursuant to 18 U.S.C. Section 1350, as adopted pursuant to Section 906 of the Sarbanes-</w:t>
        </w:r>
      </w:hyperlink>
      <w:hyperlink w:anchor="page86">
        <w:r>
          <w:rPr>
            <w:rFonts w:ascii="Arial" w:cs="Arial" w:eastAsia="Arial" w:hAnsi="Arial"/>
            <w:sz w:val="18"/>
            <w:szCs w:val="18"/>
            <w:u w:val="single" w:color="auto"/>
            <w:color w:val="0000EE"/>
          </w:rPr>
          <w:t>Oxley Act of 2002</w:t>
        </w:r>
      </w:hyperlink>
    </w:p>
    <w:p>
      <w:pPr>
        <w:spacing w:after="0" w:line="35" w:lineRule="exact"/>
        <w:rPr>
          <w:rFonts w:ascii="Arial" w:cs="Arial" w:eastAsia="Arial" w:hAnsi="Arial"/>
          <w:sz w:val="18"/>
          <w:szCs w:val="18"/>
          <w:u w:val="single" w:color="auto"/>
          <w:color w:val="0000EE"/>
        </w:rPr>
      </w:pPr>
    </w:p>
    <w:p>
      <w:pPr>
        <w:ind w:left="440" w:firstLine="9"/>
        <w:spacing w:after="0" w:line="277" w:lineRule="auto"/>
        <w:tabs>
          <w:tab w:leader="none" w:pos="672" w:val="left"/>
        </w:tabs>
        <w:numPr>
          <w:ilvl w:val="0"/>
          <w:numId w:val="25"/>
        </w:numPr>
        <w:rPr>
          <w:rFonts w:ascii="Arial" w:cs="Arial" w:eastAsia="Arial" w:hAnsi="Arial"/>
          <w:sz w:val="18"/>
          <w:szCs w:val="18"/>
          <w:u w:val="single" w:color="auto"/>
          <w:color w:val="0000EE"/>
        </w:rPr>
      </w:pPr>
      <w:hyperlink w:anchor="page87">
        <w:r>
          <w:rPr>
            <w:rFonts w:ascii="Arial" w:cs="Arial" w:eastAsia="Arial" w:hAnsi="Arial"/>
            <w:sz w:val="18"/>
            <w:szCs w:val="18"/>
            <w:color w:val="auto"/>
          </w:rPr>
          <w:t>Exhibit 32.2—</w:t>
        </w:r>
        <w:r>
          <w:rPr>
            <w:rFonts w:ascii="Arial" w:cs="Arial" w:eastAsia="Arial" w:hAnsi="Arial"/>
            <w:sz w:val="18"/>
            <w:szCs w:val="18"/>
            <w:u w:val="single" w:color="auto"/>
            <w:color w:val="0000EE"/>
          </w:rPr>
          <w:t>Certification of Chief Financial Officer pursuant to 18 U.S.C. Section 1350, as adopted pursuant to Section 906 of the Sarbanes-</w:t>
        </w:r>
      </w:hyperlink>
      <w:hyperlink w:anchor="page87">
        <w:r>
          <w:rPr>
            <w:rFonts w:ascii="Arial" w:cs="Arial" w:eastAsia="Arial" w:hAnsi="Arial"/>
            <w:sz w:val="18"/>
            <w:szCs w:val="18"/>
            <w:u w:val="single" w:color="auto"/>
            <w:color w:val="0000EE"/>
          </w:rPr>
          <w:t>Oxley Act of 2002</w:t>
        </w:r>
      </w:hyperlink>
    </w:p>
    <w:p>
      <w:pPr>
        <w:spacing w:after="0" w:line="35"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95—</w:t>
      </w:r>
      <w:hyperlink w:anchor="page88">
        <w:r>
          <w:rPr>
            <w:rFonts w:ascii="Arial" w:cs="Arial" w:eastAsia="Arial" w:hAnsi="Arial"/>
            <w:sz w:val="18"/>
            <w:szCs w:val="18"/>
            <w:u w:val="single" w:color="auto"/>
            <w:color w:val="0000EE"/>
          </w:rPr>
          <w:t>Mine Safety Disclosures</w:t>
        </w:r>
      </w:hyperlink>
    </w:p>
    <w:p>
      <w:pPr>
        <w:spacing w:after="0" w:line="90" w:lineRule="exact"/>
        <w:rPr>
          <w:rFonts w:ascii="Arial" w:cs="Arial" w:eastAsia="Arial" w:hAnsi="Arial"/>
          <w:sz w:val="18"/>
          <w:szCs w:val="18"/>
          <w:color w:val="auto"/>
        </w:rPr>
      </w:pPr>
    </w:p>
    <w:p>
      <w:pPr>
        <w:ind w:left="440" w:firstLine="9"/>
        <w:spacing w:after="0" w:line="277" w:lineRule="auto"/>
        <w:tabs>
          <w:tab w:leader="none" w:pos="5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101.INS—Inline XBRL Instance Document – the instance document does not appear in the Interactive Data File because XBRL tags are embedded within the Inline XBRL document</w:t>
      </w:r>
    </w:p>
    <w:p>
      <w:pPr>
        <w:spacing w:after="0" w:line="35"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101.SCH—Inline XBRL Taxonomy Extension Schema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101.CAL—Inline XBRL Taxonomy Extension Calculation Linkbase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101.DEF—Inline XBRL Taxonomy Extension Definition Linkbase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101.LAB—Inline XBRL Taxonomy Extension Label Linkbase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101.PRE—Inline XBRL Taxonomy Extension Presentation Linkbase Document</w:t>
      </w:r>
    </w:p>
    <w:p>
      <w:pPr>
        <w:spacing w:after="0" w:line="90"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Exhibit 104—Cover Page Interactive Data File (embedded within the Inline XBRL document)</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Compensatory plans or arrangements.</w:t>
      </w:r>
    </w:p>
    <w:p>
      <w:pPr>
        <w:spacing w:after="0" w:line="225" w:lineRule="exact"/>
        <w:rPr>
          <w:rFonts w:ascii="Arial" w:cs="Arial" w:eastAsia="Arial" w:hAnsi="Arial"/>
          <w:sz w:val="18"/>
          <w:szCs w:val="18"/>
          <w:color w:val="auto"/>
        </w:rPr>
      </w:pPr>
    </w:p>
    <w:p>
      <w:pPr>
        <w:jc w:val="both"/>
        <w:spacing w:after="0" w:line="259" w:lineRule="auto"/>
        <w:rPr>
          <w:sz w:val="20"/>
          <w:szCs w:val="20"/>
          <w:color w:val="auto"/>
        </w:rPr>
      </w:pPr>
      <w:r>
        <w:rPr>
          <w:rFonts w:ascii="Arial" w:cs="Arial" w:eastAsia="Arial" w:hAnsi="Arial"/>
          <w:sz w:val="18"/>
          <w:szCs w:val="18"/>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Schlumberger agrees, pursuant to Item 601(b)(4)(iii) of Regulation S-K, that it will furnish a copy of any such instrument to the SEC upon request.</w:t>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00" w:type="dxa"/>
            <w:vAlign w:val="bottom"/>
            <w:tcBorders>
              <w:top w:val="single" w:sz="8" w:color="auto"/>
              <w:left w:val="single" w:sz="8" w:color="auto"/>
              <w:right w:val="single" w:sz="8" w:color="auto"/>
            </w:tcBorders>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206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54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Schlumberger Limited</w:t>
            </w:r>
          </w:p>
        </w:tc>
      </w:tr>
      <w:tr>
        <w:trPr>
          <w:trHeight w:val="230"/>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(Registrant)</w:t>
            </w:r>
          </w:p>
        </w:tc>
      </w:tr>
      <w:tr>
        <w:trPr>
          <w:trHeight w:val="412"/>
        </w:trPr>
        <w:tc>
          <w:tcPr>
            <w:tcW w:w="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28, 2021</w:t>
            </w:r>
          </w:p>
        </w:tc>
        <w:tc>
          <w:tcPr>
            <w:tcW w:w="20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 Howard Guild</w:t>
            </w:r>
          </w:p>
        </w:tc>
      </w:tr>
      <w:tr>
        <w:trPr>
          <w:trHeight w:val="210"/>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Howard Guild</w:t>
            </w:r>
          </w:p>
        </w:tc>
      </w:tr>
      <w:tr>
        <w:trPr>
          <w:trHeight w:val="209"/>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Chief Accounting Officer and Duly Authorized Signatory</w:t>
            </w:r>
          </w:p>
        </w:tc>
      </w:tr>
      <w:tr>
        <w:trPr>
          <w:trHeight w:val="669"/>
        </w:trPr>
        <w:tc>
          <w:tcPr>
            <w:tcW w:w="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5480" w:type="dxa"/>
            <w:vAlign w:val="bottom"/>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26" w:name="page27"/>
    <w:bookmarkEnd w:id="26"/>
    <w:p>
      <w:pPr>
        <w:ind w:left="1012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111442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1144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PERFORMANCE SHARE UNIT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(BASED ON RETURN ON CAPITAL EMPLOYED PERFORMANCE)</w:t>
      </w:r>
    </w:p>
    <w:p>
      <w:pPr>
        <w:jc w:val="center"/>
        <w:spacing w:after="0" w:line="230" w:lineRule="auto"/>
        <w:rPr>
          <w:sz w:val="20"/>
          <w:szCs w:val="20"/>
          <w:color w:val="auto"/>
        </w:rPr>
      </w:pPr>
      <w:r>
        <w:rPr>
          <w:rFonts w:ascii="Arial" w:cs="Arial" w:eastAsia="Arial" w:hAnsi="Arial"/>
          <w:sz w:val="22"/>
          <w:szCs w:val="22"/>
          <w:b w:val="1"/>
          <w:bCs w:val="1"/>
          <w:color w:val="auto"/>
        </w:rPr>
        <w:t>under the</w:t>
      </w:r>
    </w:p>
    <w:p>
      <w:pPr>
        <w:jc w:val="center"/>
        <w:spacing w:after="0" w:line="231" w:lineRule="auto"/>
        <w:rPr>
          <w:sz w:val="20"/>
          <w:szCs w:val="20"/>
          <w:color w:val="auto"/>
        </w:rPr>
      </w:pPr>
      <w:r>
        <w:rPr>
          <w:rFonts w:ascii="Arial" w:cs="Arial" w:eastAsia="Arial" w:hAnsi="Arial"/>
          <w:sz w:val="22"/>
          <w:szCs w:val="22"/>
          <w:b w:val="1"/>
          <w:bCs w:val="1"/>
          <w:color w:val="auto"/>
        </w:rPr>
        <w:t>SCHLUMBERGER 2017 OMNIBUS STOCK INCENTIVE PLAN</w:t>
      </w: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Includes Confidentiality, Intellectual Property, Non-Competition, and Non-Solicitation Provisions in Section 9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Attachment II</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Period: 2021, 2022 and 2023</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This Performance Share Unit Award Agreement (as may be amended, the “Agreement”) is granted to you (“Employee”) effective as of January 20, 2021 (the “Grant Date”) by Schlumberger Limited (the “Company”), pursuant to the Schlumberger 2017 Omnibus Stock Incentive Plan, as may be amended (the “Plan”).</w:t>
      </w:r>
    </w:p>
    <w:p>
      <w:pPr>
        <w:spacing w:after="0" w:line="186" w:lineRule="exact"/>
        <w:rPr>
          <w:sz w:val="20"/>
          <w:szCs w:val="20"/>
          <w:color w:val="auto"/>
        </w:rPr>
      </w:pPr>
    </w:p>
    <w:p>
      <w:pPr>
        <w:jc w:val="both"/>
        <w:ind w:firstLine="872"/>
        <w:spacing w:after="0" w:line="275" w:lineRule="auto"/>
        <w:tabs>
          <w:tab w:leader="none" w:pos="1674"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and the Notice of Grant of Award of Performance Share Units attached hereto.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57" w:lineRule="exact"/>
        <w:rPr>
          <w:rFonts w:ascii="Arial" w:cs="Arial" w:eastAsia="Arial" w:hAnsi="Arial"/>
          <w:sz w:val="19"/>
          <w:szCs w:val="19"/>
          <w:color w:val="auto"/>
        </w:rPr>
      </w:pPr>
    </w:p>
    <w:p>
      <w:pPr>
        <w:ind w:left="1680" w:hanging="808"/>
        <w:spacing w:after="0"/>
        <w:tabs>
          <w:tab w:leader="none" w:pos="168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Vesting of Performance Share Units</w:t>
      </w:r>
      <w:r>
        <w:rPr>
          <w:rFonts w:ascii="Arial" w:cs="Arial" w:eastAsia="Arial" w:hAnsi="Arial"/>
          <w:sz w:val="19"/>
          <w:szCs w:val="19"/>
          <w:color w:val="auto"/>
        </w:rPr>
        <w:t>. The period of time from and including January 1, 2021 to December 31,</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2023 is the “Performance Period.” The Performance Share Units will vest as follows:</w:t>
      </w:r>
    </w:p>
    <w:p>
      <w:pPr>
        <w:spacing w:after="0" w:line="188" w:lineRule="exact"/>
        <w:rPr>
          <w:sz w:val="20"/>
          <w:szCs w:val="20"/>
          <w:color w:val="auto"/>
        </w:rPr>
      </w:pPr>
    </w:p>
    <w:p>
      <w:pPr>
        <w:jc w:val="both"/>
        <w:ind w:firstLine="872"/>
        <w:spacing w:after="0" w:line="272" w:lineRule="auto"/>
        <w:tabs>
          <w:tab w:leader="none" w:pos="1751" w:val="left"/>
        </w:tabs>
        <w:numPr>
          <w:ilvl w:val="0"/>
          <w:numId w:val="31"/>
        </w:numPr>
        <w:rPr>
          <w:rFonts w:ascii="Arial" w:cs="Arial" w:eastAsia="Arial" w:hAnsi="Arial"/>
          <w:sz w:val="19"/>
          <w:szCs w:val="19"/>
          <w:color w:val="auto"/>
        </w:rPr>
      </w:pPr>
      <w:r>
        <w:rPr>
          <w:rFonts w:ascii="Arial" w:cs="Arial" w:eastAsia="Arial" w:hAnsi="Arial"/>
          <w:sz w:val="19"/>
          <w:szCs w:val="19"/>
          <w:color w:val="auto"/>
        </w:rPr>
        <w:t>On the Friday following the first meeting of the Compensation Committee of the Board of Directors of the Company (the “Committee”) in 2024 (the “First Committee Meeting”), or as soon thereafter as reasonably practicable (such date, the “initial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initial Vesting Date and has not experienced a Termination of Employment (as defined in Section 12(y) below) as of such date. If, immediately following the First Committee Meeting, not all companies comprising the ROCE Peer Group (as defined in Attachment I) have publicly disclosed the full-year financial information required to determine the number of shares of Common Stock earned, the Committee may elect, at its discretion, to award to Employee a specified percentage of the number of such shares initially determined to be earned. The percentage of shares initially issued to Employee will be based on available reported results of the ROCE Peer Group as of the First Committee Meeting, and the issuance of such shares will occur as soon after the First Committee Meeting as administratively practicable. Any additional shares of Common Stock earned will be</w:t>
      </w:r>
    </w:p>
    <w:p>
      <w:pPr>
        <w:spacing w:after="0" w:line="200" w:lineRule="exact"/>
        <w:rPr>
          <w:sz w:val="20"/>
          <w:szCs w:val="20"/>
          <w:color w:val="auto"/>
        </w:rPr>
      </w:pPr>
    </w:p>
    <w:p>
      <w:pPr>
        <w:spacing w:after="0" w:line="207"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both"/>
        <w:spacing w:after="0" w:line="275" w:lineRule="auto"/>
        <w:rPr>
          <w:sz w:val="20"/>
          <w:szCs w:val="20"/>
          <w:color w:val="auto"/>
        </w:rPr>
      </w:pPr>
      <w:r>
        <w:rPr>
          <w:rFonts w:ascii="Arial" w:cs="Arial" w:eastAsia="Arial" w:hAnsi="Arial"/>
          <w:sz w:val="19"/>
          <w:szCs w:val="19"/>
          <w:color w:val="auto"/>
        </w:rPr>
        <w:t>issued to Employee as soon as reasonably practicable following the public release by all ROCE Peer Group companies of the requisite full-year financial results necessary to determine the final number of shares earned. The date of the issuance of such additional shares will be a “subsequent Vesting Date” for purposes of this Agreement). Except as provided in Sections 2(b) and 2(c) below, if there is any Termination of Employment during the period from and between the Grant Date until and including the initial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 termination or any related issue, and any such determination by the Committee or its delegate will be final and binding on all parties.</w:t>
      </w:r>
    </w:p>
    <w:p>
      <w:pPr>
        <w:spacing w:after="0" w:line="157" w:lineRule="exact"/>
        <w:rPr>
          <w:sz w:val="20"/>
          <w:szCs w:val="20"/>
          <w:color w:val="auto"/>
        </w:rPr>
      </w:pPr>
    </w:p>
    <w:p>
      <w:pPr>
        <w:jc w:val="both"/>
        <w:ind w:left="880" w:hanging="8"/>
        <w:spacing w:after="0" w:line="297" w:lineRule="auto"/>
        <w:tabs>
          <w:tab w:leader="none" w:pos="1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 If Employee’s Termination of Employment occurs due to Retirement (as defined in Section 12(q) below), then the Performance Share Units will vest in accordance with Section 2(a) above as if Employee had remained continuously employed by the Company or any of its Subsidiaries from the Grant Date through the initial Vesting Date.</w:t>
      </w:r>
    </w:p>
    <w:p>
      <w:pPr>
        <w:spacing w:after="0" w:line="133" w:lineRule="exact"/>
        <w:rPr>
          <w:rFonts w:ascii="Arial" w:cs="Arial" w:eastAsia="Arial" w:hAnsi="Arial"/>
          <w:sz w:val="19"/>
          <w:szCs w:val="19"/>
          <w:color w:val="auto"/>
        </w:rPr>
      </w:pPr>
    </w:p>
    <w:p>
      <w:pPr>
        <w:jc w:val="both"/>
        <w:ind w:left="880" w:firstLine="789"/>
        <w:spacing w:after="0" w:line="246" w:lineRule="auto"/>
        <w:tabs>
          <w:tab w:leader="none" w:pos="2589" w:val="left"/>
        </w:tabs>
        <w:numPr>
          <w:ilvl w:val="1"/>
          <w:numId w:val="32"/>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Early Retirement (as defined in Section 12(i) below) or Special Retirement (as defined in Section 12(t) below, then, subject to the approval of (x) the Committee, if Employee is an executive officer of the Company at the time of Employee’s election to retire, or (y) the Retirement Committee (as defined in Section 12(r)),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initial Vesting Date. Any approval under clauses (x) or (y) may be granted or withheld in the sole discretion of the Committee or the Retirement Committee, as applicable.</w:t>
      </w:r>
    </w:p>
    <w:p>
      <w:pPr>
        <w:spacing w:after="0" w:line="179" w:lineRule="exact"/>
        <w:rPr>
          <w:rFonts w:ascii="Arial" w:cs="Arial" w:eastAsia="Arial" w:hAnsi="Arial"/>
          <w:sz w:val="21"/>
          <w:szCs w:val="21"/>
          <w:color w:val="auto"/>
        </w:rPr>
      </w:pPr>
    </w:p>
    <w:p>
      <w:pPr>
        <w:jc w:val="both"/>
        <w:ind w:firstLine="872"/>
        <w:spacing w:after="0" w:line="257" w:lineRule="auto"/>
        <w:tabs>
          <w:tab w:leader="none" w:pos="1751" w:val="left"/>
        </w:tabs>
        <w:numPr>
          <w:ilvl w:val="0"/>
          <w:numId w:val="32"/>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initial Vesting Date.</w:t>
      </w:r>
    </w:p>
    <w:p>
      <w:pPr>
        <w:spacing w:after="0" w:line="169" w:lineRule="exact"/>
        <w:rPr>
          <w:sz w:val="20"/>
          <w:szCs w:val="20"/>
          <w:color w:val="auto"/>
        </w:rPr>
      </w:pPr>
    </w:p>
    <w:p>
      <w:pPr>
        <w:jc w:val="both"/>
        <w:ind w:firstLine="872"/>
        <w:spacing w:after="0" w:line="249" w:lineRule="auto"/>
        <w:tabs>
          <w:tab w:leader="none" w:pos="1674"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Settlement of Performance Share Units</w:t>
      </w:r>
      <w:r>
        <w:rPr>
          <w:rFonts w:ascii="Arial" w:cs="Arial" w:eastAsia="Arial" w:hAnsi="Arial"/>
          <w:sz w:val="21"/>
          <w:szCs w:val="21"/>
          <w:color w:val="auto"/>
        </w:rPr>
        <w:t xml:space="preserve">. Subject to Section 2(a) above, payment of vested Performance Share Units will be made in shares of Common Stock as soon as administratively practicable, but in no event later than 2-1/2 months following the end of the initial Vesting Date (the date of any such payment, the “Settlement Date”);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Committee may, in its sole and absolute discretion, settle the vested Performance Share Units in cash based on the Fair Market Value of the shares of Common Stock on the Settlement Date.</w:t>
      </w:r>
    </w:p>
    <w:p>
      <w:pPr>
        <w:spacing w:after="0" w:line="178" w:lineRule="exact"/>
        <w:rPr>
          <w:rFonts w:ascii="Arial" w:cs="Arial" w:eastAsia="Arial" w:hAnsi="Arial"/>
          <w:sz w:val="21"/>
          <w:szCs w:val="21"/>
          <w:color w:val="auto"/>
        </w:rPr>
      </w:pPr>
    </w:p>
    <w:p>
      <w:pPr>
        <w:ind w:left="1680" w:hanging="808"/>
        <w:spacing w:after="0"/>
        <w:tabs>
          <w:tab w:leader="none" w:pos="168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Forfeiture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52" w:lineRule="auto"/>
        <w:tabs>
          <w:tab w:leader="none" w:pos="1751" w:val="left"/>
        </w:tabs>
        <w:numPr>
          <w:ilvl w:val="0"/>
          <w:numId w:val="34"/>
        </w:numPr>
        <w:rPr>
          <w:rFonts w:ascii="Arial" w:cs="Arial" w:eastAsia="Arial" w:hAnsi="Arial"/>
          <w:sz w:val="21"/>
          <w:szCs w:val="21"/>
          <w:color w:val="auto"/>
        </w:rPr>
      </w:pPr>
      <w:r>
        <w:rPr>
          <w:rFonts w:ascii="Arial" w:cs="Arial" w:eastAsia="Arial" w:hAnsi="Arial"/>
          <w:sz w:val="21"/>
          <w:szCs w:val="21"/>
          <w:color w:val="auto"/>
        </w:rPr>
        <w:t>At any time during the Performance Period and up to and including the initial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8" w:name="page29"/>
    <w:bookmarkEnd w:id="28"/>
    <w:p>
      <w:pPr>
        <w:spacing w:after="0"/>
        <w:rPr>
          <w:sz w:val="20"/>
          <w:szCs w:val="20"/>
          <w:color w:val="auto"/>
        </w:rPr>
      </w:pPr>
      <w:r>
        <w:rPr>
          <w:rFonts w:ascii="Arial" w:cs="Arial" w:eastAsia="Arial" w:hAnsi="Arial"/>
          <w:sz w:val="21"/>
          <w:szCs w:val="21"/>
          <w:color w:val="auto"/>
        </w:rPr>
        <w:t>representatives of Employee will thereafter have any further rights or interest in the unvested Performance Share Units.</w:t>
      </w:r>
    </w:p>
    <w:p>
      <w:pPr>
        <w:spacing w:after="0" w:line="218" w:lineRule="exact"/>
        <w:rPr>
          <w:sz w:val="20"/>
          <w:szCs w:val="20"/>
          <w:color w:val="auto"/>
        </w:rPr>
      </w:pPr>
    </w:p>
    <w:p>
      <w:pPr>
        <w:jc w:val="both"/>
        <w:ind w:firstLine="872"/>
        <w:spacing w:after="0" w:line="249" w:lineRule="auto"/>
        <w:tabs>
          <w:tab w:leader="none" w:pos="1763" w:val="left"/>
        </w:tabs>
        <w:numPr>
          <w:ilvl w:val="0"/>
          <w:numId w:val="35"/>
        </w:numPr>
        <w:rPr>
          <w:rFonts w:ascii="Arial" w:cs="Arial" w:eastAsia="Arial" w:hAnsi="Arial"/>
          <w:sz w:val="21"/>
          <w:szCs w:val="21"/>
          <w:color w:val="auto"/>
        </w:rPr>
      </w:pPr>
      <w:r>
        <w:rPr>
          <w:rFonts w:ascii="Arial" w:cs="Arial" w:eastAsia="Arial" w:hAnsi="Arial"/>
          <w:sz w:val="21"/>
          <w:szCs w:val="21"/>
          <w:color w:val="auto"/>
        </w:rPr>
        <w:t>Notwithstanding any provision in this Agreement to the contrary, if at any time during the Performance Period and up to and including the subsequent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8" w:lineRule="exact"/>
        <w:rPr>
          <w:sz w:val="20"/>
          <w:szCs w:val="20"/>
          <w:color w:val="auto"/>
        </w:rPr>
      </w:pPr>
    </w:p>
    <w:p>
      <w:pPr>
        <w:ind w:left="1680" w:hanging="808"/>
        <w:spacing w:after="0"/>
        <w:tabs>
          <w:tab w:leader="none" w:pos="16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5" w:lineRule="auto"/>
        <w:tabs>
          <w:tab w:leader="none" w:pos="1751" w:val="left"/>
        </w:tabs>
        <w:numPr>
          <w:ilvl w:val="0"/>
          <w:numId w:val="37"/>
        </w:numPr>
        <w:rPr>
          <w:rFonts w:ascii="Arial" w:cs="Arial" w:eastAsia="Arial" w:hAnsi="Arial"/>
          <w:sz w:val="22"/>
          <w:szCs w:val="22"/>
          <w:color w:val="auto"/>
        </w:rPr>
      </w:pPr>
      <w:r>
        <w:rPr>
          <w:rFonts w:ascii="Arial" w:cs="Arial" w:eastAsia="Arial" w:hAnsi="Arial"/>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63" w:val="left"/>
        </w:tabs>
        <w:numPr>
          <w:ilvl w:val="0"/>
          <w:numId w:val="37"/>
        </w:numPr>
        <w:rPr>
          <w:rFonts w:ascii="Arial" w:cs="Arial" w:eastAsia="Arial" w:hAnsi="Arial"/>
          <w:sz w:val="19"/>
          <w:szCs w:val="19"/>
          <w:color w:val="auto"/>
        </w:rPr>
      </w:pPr>
      <w:r>
        <w:rPr>
          <w:rFonts w:ascii="Arial" w:cs="Arial" w:eastAsia="Arial" w:hAnsi="Arial"/>
          <w:sz w:val="19"/>
          <w:szCs w:val="19"/>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50" w:lineRule="exact"/>
        <w:rPr>
          <w:sz w:val="20"/>
          <w:szCs w:val="20"/>
          <w:color w:val="auto"/>
        </w:rPr>
      </w:pPr>
    </w:p>
    <w:p>
      <w:pPr>
        <w:jc w:val="both"/>
        <w:ind w:firstLine="872"/>
        <w:spacing w:after="0"/>
        <w:tabs>
          <w:tab w:leader="none" w:pos="1674"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86" w:lineRule="exact"/>
        <w:rPr>
          <w:rFonts w:ascii="Arial" w:cs="Arial" w:eastAsia="Arial" w:hAnsi="Arial"/>
          <w:sz w:val="22"/>
          <w:szCs w:val="22"/>
          <w:color w:val="auto"/>
        </w:rPr>
      </w:pPr>
    </w:p>
    <w:p>
      <w:pPr>
        <w:ind w:left="1680" w:hanging="808"/>
        <w:spacing w:after="0"/>
        <w:tabs>
          <w:tab w:leader="none" w:pos="168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Tax and Social Insurance Withholding</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5" w:lineRule="auto"/>
        <w:tabs>
          <w:tab w:leader="none" w:pos="1751" w:val="left"/>
        </w:tabs>
        <w:numPr>
          <w:ilvl w:val="0"/>
          <w:numId w:val="39"/>
        </w:numPr>
        <w:rPr>
          <w:rFonts w:ascii="Arial" w:cs="Arial" w:eastAsia="Arial" w:hAnsi="Arial"/>
          <w:sz w:val="19"/>
          <w:szCs w:val="19"/>
          <w:color w:val="auto"/>
        </w:rPr>
      </w:pPr>
      <w:r>
        <w:rPr>
          <w:rFonts w:ascii="Arial" w:cs="Arial" w:eastAsia="Arial" w:hAnsi="Arial"/>
          <w:sz w:val="19"/>
          <w:szCs w:val="19"/>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9" w:name="page30"/>
    <w:bookmarkEnd w:id="29"/>
    <w:p>
      <w:pPr>
        <w:ind w:right="20"/>
        <w:spacing w:after="0" w:line="328" w:lineRule="auto"/>
        <w:rPr>
          <w:sz w:val="20"/>
          <w:szCs w:val="20"/>
          <w:color w:val="auto"/>
        </w:rPr>
      </w:pPr>
      <w:r>
        <w:rPr>
          <w:rFonts w:ascii="Arial" w:cs="Arial" w:eastAsia="Arial" w:hAnsi="Arial"/>
          <w:sz w:val="19"/>
          <w:szCs w:val="19"/>
          <w:color w:val="auto"/>
        </w:rPr>
        <w:t>subsequent sale of any shares of Common Stock acquired at vesting, and (ii) does not commit to structure the terms of the grant or any aspect of the Performance Share Units to reduce or eliminate Employee’s liability for the Tax-Related Items.</w:t>
      </w:r>
    </w:p>
    <w:p>
      <w:pPr>
        <w:spacing w:after="0" w:line="105" w:lineRule="exact"/>
        <w:rPr>
          <w:sz w:val="20"/>
          <w:szCs w:val="20"/>
          <w:color w:val="auto"/>
        </w:rPr>
      </w:pPr>
    </w:p>
    <w:p>
      <w:pPr>
        <w:jc w:val="both"/>
        <w:ind w:firstLine="872"/>
        <w:spacing w:after="0" w:line="246" w:lineRule="auto"/>
        <w:tabs>
          <w:tab w:leader="none" w:pos="1763" w:val="left"/>
        </w:tabs>
        <w:numPr>
          <w:ilvl w:val="0"/>
          <w:numId w:val="40"/>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79" w:lineRule="exact"/>
        <w:rPr>
          <w:rFonts w:ascii="Arial" w:cs="Arial" w:eastAsia="Arial" w:hAnsi="Arial"/>
          <w:sz w:val="21"/>
          <w:szCs w:val="21"/>
          <w:color w:val="auto"/>
        </w:rPr>
      </w:pPr>
    </w:p>
    <w:p>
      <w:pPr>
        <w:jc w:val="both"/>
        <w:ind w:firstLine="872"/>
        <w:spacing w:after="0" w:line="273" w:lineRule="auto"/>
        <w:tabs>
          <w:tab w:leader="none" w:pos="1751"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55" w:lineRule="exact"/>
        <w:rPr>
          <w:sz w:val="20"/>
          <w:szCs w:val="20"/>
          <w:color w:val="auto"/>
        </w:rPr>
      </w:pPr>
    </w:p>
    <w:p>
      <w:pPr>
        <w:jc w:val="both"/>
        <w:ind w:firstLine="872"/>
        <w:spacing w:after="0" w:line="238" w:lineRule="auto"/>
        <w:tabs>
          <w:tab w:leader="none" w:pos="1674"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8" w:lineRule="exact"/>
        <w:rPr>
          <w:rFonts w:ascii="Arial" w:cs="Arial" w:eastAsia="Arial" w:hAnsi="Arial"/>
          <w:sz w:val="22"/>
          <w:szCs w:val="22"/>
          <w:color w:val="auto"/>
        </w:rPr>
      </w:pPr>
    </w:p>
    <w:p>
      <w:pPr>
        <w:ind w:left="1680" w:hanging="808"/>
        <w:spacing w:after="0"/>
        <w:tabs>
          <w:tab w:leader="none" w:pos="168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Intellectual  Property  and  Noncompetition</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  acknowledges  that</w:t>
      </w:r>
    </w:p>
    <w:p>
      <w:pPr>
        <w:spacing w:after="0" w:line="48" w:lineRule="exact"/>
        <w:rPr>
          <w:rFonts w:ascii="Arial" w:cs="Arial" w:eastAsia="Arial" w:hAnsi="Arial"/>
          <w:sz w:val="19"/>
          <w:szCs w:val="19"/>
          <w:color w:val="auto"/>
        </w:rPr>
      </w:pPr>
    </w:p>
    <w:p>
      <w:pPr>
        <w:jc w:val="both"/>
        <w:spacing w:after="0" w:line="273" w:lineRule="auto"/>
        <w:rPr>
          <w:rFonts w:ascii="Arial" w:cs="Arial" w:eastAsia="Arial" w:hAnsi="Arial"/>
          <w:sz w:val="19"/>
          <w:szCs w:val="19"/>
          <w:color w:val="auto"/>
        </w:rPr>
      </w:pPr>
      <w:r>
        <w:rPr>
          <w:rFonts w:ascii="Arial" w:cs="Arial" w:eastAsia="Arial" w:hAnsi="Arial"/>
          <w:sz w:val="19"/>
          <w:szCs w:val="19"/>
          <w:b w:val="1"/>
          <w:bCs w:val="1"/>
          <w:color w:val="auto"/>
        </w:rPr>
        <w:t>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0" w:name="page31"/>
    <w:bookmarkEnd w:id="30"/>
    <w:p>
      <w:pPr>
        <w:jc w:val="both"/>
        <w:ind w:left="-872" w:firstLine="872"/>
        <w:spacing w:after="0" w:line="279" w:lineRule="auto"/>
        <w:tabs>
          <w:tab w:leader="none" w:pos="91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Compliance with Securities Laws</w:t>
      </w:r>
      <w:r>
        <w:rPr>
          <w:rFonts w:ascii="Arial" w:cs="Arial" w:eastAsia="Arial" w:hAnsi="Arial"/>
          <w:sz w:val="19"/>
          <w:szCs w:val="19"/>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50" w:lineRule="exact"/>
        <w:rPr>
          <w:rFonts w:ascii="Arial" w:cs="Arial" w:eastAsia="Arial" w:hAnsi="Arial"/>
          <w:sz w:val="19"/>
          <w:szCs w:val="19"/>
          <w:color w:val="auto"/>
        </w:rPr>
      </w:pPr>
    </w:p>
    <w:p>
      <w:pPr>
        <w:ind w:left="908" w:hanging="908"/>
        <w:spacing w:after="0"/>
        <w:tabs>
          <w:tab w:leader="none" w:pos="908"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Limitation of Rights</w:t>
      </w:r>
      <w:r>
        <w:rPr>
          <w:rFonts w:ascii="Arial" w:cs="Arial" w:eastAsia="Arial" w:hAnsi="Arial"/>
          <w:sz w:val="22"/>
          <w:szCs w:val="22"/>
          <w:color w:val="auto"/>
        </w:rPr>
        <w:t>. Nothing in this Agreement or the Plan may be construed to:</w:t>
      </w:r>
    </w:p>
    <w:p>
      <w:pPr>
        <w:spacing w:after="0" w:line="206" w:lineRule="exact"/>
        <w:rPr>
          <w:sz w:val="20"/>
          <w:szCs w:val="20"/>
          <w:color w:val="auto"/>
        </w:rPr>
      </w:pPr>
    </w:p>
    <w:p>
      <w:pPr>
        <w:ind w:left="-872" w:right="20" w:firstLine="872"/>
        <w:spacing w:after="0" w:line="250" w:lineRule="auto"/>
        <w:tabs>
          <w:tab w:leader="none" w:pos="8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74" w:lineRule="exact"/>
        <w:rPr>
          <w:rFonts w:ascii="Arial" w:cs="Arial" w:eastAsia="Arial" w:hAnsi="Arial"/>
          <w:sz w:val="22"/>
          <w:szCs w:val="22"/>
          <w:color w:val="auto"/>
        </w:rPr>
      </w:pPr>
    </w:p>
    <w:p>
      <w:pPr>
        <w:ind w:left="-872" w:right="20" w:firstLine="872"/>
        <w:spacing w:after="0" w:line="250" w:lineRule="auto"/>
        <w:tabs>
          <w:tab w:leader="none" w:pos="8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give Employee or any other person or entity any interest in any fund or in any specified asset or assets of the Company (other than the Performance Share Units); or</w:t>
      </w:r>
    </w:p>
    <w:p>
      <w:pPr>
        <w:spacing w:after="0" w:line="174" w:lineRule="exact"/>
        <w:rPr>
          <w:rFonts w:ascii="Arial" w:cs="Arial" w:eastAsia="Arial" w:hAnsi="Arial"/>
          <w:sz w:val="22"/>
          <w:szCs w:val="22"/>
          <w:color w:val="auto"/>
        </w:rPr>
      </w:pPr>
    </w:p>
    <w:p>
      <w:pPr>
        <w:ind w:left="-872" w:firstLine="872"/>
        <w:spacing w:after="0" w:line="250" w:lineRule="auto"/>
        <w:tabs>
          <w:tab w:leader="none" w:pos="8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confer upon Employee or any other person or entity the right to continue in the employment or service of the Company or any Subsidiary.</w:t>
      </w:r>
    </w:p>
    <w:p>
      <w:pPr>
        <w:spacing w:after="0" w:line="175" w:lineRule="exact"/>
        <w:rPr>
          <w:sz w:val="20"/>
          <w:szCs w:val="20"/>
          <w:color w:val="auto"/>
        </w:rPr>
      </w:pPr>
    </w:p>
    <w:p>
      <w:pPr>
        <w:ind w:left="908" w:hanging="908"/>
        <w:spacing w:after="0"/>
        <w:tabs>
          <w:tab w:leader="none" w:pos="90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888" w:hanging="888"/>
        <w:spacing w:after="0"/>
        <w:tabs>
          <w:tab w:leader="none" w:pos="888" w:val="left"/>
        </w:tabs>
        <w:numPr>
          <w:ilvl w:val="1"/>
          <w:numId w:val="45"/>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1"/>
          <w:numId w:val="45"/>
        </w:numPr>
        <w:rPr>
          <w:rFonts w:ascii="Arial" w:cs="Arial" w:eastAsia="Arial" w:hAnsi="Arial"/>
          <w:sz w:val="22"/>
          <w:szCs w:val="22"/>
          <w:color w:val="auto"/>
        </w:rPr>
      </w:pPr>
      <w:r>
        <w:rPr>
          <w:rFonts w:ascii="Arial" w:cs="Arial" w:eastAsia="Arial" w:hAnsi="Arial"/>
          <w:sz w:val="22"/>
          <w:szCs w:val="22"/>
          <w:color w:val="auto"/>
        </w:rPr>
        <w:t>“Clawback Policy” is defined in Section 14.</w:t>
      </w:r>
    </w:p>
    <w:p>
      <w:pPr>
        <w:spacing w:after="0" w:line="206" w:lineRule="exact"/>
        <w:rPr>
          <w:rFonts w:ascii="Arial" w:cs="Arial" w:eastAsia="Arial" w:hAnsi="Arial"/>
          <w:sz w:val="22"/>
          <w:szCs w:val="22"/>
          <w:color w:val="auto"/>
        </w:rPr>
      </w:pPr>
    </w:p>
    <w:p>
      <w:pPr>
        <w:ind w:left="888" w:hanging="888"/>
        <w:spacing w:after="0"/>
        <w:tabs>
          <w:tab w:leader="none" w:pos="888" w:val="left"/>
        </w:tabs>
        <w:numPr>
          <w:ilvl w:val="1"/>
          <w:numId w:val="45"/>
        </w:numPr>
        <w:rPr>
          <w:rFonts w:ascii="Arial" w:cs="Arial" w:eastAsia="Arial" w:hAnsi="Arial"/>
          <w:sz w:val="22"/>
          <w:szCs w:val="22"/>
          <w:color w:val="auto"/>
        </w:rPr>
      </w:pPr>
      <w:r>
        <w:rPr>
          <w:rFonts w:ascii="Arial" w:cs="Arial" w:eastAsia="Arial" w:hAnsi="Arial"/>
          <w:sz w:val="22"/>
          <w:szCs w:val="22"/>
          <w:color w:val="auto"/>
        </w:rPr>
        <w:t>“Committee” is defined in Section 2(a).</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1"/>
          <w:numId w:val="45"/>
        </w:numPr>
        <w:rPr>
          <w:rFonts w:ascii="Arial" w:cs="Arial" w:eastAsia="Arial" w:hAnsi="Arial"/>
          <w:sz w:val="22"/>
          <w:szCs w:val="22"/>
          <w:color w:val="auto"/>
        </w:rPr>
      </w:pPr>
      <w:r>
        <w:rPr>
          <w:rFonts w:ascii="Arial" w:cs="Arial" w:eastAsia="Arial" w:hAnsi="Arial"/>
          <w:sz w:val="22"/>
          <w:szCs w:val="22"/>
          <w:color w:val="auto"/>
        </w:rPr>
        <w:t>“Common Stock” is defined in Section 1.</w:t>
      </w:r>
    </w:p>
    <w:p>
      <w:pPr>
        <w:spacing w:after="0" w:line="206" w:lineRule="exact"/>
        <w:rPr>
          <w:rFonts w:ascii="Arial" w:cs="Arial" w:eastAsia="Arial" w:hAnsi="Arial"/>
          <w:sz w:val="22"/>
          <w:szCs w:val="22"/>
          <w:color w:val="auto"/>
        </w:rPr>
      </w:pPr>
    </w:p>
    <w:p>
      <w:pPr>
        <w:ind w:left="888" w:hanging="888"/>
        <w:spacing w:after="0"/>
        <w:tabs>
          <w:tab w:leader="none" w:pos="888" w:val="left"/>
        </w:tabs>
        <w:numPr>
          <w:ilvl w:val="1"/>
          <w:numId w:val="45"/>
        </w:numPr>
        <w:rPr>
          <w:rFonts w:ascii="Arial" w:cs="Arial" w:eastAsia="Arial" w:hAnsi="Arial"/>
          <w:sz w:val="22"/>
          <w:szCs w:val="22"/>
          <w:color w:val="auto"/>
        </w:rPr>
      </w:pPr>
      <w:r>
        <w:rPr>
          <w:rFonts w:ascii="Arial" w:cs="Arial" w:eastAsia="Arial" w:hAnsi="Arial"/>
          <w:sz w:val="22"/>
          <w:szCs w:val="22"/>
          <w:color w:val="auto"/>
        </w:rPr>
        <w:t>“Company” is defined in the introduction.</w:t>
      </w:r>
    </w:p>
    <w:p>
      <w:pPr>
        <w:spacing w:after="0" w:line="206" w:lineRule="exact"/>
        <w:rPr>
          <w:rFonts w:ascii="Arial" w:cs="Arial" w:eastAsia="Arial" w:hAnsi="Arial"/>
          <w:sz w:val="22"/>
          <w:szCs w:val="22"/>
          <w:color w:val="auto"/>
        </w:rPr>
      </w:pPr>
    </w:p>
    <w:p>
      <w:pPr>
        <w:jc w:val="both"/>
        <w:ind w:left="-872" w:firstLine="872"/>
        <w:spacing w:after="0" w:line="272" w:lineRule="auto"/>
        <w:tabs>
          <w:tab w:leader="none" w:pos="856" w:val="left"/>
        </w:tabs>
        <w:numPr>
          <w:ilvl w:val="1"/>
          <w:numId w:val="45"/>
        </w:numPr>
        <w:rPr>
          <w:rFonts w:ascii="Arial" w:cs="Arial" w:eastAsia="Arial" w:hAnsi="Arial"/>
          <w:sz w:val="19"/>
          <w:szCs w:val="19"/>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any Direct Competitor (as defined in Section 12(g) below); (iii) engages or employs, or solicits or contacts with a view to the engagement or employment of, any employee of the Company or its Subsidiaries; (iv) canvasses, solicits, approaches or entices away or causes to be canvassed, solicited, approached or enticed away from the Company or its Subsidiaries any customer of any of such entities during the Performance Period and up to and including the subsequent Vesting Date; (v) is determined to have engaged (whether or not prior to Termination of Employment) in either gross misconduct or criminal activity that is, or that could reasonably be expected to be, harmful to the Company or a Subsidiary; or (vi) takes any action that otherwise harms, or that could reasonably be expected to harm, the business interests, reputation, or goodwill of the Company or its Subsidiaries. The Committee may delegate, to an</w:t>
      </w:r>
    </w:p>
    <w:p>
      <w:pPr>
        <w:spacing w:after="0" w:line="200" w:lineRule="exact"/>
        <w:rPr>
          <w:sz w:val="20"/>
          <w:szCs w:val="20"/>
          <w:color w:val="auto"/>
        </w:rPr>
      </w:pPr>
    </w:p>
    <w:p>
      <w:pPr>
        <w:spacing w:after="0" w:line="355" w:lineRule="exact"/>
        <w:rPr>
          <w:sz w:val="20"/>
          <w:szCs w:val="20"/>
          <w:color w:val="auto"/>
        </w:rPr>
      </w:pPr>
    </w:p>
    <w:p>
      <w:pPr>
        <w:ind w:left="9648"/>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5</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76835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31" w:name="page32"/>
    <w:bookmarkEnd w:id="31"/>
    <w:p>
      <w:pPr>
        <w:spacing w:after="0" w:line="328" w:lineRule="auto"/>
        <w:rPr>
          <w:sz w:val="20"/>
          <w:szCs w:val="20"/>
          <w:color w:val="auto"/>
        </w:rPr>
      </w:pPr>
      <w:r>
        <w:rPr>
          <w:rFonts w:ascii="Arial" w:cs="Arial" w:eastAsia="Arial" w:hAnsi="Arial"/>
          <w:sz w:val="19"/>
          <w:szCs w:val="19"/>
          <w:color w:val="auto"/>
        </w:rPr>
        <w:t>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105" w:lineRule="exact"/>
        <w:rPr>
          <w:sz w:val="20"/>
          <w:szCs w:val="20"/>
          <w:color w:val="auto"/>
        </w:rPr>
      </w:pPr>
    </w:p>
    <w:p>
      <w:pPr>
        <w:jc w:val="both"/>
        <w:ind w:firstLine="872"/>
        <w:spacing w:after="0" w:line="287" w:lineRule="auto"/>
        <w:tabs>
          <w:tab w:leader="none" w:pos="1837" w:val="left"/>
        </w:tabs>
        <w:numPr>
          <w:ilvl w:val="0"/>
          <w:numId w:val="46"/>
        </w:numPr>
        <w:rPr>
          <w:rFonts w:ascii="Arial" w:cs="Arial" w:eastAsia="Arial" w:hAnsi="Arial"/>
          <w:sz w:val="19"/>
          <w:szCs w:val="19"/>
          <w:color w:val="auto"/>
        </w:rPr>
      </w:pPr>
      <w:r>
        <w:rPr>
          <w:rFonts w:ascii="Arial" w:cs="Arial" w:eastAsia="Arial" w:hAnsi="Arial"/>
          <w:sz w:val="19"/>
          <w:szCs w:val="19"/>
          <w:color w:val="auto"/>
        </w:rPr>
        <w:t>“Direct Competitor” means any of the following: (i) Halliburton Company, Weatherford International plc, Baker Hughes Company, TechnipFMC plc, NOV Inc., and any other oilfield equipment and services entity; and (ii) any entity engaged in seismic processing and reservoir geosciences services to the oil and natural gas industry, including in all cases in (i) and (ii) above, any and all of their parents, subsidiaries, affiliates, joint ventures, divisions, successors, or assigns.</w:t>
      </w:r>
    </w:p>
    <w:p>
      <w:pPr>
        <w:spacing w:after="0" w:line="142" w:lineRule="exact"/>
        <w:rPr>
          <w:rFonts w:ascii="Arial" w:cs="Arial" w:eastAsia="Arial" w:hAnsi="Arial"/>
          <w:sz w:val="19"/>
          <w:szCs w:val="19"/>
          <w:color w:val="auto"/>
        </w:rPr>
      </w:pPr>
    </w:p>
    <w:p>
      <w:pPr>
        <w:jc w:val="both"/>
        <w:ind w:firstLine="872"/>
        <w:spacing w:after="0"/>
        <w:tabs>
          <w:tab w:leader="none" w:pos="1763" w:val="left"/>
        </w:tabs>
        <w:numPr>
          <w:ilvl w:val="0"/>
          <w:numId w:val="46"/>
        </w:numPr>
        <w:rPr>
          <w:rFonts w:ascii="Arial" w:cs="Arial" w:eastAsia="Arial" w:hAnsi="Arial"/>
          <w:sz w:val="22"/>
          <w:szCs w:val="22"/>
          <w:color w:val="auto"/>
        </w:rPr>
      </w:pPr>
      <w:r>
        <w:rPr>
          <w:rFonts w:ascii="Arial" w:cs="Arial" w:eastAsia="Arial" w:hAnsi="Arial"/>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86" w:lineRule="exact"/>
        <w:rPr>
          <w:rFonts w:ascii="Arial" w:cs="Arial" w:eastAsia="Arial" w:hAnsi="Arial"/>
          <w:sz w:val="22"/>
          <w:szCs w:val="22"/>
          <w:color w:val="auto"/>
        </w:rPr>
      </w:pPr>
    </w:p>
    <w:p>
      <w:pPr>
        <w:ind w:firstLine="872"/>
        <w:spacing w:after="0" w:line="250" w:lineRule="auto"/>
        <w:tabs>
          <w:tab w:leader="none" w:pos="1715" w:val="left"/>
        </w:tabs>
        <w:numPr>
          <w:ilvl w:val="0"/>
          <w:numId w:val="46"/>
        </w:numPr>
        <w:rPr>
          <w:rFonts w:ascii="Arial" w:cs="Arial" w:eastAsia="Arial" w:hAnsi="Arial"/>
          <w:sz w:val="22"/>
          <w:szCs w:val="22"/>
          <w:color w:val="auto"/>
        </w:rPr>
      </w:pPr>
      <w:r>
        <w:rPr>
          <w:rFonts w:ascii="Arial" w:cs="Arial" w:eastAsia="Arial" w:hAnsi="Arial"/>
          <w:sz w:val="22"/>
          <w:szCs w:val="22"/>
          <w:color w:val="auto"/>
        </w:rPr>
        <w:t>“Early Retirement” means Employee’s voluntary election to retire from employment with the Company and its Subsidiaries at any time after Employee has reached both the age of 55 and 20 years of service.</w:t>
      </w:r>
    </w:p>
    <w:p>
      <w:pPr>
        <w:spacing w:after="0" w:line="174" w:lineRule="exact"/>
        <w:rPr>
          <w:rFonts w:ascii="Arial" w:cs="Arial" w:eastAsia="Arial" w:hAnsi="Arial"/>
          <w:sz w:val="22"/>
          <w:szCs w:val="22"/>
          <w:color w:val="auto"/>
        </w:rPr>
      </w:pPr>
    </w:p>
    <w:p>
      <w:pPr>
        <w:ind w:left="1720" w:hanging="848"/>
        <w:spacing w:after="0"/>
        <w:tabs>
          <w:tab w:leader="none" w:pos="17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“Employee” is defined in the introduction.</w:t>
      </w:r>
    </w:p>
    <w:p>
      <w:pPr>
        <w:spacing w:after="0" w:line="206" w:lineRule="exact"/>
        <w:rPr>
          <w:rFonts w:ascii="Arial" w:cs="Arial" w:eastAsia="Arial" w:hAnsi="Arial"/>
          <w:sz w:val="22"/>
          <w:szCs w:val="22"/>
          <w:color w:val="auto"/>
        </w:rPr>
      </w:pPr>
    </w:p>
    <w:p>
      <w:pPr>
        <w:jc w:val="both"/>
        <w:ind w:firstLine="872"/>
        <w:spacing w:after="0" w:line="249" w:lineRule="auto"/>
        <w:tabs>
          <w:tab w:leader="none" w:pos="1763" w:val="left"/>
        </w:tabs>
        <w:numPr>
          <w:ilvl w:val="0"/>
          <w:numId w:val="46"/>
        </w:numPr>
        <w:rPr>
          <w:rFonts w:ascii="Arial" w:cs="Arial" w:eastAsia="Arial" w:hAnsi="Arial"/>
          <w:sz w:val="21"/>
          <w:szCs w:val="21"/>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8" w:lineRule="exact"/>
        <w:rPr>
          <w:rFonts w:ascii="Arial" w:cs="Arial" w:eastAsia="Arial" w:hAnsi="Arial"/>
          <w:sz w:val="21"/>
          <w:szCs w:val="21"/>
          <w:color w:val="auto"/>
        </w:rPr>
      </w:pPr>
    </w:p>
    <w:p>
      <w:pPr>
        <w:ind w:left="1720" w:hanging="848"/>
        <w:spacing w:after="0"/>
        <w:tabs>
          <w:tab w:leader="none" w:pos="17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“Grant Date” is defined in the introduction.</w:t>
      </w:r>
    </w:p>
    <w:p>
      <w:pPr>
        <w:spacing w:after="0" w:line="206" w:lineRule="exact"/>
        <w:rPr>
          <w:rFonts w:ascii="Arial" w:cs="Arial" w:eastAsia="Arial" w:hAnsi="Arial"/>
          <w:sz w:val="22"/>
          <w:szCs w:val="22"/>
          <w:color w:val="auto"/>
        </w:rPr>
      </w:pPr>
    </w:p>
    <w:p>
      <w:pPr>
        <w:ind w:left="1840" w:hanging="968"/>
        <w:spacing w:after="0"/>
        <w:tabs>
          <w:tab w:leader="none" w:pos="1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“initial Vesting Date” is defined in Section 2(a).</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“Performance Period” is defined in Section 2.</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“Performance Share Units” is defined in Section 1.</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ind w:firstLine="872"/>
        <w:spacing w:after="0" w:line="250" w:lineRule="auto"/>
        <w:tabs>
          <w:tab w:leader="none" w:pos="1763"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“Retirement” means Employee’s voluntary election to retire from employment with the Company and its Subsidiaries at any time after Employee has reached both the age of 60 and 25 years of service.</w:t>
      </w:r>
    </w:p>
    <w:p>
      <w:pPr>
        <w:spacing w:after="0" w:line="174" w:lineRule="exact"/>
        <w:rPr>
          <w:rFonts w:ascii="Arial" w:cs="Arial" w:eastAsia="Arial" w:hAnsi="Arial"/>
          <w:sz w:val="22"/>
          <w:szCs w:val="22"/>
          <w:color w:val="auto"/>
        </w:rPr>
      </w:pPr>
    </w:p>
    <w:p>
      <w:pPr>
        <w:ind w:firstLine="872"/>
        <w:spacing w:after="0" w:line="250" w:lineRule="auto"/>
        <w:tabs>
          <w:tab w:leader="none" w:pos="1727"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“Retirement Committee” means a committee consisting of the Company’s Vice President of Human Resources, the HR Director Total Talent Management and the Executive Compensation Manager.</w:t>
      </w:r>
    </w:p>
    <w:p>
      <w:pPr>
        <w:spacing w:after="0" w:line="174" w:lineRule="exact"/>
        <w:rPr>
          <w:rFonts w:ascii="Arial" w:cs="Arial" w:eastAsia="Arial" w:hAnsi="Arial"/>
          <w:sz w:val="22"/>
          <w:szCs w:val="22"/>
          <w:color w:val="auto"/>
        </w:rPr>
      </w:pPr>
    </w:p>
    <w:p>
      <w:pPr>
        <w:ind w:left="1740" w:hanging="868"/>
        <w:spacing w:after="0"/>
        <w:tabs>
          <w:tab w:leader="none" w:pos="17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“Settlement Date” is defined in Section 3.</w:t>
      </w:r>
    </w:p>
    <w:p>
      <w:pPr>
        <w:spacing w:after="0" w:line="353"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6</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 w:name="page33"/>
    <w:bookmarkEnd w:id="32"/>
    <w:p>
      <w:pPr>
        <w:ind w:left="-872" w:firstLine="872"/>
        <w:spacing w:after="0" w:line="250" w:lineRule="auto"/>
        <w:tabs>
          <w:tab w:leader="none" w:pos="844" w:val="left"/>
        </w:tabs>
        <w:numPr>
          <w:ilvl w:val="0"/>
          <w:numId w:val="47"/>
        </w:numPr>
        <w:rPr>
          <w:rFonts w:ascii="Arial" w:cs="Arial" w:eastAsia="Arial" w:hAnsi="Arial"/>
          <w:sz w:val="22"/>
          <w:szCs w:val="22"/>
          <w:color w:val="auto"/>
        </w:rPr>
      </w:pPr>
      <w:r>
        <w:rPr>
          <w:rFonts w:ascii="Arial" w:cs="Arial" w:eastAsia="Arial" w:hAnsi="Arial"/>
          <w:sz w:val="22"/>
          <w:szCs w:val="22"/>
          <w:color w:val="auto"/>
        </w:rPr>
        <w:t>“Special Retirement” means Employee’s voluntary election to retire from employment with the Company and its Subsidiaries at any time after Employee has reached both the age of 50 and 10 years of service.</w:t>
      </w:r>
    </w:p>
    <w:p>
      <w:pPr>
        <w:spacing w:after="0" w:line="174" w:lineRule="exact"/>
        <w:rPr>
          <w:rFonts w:ascii="Arial" w:cs="Arial" w:eastAsia="Arial" w:hAnsi="Arial"/>
          <w:sz w:val="22"/>
          <w:szCs w:val="22"/>
          <w:color w:val="auto"/>
        </w:rPr>
      </w:pPr>
    </w:p>
    <w:p>
      <w:pPr>
        <w:ind w:left="908" w:hanging="908"/>
        <w:spacing w:after="0"/>
        <w:tabs>
          <w:tab w:leader="none" w:pos="908"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“subsequent Vesting Date” is defined in Section 2(a).</w:t>
      </w:r>
    </w:p>
    <w:p>
      <w:pPr>
        <w:spacing w:after="0" w:line="206" w:lineRule="exact"/>
        <w:rPr>
          <w:rFonts w:ascii="Arial" w:cs="Arial" w:eastAsia="Arial" w:hAnsi="Arial"/>
          <w:sz w:val="22"/>
          <w:szCs w:val="22"/>
          <w:color w:val="auto"/>
        </w:rPr>
      </w:pPr>
    </w:p>
    <w:p>
      <w:pPr>
        <w:jc w:val="both"/>
        <w:ind w:left="-872" w:firstLine="872"/>
        <w:spacing w:after="0" w:line="252" w:lineRule="auto"/>
        <w:tabs>
          <w:tab w:leader="none" w:pos="892" w:val="left"/>
        </w:tabs>
        <w:numPr>
          <w:ilvl w:val="0"/>
          <w:numId w:val="47"/>
        </w:numPr>
        <w:rPr>
          <w:rFonts w:ascii="Arial" w:cs="Arial" w:eastAsia="Arial" w:hAnsi="Arial"/>
          <w:sz w:val="21"/>
          <w:szCs w:val="21"/>
          <w:color w:val="auto"/>
        </w:rPr>
      </w:pPr>
      <w:r>
        <w:rPr>
          <w:rFonts w:ascii="Arial" w:cs="Arial" w:eastAsia="Arial" w:hAnsi="Arial"/>
          <w:sz w:val="21"/>
          <w:szCs w:val="21"/>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3" w:lineRule="exact"/>
        <w:rPr>
          <w:rFonts w:ascii="Arial" w:cs="Arial" w:eastAsia="Arial" w:hAnsi="Arial"/>
          <w:sz w:val="21"/>
          <w:szCs w:val="21"/>
          <w:color w:val="auto"/>
        </w:rPr>
      </w:pPr>
    </w:p>
    <w:p>
      <w:pPr>
        <w:ind w:left="948" w:hanging="948"/>
        <w:spacing w:after="0"/>
        <w:tabs>
          <w:tab w:leader="none" w:pos="948" w:val="left"/>
        </w:tabs>
        <w:numPr>
          <w:ilvl w:val="0"/>
          <w:numId w:val="47"/>
        </w:numPr>
        <w:rPr>
          <w:rFonts w:ascii="Arial" w:cs="Arial" w:eastAsia="Arial" w:hAnsi="Arial"/>
          <w:sz w:val="22"/>
          <w:szCs w:val="22"/>
          <w:color w:val="auto"/>
        </w:rPr>
      </w:pPr>
      <w:r>
        <w:rPr>
          <w:rFonts w:ascii="Arial" w:cs="Arial" w:eastAsia="Arial" w:hAnsi="Arial"/>
          <w:sz w:val="22"/>
          <w:szCs w:val="22"/>
          <w:color w:val="auto"/>
        </w:rPr>
        <w:t>“Tax Date” is defined in Section 7(b).</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0"/>
          <w:numId w:val="47"/>
        </w:numPr>
        <w:rPr>
          <w:rFonts w:ascii="Arial" w:cs="Arial" w:eastAsia="Arial" w:hAnsi="Arial"/>
          <w:sz w:val="22"/>
          <w:szCs w:val="22"/>
          <w:color w:val="auto"/>
        </w:rPr>
      </w:pPr>
      <w:r>
        <w:rPr>
          <w:rFonts w:ascii="Arial" w:cs="Arial" w:eastAsia="Arial" w:hAnsi="Arial"/>
          <w:sz w:val="22"/>
          <w:szCs w:val="22"/>
          <w:color w:val="auto"/>
        </w:rPr>
        <w:t>“Tax-Related Items” is defined in Section 7(a).</w:t>
      </w:r>
    </w:p>
    <w:p>
      <w:pPr>
        <w:spacing w:after="0" w:line="206" w:lineRule="exact"/>
        <w:rPr>
          <w:rFonts w:ascii="Arial" w:cs="Arial" w:eastAsia="Arial" w:hAnsi="Arial"/>
          <w:sz w:val="22"/>
          <w:szCs w:val="22"/>
          <w:color w:val="auto"/>
        </w:rPr>
      </w:pPr>
    </w:p>
    <w:p>
      <w:pPr>
        <w:jc w:val="both"/>
        <w:ind w:left="-872" w:firstLine="872"/>
        <w:spacing w:after="0" w:line="238" w:lineRule="auto"/>
        <w:tabs>
          <w:tab w:leader="none" w:pos="892" w:val="left"/>
        </w:tabs>
        <w:numPr>
          <w:ilvl w:val="0"/>
          <w:numId w:val="47"/>
        </w:numPr>
        <w:rPr>
          <w:rFonts w:ascii="Arial" w:cs="Arial" w:eastAsia="Arial" w:hAnsi="Arial"/>
          <w:sz w:val="22"/>
          <w:szCs w:val="22"/>
          <w:color w:val="auto"/>
        </w:rPr>
      </w:pPr>
      <w:r>
        <w:rPr>
          <w:rFonts w:ascii="Arial" w:cs="Arial" w:eastAsia="Arial" w:hAnsi="Arial"/>
          <w:sz w:val="22"/>
          <w:szCs w:val="22"/>
          <w:color w:val="auto"/>
        </w:rPr>
        <w:t>“Termination of Employment” means the voluntary or involuntary termination of Employee’s employment 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84" w:lineRule="exact"/>
        <w:rPr>
          <w:rFonts w:ascii="Arial" w:cs="Arial" w:eastAsia="Arial" w:hAnsi="Arial"/>
          <w:sz w:val="22"/>
          <w:szCs w:val="22"/>
          <w:color w:val="auto"/>
        </w:rPr>
      </w:pPr>
    </w:p>
    <w:p>
      <w:pPr>
        <w:ind w:left="888" w:hanging="888"/>
        <w:spacing w:after="0"/>
        <w:tabs>
          <w:tab w:leader="none" w:pos="888" w:val="left"/>
        </w:tabs>
        <w:numPr>
          <w:ilvl w:val="0"/>
          <w:numId w:val="47"/>
        </w:numPr>
        <w:rPr>
          <w:rFonts w:ascii="Arial" w:cs="Arial" w:eastAsia="Arial" w:hAnsi="Arial"/>
          <w:sz w:val="22"/>
          <w:szCs w:val="22"/>
          <w:color w:val="auto"/>
        </w:rPr>
      </w:pPr>
      <w:r>
        <w:rPr>
          <w:rFonts w:ascii="Arial" w:cs="Arial" w:eastAsia="Arial" w:hAnsi="Arial"/>
          <w:sz w:val="22"/>
          <w:szCs w:val="22"/>
          <w:color w:val="auto"/>
        </w:rPr>
        <w:t>“Transfer” is defined in Section 5(a).</w:t>
      </w:r>
    </w:p>
    <w:p>
      <w:pPr>
        <w:spacing w:after="0" w:line="206" w:lineRule="exact"/>
        <w:rPr>
          <w:sz w:val="20"/>
          <w:szCs w:val="20"/>
          <w:color w:val="auto"/>
        </w:rPr>
      </w:pPr>
    </w:p>
    <w:p>
      <w:pPr>
        <w:ind w:left="908" w:hanging="908"/>
        <w:spacing w:after="0"/>
        <w:tabs>
          <w:tab w:leader="none" w:pos="90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872" w:firstLine="872"/>
        <w:spacing w:after="0" w:line="328" w:lineRule="auto"/>
        <w:tabs>
          <w:tab w:leader="none" w:pos="8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04" w:lineRule="exact"/>
        <w:rPr>
          <w:rFonts w:ascii="Arial" w:cs="Arial" w:eastAsia="Arial" w:hAnsi="Arial"/>
          <w:sz w:val="19"/>
          <w:szCs w:val="19"/>
          <w:color w:val="auto"/>
        </w:rPr>
      </w:pPr>
    </w:p>
    <w:p>
      <w:pPr>
        <w:jc w:val="both"/>
        <w:ind w:left="-872" w:firstLine="872"/>
        <w:spacing w:after="0" w:line="297" w:lineRule="auto"/>
        <w:tabs>
          <w:tab w:leader="none" w:pos="892"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33" w:lineRule="exact"/>
        <w:rPr>
          <w:rFonts w:ascii="Arial" w:cs="Arial" w:eastAsia="Arial" w:hAnsi="Arial"/>
          <w:sz w:val="19"/>
          <w:szCs w:val="19"/>
          <w:color w:val="auto"/>
        </w:rPr>
      </w:pPr>
    </w:p>
    <w:p>
      <w:pPr>
        <w:ind w:left="-872" w:firstLine="872"/>
        <w:spacing w:after="0" w:line="250" w:lineRule="auto"/>
        <w:tabs>
          <w:tab w:leader="none" w:pos="8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of this Agreement will not affect the validity or enforceability of any other provision of this Agreement.</w:t>
      </w:r>
    </w:p>
    <w:p>
      <w:pPr>
        <w:spacing w:after="0" w:line="174" w:lineRule="exact"/>
        <w:rPr>
          <w:rFonts w:ascii="Arial" w:cs="Arial" w:eastAsia="Arial" w:hAnsi="Arial"/>
          <w:sz w:val="22"/>
          <w:szCs w:val="22"/>
          <w:color w:val="auto"/>
        </w:rPr>
      </w:pPr>
    </w:p>
    <w:p>
      <w:pPr>
        <w:jc w:val="both"/>
        <w:ind w:left="-872" w:firstLine="872"/>
        <w:spacing w:after="0"/>
        <w:tabs>
          <w:tab w:leader="none" w:pos="892"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86" w:lineRule="exact"/>
        <w:rPr>
          <w:rFonts w:ascii="Arial" w:cs="Arial" w:eastAsia="Arial" w:hAnsi="Arial"/>
          <w:sz w:val="22"/>
          <w:szCs w:val="22"/>
          <w:color w:val="auto"/>
        </w:rPr>
      </w:pPr>
    </w:p>
    <w:p>
      <w:pPr>
        <w:jc w:val="both"/>
        <w:ind w:left="-872" w:firstLine="872"/>
        <w:spacing w:after="0"/>
        <w:tabs>
          <w:tab w:leader="none" w:pos="8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333" w:lineRule="exact"/>
        <w:rPr>
          <w:sz w:val="20"/>
          <w:szCs w:val="20"/>
          <w:color w:val="auto"/>
        </w:rPr>
      </w:pPr>
    </w:p>
    <w:p>
      <w:pPr>
        <w:ind w:left="9648"/>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7</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76835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50" w:right="339" w:bottom="1440" w:gutter="0" w:footer="0" w:header="0"/>
        </w:sectPr>
      </w:pPr>
    </w:p>
    <w:bookmarkStart w:id="33" w:name="page34"/>
    <w:bookmarkEnd w:id="33"/>
    <w:p>
      <w:pPr>
        <w:ind w:right="20" w:firstLine="872"/>
        <w:spacing w:after="0" w:line="250" w:lineRule="auto"/>
        <w:tabs>
          <w:tab w:leader="none" w:pos="1727" w:val="left"/>
        </w:tabs>
        <w:numPr>
          <w:ilvl w:val="0"/>
          <w:numId w:val="50"/>
        </w:numPr>
        <w:rPr>
          <w:rFonts w:ascii="Arial" w:cs="Arial" w:eastAsia="Arial" w:hAnsi="Arial"/>
          <w:sz w:val="22"/>
          <w:szCs w:val="22"/>
          <w:color w:val="auto"/>
        </w:rPr>
      </w:pPr>
      <w:r>
        <w:rPr>
          <w:rFonts w:ascii="Arial" w:cs="Arial" w:eastAsia="Arial" w:hAnsi="Arial"/>
          <w:sz w:val="22"/>
          <w:szCs w:val="22"/>
          <w:color w:val="auto"/>
        </w:rPr>
        <w:t>Employee and the Company agree to execute such further instruments and to take such further action as may reasonably be necessary to carry out the intent of this Agreement.</w:t>
      </w:r>
    </w:p>
    <w:p>
      <w:pPr>
        <w:spacing w:after="0" w:line="174" w:lineRule="exact"/>
        <w:rPr>
          <w:rFonts w:ascii="Arial" w:cs="Arial" w:eastAsia="Arial" w:hAnsi="Arial"/>
          <w:sz w:val="22"/>
          <w:szCs w:val="22"/>
          <w:color w:val="auto"/>
        </w:rPr>
      </w:pPr>
    </w:p>
    <w:p>
      <w:pPr>
        <w:jc w:val="both"/>
        <w:ind w:firstLine="872"/>
        <w:spacing w:after="0" w:line="275" w:lineRule="auto"/>
        <w:tabs>
          <w:tab w:leader="none" w:pos="1763"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57" w:lineRule="exact"/>
        <w:rPr>
          <w:rFonts w:ascii="Arial" w:cs="Arial" w:eastAsia="Arial" w:hAnsi="Arial"/>
          <w:sz w:val="19"/>
          <w:szCs w:val="19"/>
          <w:color w:val="auto"/>
        </w:rPr>
      </w:pPr>
    </w:p>
    <w:p>
      <w:pPr>
        <w:jc w:val="both"/>
        <w:ind w:firstLine="872"/>
        <w:spacing w:after="0" w:line="270" w:lineRule="auto"/>
        <w:tabs>
          <w:tab w:leader="none" w:pos="1763" w:val="left"/>
        </w:tabs>
        <w:numPr>
          <w:ilvl w:val="0"/>
          <w:numId w:val="50"/>
        </w:numPr>
        <w:rPr>
          <w:rFonts w:ascii="Arial" w:cs="Arial" w:eastAsia="Arial" w:hAnsi="Arial"/>
          <w:sz w:val="19"/>
          <w:szCs w:val="19"/>
          <w:color w:val="auto"/>
        </w:rPr>
      </w:pPr>
      <w:r>
        <w:rPr>
          <w:rFonts w:ascii="Arial" w:cs="Arial" w:eastAsia="Arial" w:hAnsi="Arial"/>
          <w:sz w:val="19"/>
          <w:szCs w:val="19"/>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THE COMPANY HEREBY WAIVE, TO THE FULLEST EXTENT PERMITTED BY LAW, ANY RIGHT TO TRIAL BY JURY OF ANY CLAIM, DEMAND, ACTION, OR CAUSE OF ACTION ARISING OUT OF THIS AGREEMENT OR ANY ATTACHMENT THERETO.</w:t>
      </w:r>
    </w:p>
    <w:p>
      <w:pPr>
        <w:spacing w:after="0" w:line="163" w:lineRule="exact"/>
        <w:rPr>
          <w:sz w:val="20"/>
          <w:szCs w:val="20"/>
          <w:color w:val="auto"/>
        </w:rPr>
      </w:pPr>
    </w:p>
    <w:p>
      <w:pPr>
        <w:jc w:val="both"/>
        <w:ind w:firstLine="872"/>
        <w:spacing w:after="0" w:line="248" w:lineRule="auto"/>
        <w:tabs>
          <w:tab w:leader="none" w:pos="1782"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Clawback Policy</w:t>
      </w:r>
      <w:r>
        <w:rPr>
          <w:rFonts w:ascii="Arial" w:cs="Arial" w:eastAsia="Arial" w:hAnsi="Arial"/>
          <w:sz w:val="21"/>
          <w:szCs w:val="21"/>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4" w:name="page35"/>
    <w:bookmarkEnd w:id="34"/>
    <w:p>
      <w:pPr>
        <w:ind w:right="20"/>
        <w:spacing w:after="0" w:line="250" w:lineRule="auto"/>
        <w:rPr>
          <w:sz w:val="20"/>
          <w:szCs w:val="20"/>
          <w:color w:val="auto"/>
        </w:rPr>
      </w:pPr>
      <w:r>
        <w:rPr>
          <w:rFonts w:ascii="Arial" w:cs="Arial" w:eastAsia="Arial" w:hAnsi="Arial"/>
          <w:sz w:val="22"/>
          <w:szCs w:val="22"/>
          <w:color w:val="auto"/>
        </w:rPr>
        <w:t>addition, by acceptance of this award, you agree that any prior awards that have been issued to you pursuant to the Plan or any other incentive plan of the Company are subject to the Clawback Policy.</w:t>
      </w:r>
    </w:p>
    <w:p>
      <w:pPr>
        <w:spacing w:after="0" w:line="175" w:lineRule="exact"/>
        <w:rPr>
          <w:sz w:val="20"/>
          <w:szCs w:val="20"/>
          <w:color w:val="auto"/>
        </w:rPr>
      </w:pPr>
    </w:p>
    <w:p>
      <w:pPr>
        <w:jc w:val="both"/>
        <w:ind w:firstLine="872"/>
        <w:spacing w:after="0" w:line="277" w:lineRule="auto"/>
        <w:tabs>
          <w:tab w:leader="none" w:pos="1782"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Acceptance of Award</w:t>
      </w:r>
      <w:r>
        <w:rPr>
          <w:rFonts w:ascii="Arial" w:cs="Arial" w:eastAsia="Arial" w:hAnsi="Arial"/>
          <w:sz w:val="19"/>
          <w:szCs w:val="19"/>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ATTACHMENT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Conditions</w:t>
      </w:r>
    </w:p>
    <w:p>
      <w:pPr>
        <w:spacing w:after="0" w:line="188"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Subject to the provisions of the Agreement and this Attachment I, vesting of the Performance Share Units is conditioned upon the delta between:</w:t>
      </w:r>
    </w:p>
    <w:p>
      <w:pPr>
        <w:spacing w:after="0" w:line="175" w:lineRule="exact"/>
        <w:rPr>
          <w:sz w:val="20"/>
          <w:szCs w:val="20"/>
          <w:color w:val="auto"/>
        </w:rPr>
      </w:pPr>
    </w:p>
    <w:p>
      <w:pPr>
        <w:ind w:firstLine="872"/>
        <w:spacing w:after="0" w:line="328" w:lineRule="auto"/>
        <w:tabs>
          <w:tab w:leader="none" w:pos="1887" w:val="left"/>
        </w:tabs>
        <w:numPr>
          <w:ilvl w:val="0"/>
          <w:numId w:val="53"/>
        </w:numPr>
        <w:rPr>
          <w:rFonts w:ascii="Arial" w:cs="Arial" w:eastAsia="Arial" w:hAnsi="Arial"/>
          <w:sz w:val="19"/>
          <w:szCs w:val="19"/>
          <w:color w:val="auto"/>
        </w:rPr>
      </w:pPr>
      <w:r>
        <w:rPr>
          <w:rFonts w:ascii="Arial" w:cs="Arial" w:eastAsia="Arial" w:hAnsi="Arial"/>
          <w:sz w:val="19"/>
          <w:szCs w:val="19"/>
          <w:color w:val="auto"/>
        </w:rPr>
        <w:t>Schlumberger’s average annual return on capital employed (as further described below, “ROCE”) over the three-year performance period beginning on January 1, 2021 and ending on December 31, 2023 (the “Performance Period”), and</w:t>
      </w:r>
    </w:p>
    <w:p>
      <w:pPr>
        <w:spacing w:after="0" w:line="104" w:lineRule="exact"/>
        <w:rPr>
          <w:rFonts w:ascii="Arial" w:cs="Arial" w:eastAsia="Arial" w:hAnsi="Arial"/>
          <w:sz w:val="19"/>
          <w:szCs w:val="19"/>
          <w:color w:val="auto"/>
        </w:rPr>
      </w:pPr>
    </w:p>
    <w:p>
      <w:pPr>
        <w:ind w:left="1800" w:hanging="928"/>
        <w:spacing w:after="0"/>
        <w:tabs>
          <w:tab w:leader="none" w:pos="18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average annual ROCE of the following companies taken together (collectively, the “ROCE Peer Group”)</w:t>
      </w:r>
    </w:p>
    <w:p>
      <w:pPr>
        <w:spacing w:after="0" w:line="43" w:lineRule="exact"/>
        <w:rPr>
          <w:sz w:val="20"/>
          <w:szCs w:val="20"/>
          <w:color w:val="auto"/>
        </w:rPr>
      </w:pPr>
    </w:p>
    <w:p>
      <w:pPr>
        <w:jc w:val="both"/>
        <w:ind w:right="20"/>
        <w:spacing w:after="0" w:line="256" w:lineRule="auto"/>
        <w:rPr>
          <w:sz w:val="20"/>
          <w:szCs w:val="20"/>
          <w:color w:val="auto"/>
        </w:rPr>
      </w:pPr>
      <w:r>
        <w:rPr>
          <w:rFonts w:ascii="Arial" w:cs="Arial" w:eastAsia="Arial" w:hAnsi="Arial"/>
          <w:sz w:val="21"/>
          <w:szCs w:val="21"/>
          <w:color w:val="auto"/>
        </w:rPr>
        <w:t>over the Performance Period: [ ], [ ], [ ] and [ ], in each case with appropriate adjustments for mergers, acquisitions and dispositions, as well as any adjustment for the Company’s relative total shareholder return (as further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Definitions</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“ROCE” is equal to the sum of (i) income from continuing operations, before charges and credits, and (ii) the after-tax impact of net interest expense, divided by the sum of (x) the average quarterly equity, including noncontrolling interests, and (y) the average quarterly net debt.</w:t>
      </w:r>
    </w:p>
    <w:p>
      <w:pPr>
        <w:spacing w:after="0" w:line="18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Schlumberger’s “average annual ROCE” means the average of the three annual ROCE achievements during the Performance Period. The ROCE Peer Group’s “average annual ROCE” means the average of the three annual ROCE achievements during the Performance Period for the ROCE Peer Group as a whole.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Performance/Payout</w:t>
      </w:r>
    </w:p>
    <w:p>
      <w:pPr>
        <w:spacing w:after="0" w:line="20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The number of Performance Share Units that will vest will be equal to the product of (i) the target Performance Share Units and (ii) the Payout Factor (with any fractional shares rounded up to the next whole share).</w:t>
      </w:r>
    </w:p>
    <w:p>
      <w:pPr>
        <w:spacing w:after="0" w:line="151"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The average annual ROCE achieved by the Company over the Performance Period, and the average annual ROCE achieved by the ROCE Peer Group over the Performance Period, will be certified by the Committee. The Committee has discretion to cap the ROCE payout at 100% based on any material write down attributed to management decisions.</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 w:name="page37"/>
    <w:bookmarkEnd w:id="36"/>
    <w:p>
      <w:pPr>
        <w:jc w:val="both"/>
        <w:ind w:right="20" w:firstLine="864"/>
        <w:spacing w:after="0" w:line="297" w:lineRule="auto"/>
        <w:rPr>
          <w:sz w:val="20"/>
          <w:szCs w:val="20"/>
          <w:color w:val="auto"/>
        </w:rPr>
      </w:pPr>
      <w:r>
        <w:rPr>
          <w:rFonts w:ascii="Arial" w:cs="Arial" w:eastAsia="Arial" w:hAnsi="Arial"/>
          <w:sz w:val="19"/>
          <w:szCs w:val="19"/>
          <w:color w:val="auto"/>
        </w:rPr>
        <w:t>The Committee is authorized to vest the number of Performance Share Units at the Payout Factor based on Table 1 below. The Payout Factor for ROCE achievement levels between points on this chart will be determined by linear interpolation between the values listed. The maximum payout of Performance Share Units is [ ]% of the Target Performance Share Units.</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Table 1</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(Applicable if conditions for Turbo Effect (as described below) are not met)</w:t>
      </w:r>
    </w:p>
    <w:p>
      <w:pPr>
        <w:spacing w:after="0" w:line="17" w:lineRule="exact"/>
        <w:rPr>
          <w:sz w:val="20"/>
          <w:szCs w:val="20"/>
          <w:color w:val="auto"/>
        </w:rPr>
      </w:pPr>
    </w:p>
    <w:tbl>
      <w:tblPr>
        <w:tblLayout w:type="fixed"/>
        <w:tblInd w:w="30" w:type="dxa"/>
        <w:tblCellMar>
          <w:top w:w="0" w:type="dxa"/>
          <w:left w:w="0" w:type="dxa"/>
          <w:bottom w:w="0" w:type="dxa"/>
          <w:right w:w="0" w:type="dxa"/>
        </w:tblCellMar>
      </w:tblPr>
      <w:tr>
        <w:trPr>
          <w:trHeight w:val="285"/>
        </w:trPr>
        <w:tc>
          <w:tcPr>
            <w:tcW w:w="3880" w:type="dxa"/>
            <w:vAlign w:val="bottom"/>
            <w:tcBorders>
              <w:top w:val="single" w:sz="8" w:color="auto"/>
              <w:left w:val="single" w:sz="8" w:color="auto"/>
              <w:bottom w:val="single" w:sz="8" w:color="auto"/>
            </w:tcBorders>
          </w:tcPr>
          <w:p>
            <w:pPr>
              <w:jc w:val="center"/>
              <w:ind w:left="2032"/>
              <w:spacing w:after="0"/>
              <w:rPr>
                <w:sz w:val="20"/>
                <w:szCs w:val="20"/>
                <w:color w:val="auto"/>
              </w:rPr>
            </w:pPr>
            <w:r>
              <w:rPr>
                <w:rFonts w:ascii="Arial" w:cs="Arial" w:eastAsia="Arial" w:hAnsi="Arial"/>
                <w:sz w:val="22"/>
                <w:szCs w:val="22"/>
                <w:b w:val="1"/>
                <w:bCs w:val="1"/>
                <w:color w:val="auto"/>
                <w:w w:val="92"/>
              </w:rPr>
              <w:t>ROCE Delta (bps)</w:t>
            </w:r>
          </w:p>
        </w:tc>
        <w:tc>
          <w:tcPr>
            <w:tcW w:w="2140" w:type="dxa"/>
            <w:vAlign w:val="bottom"/>
            <w:tcBorders>
              <w:top w:val="single" w:sz="8" w:color="auto"/>
              <w:bottom w:val="single" w:sz="8" w:color="auto"/>
              <w:right w:val="single" w:sz="8" w:color="auto"/>
            </w:tcBorders>
          </w:tcPr>
          <w:p>
            <w:pPr>
              <w:spacing w:after="0"/>
              <w:rPr>
                <w:sz w:val="24"/>
                <w:szCs w:val="24"/>
                <w:color w:val="auto"/>
              </w:rPr>
            </w:pPr>
          </w:p>
        </w:tc>
        <w:tc>
          <w:tcPr>
            <w:tcW w:w="5220" w:type="dxa"/>
            <w:vAlign w:val="bottom"/>
            <w:tcBorders>
              <w:top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22"/>
                <w:szCs w:val="22"/>
                <w:b w:val="1"/>
                <w:bCs w:val="1"/>
                <w:color w:val="auto"/>
                <w:w w:val="93"/>
              </w:rPr>
              <w:t>Payout Factor for Vested Performance Share Units</w:t>
            </w:r>
          </w:p>
        </w:tc>
      </w:tr>
      <w:tr>
        <w:trPr>
          <w:trHeight w:val="273"/>
        </w:trPr>
        <w:tc>
          <w:tcPr>
            <w:tcW w:w="3880" w:type="dxa"/>
            <w:vAlign w:val="bottom"/>
            <w:tcBorders>
              <w:left w:val="single" w:sz="8" w:color="auto"/>
            </w:tcBorders>
          </w:tcPr>
          <w:p>
            <w:pPr>
              <w:jc w:val="center"/>
              <w:ind w:left="1332"/>
              <w:spacing w:after="0"/>
              <w:rPr>
                <w:sz w:val="20"/>
                <w:szCs w:val="20"/>
                <w:color w:val="auto"/>
              </w:rPr>
            </w:pPr>
            <w:r>
              <w:rPr>
                <w:rFonts w:ascii="Arial" w:cs="Arial" w:eastAsia="Arial" w:hAnsi="Arial"/>
                <w:sz w:val="22"/>
                <w:szCs w:val="22"/>
                <w:color w:val="auto"/>
                <w:w w:val="88"/>
              </w:rPr>
              <w:t>Less than or equal to -[</w:t>
            </w:r>
          </w:p>
        </w:tc>
        <w:tc>
          <w:tcPr>
            <w:tcW w:w="214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 bps</w:t>
            </w:r>
          </w:p>
        </w:tc>
        <w:tc>
          <w:tcPr>
            <w:tcW w:w="20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140" w:type="dxa"/>
            <w:vAlign w:val="bottom"/>
            <w:tcBorders>
              <w:right w:val="single" w:sz="8" w:color="auto"/>
            </w:tcBorders>
          </w:tcPr>
          <w:p>
            <w:pPr>
              <w:ind w:left="140"/>
              <w:spacing w:after="0"/>
              <w:rPr>
                <w:sz w:val="20"/>
                <w:szCs w:val="20"/>
                <w:color w:val="auto"/>
              </w:rPr>
            </w:pPr>
            <w:r>
              <w:rPr>
                <w:rFonts w:ascii="Arial" w:cs="Arial" w:eastAsia="Arial" w:hAnsi="Arial"/>
                <w:sz w:val="22"/>
                <w:szCs w:val="22"/>
                <w:color w:val="auto"/>
              </w:rPr>
              <w:t>]% of Target</w:t>
            </w:r>
          </w:p>
        </w:tc>
      </w:tr>
      <w:tr>
        <w:trPr>
          <w:trHeight w:val="23"/>
        </w:trPr>
        <w:tc>
          <w:tcPr>
            <w:tcW w:w="3880" w:type="dxa"/>
            <w:vAlign w:val="bottom"/>
            <w:tcBorders>
              <w:left w:val="single" w:sz="8" w:color="auto"/>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3880" w:type="dxa"/>
            <w:vAlign w:val="bottom"/>
            <w:tcBorders>
              <w:left w:val="single" w:sz="8" w:color="auto"/>
            </w:tcBorders>
          </w:tcPr>
          <w:p>
            <w:pPr>
              <w:jc w:val="center"/>
              <w:ind w:left="2032"/>
              <w:spacing w:after="0"/>
              <w:rPr>
                <w:sz w:val="20"/>
                <w:szCs w:val="20"/>
                <w:color w:val="auto"/>
              </w:rPr>
            </w:pPr>
            <w:r>
              <w:rPr>
                <w:rFonts w:ascii="Arial" w:cs="Arial" w:eastAsia="Arial" w:hAnsi="Arial"/>
                <w:sz w:val="22"/>
                <w:szCs w:val="22"/>
                <w:color w:val="auto"/>
                <w:w w:val="96"/>
              </w:rPr>
              <w:t>Equal to [   ] bps</w:t>
            </w:r>
          </w:p>
        </w:tc>
        <w:tc>
          <w:tcPr>
            <w:tcW w:w="2140" w:type="dxa"/>
            <w:vAlign w:val="bottom"/>
            <w:tcBorders>
              <w:right w:val="single" w:sz="8" w:color="auto"/>
            </w:tcBorders>
          </w:tcPr>
          <w:p>
            <w:pPr>
              <w:spacing w:after="0"/>
              <w:rPr>
                <w:sz w:val="23"/>
                <w:szCs w:val="23"/>
                <w:color w:val="auto"/>
              </w:rPr>
            </w:pPr>
          </w:p>
        </w:tc>
        <w:tc>
          <w:tcPr>
            <w:tcW w:w="20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140" w:type="dxa"/>
            <w:vAlign w:val="bottom"/>
            <w:tcBorders>
              <w:right w:val="single" w:sz="8" w:color="auto"/>
            </w:tcBorders>
          </w:tcPr>
          <w:p>
            <w:pPr>
              <w:ind w:left="140"/>
              <w:spacing w:after="0"/>
              <w:rPr>
                <w:sz w:val="20"/>
                <w:szCs w:val="20"/>
                <w:color w:val="auto"/>
              </w:rPr>
            </w:pPr>
            <w:r>
              <w:rPr>
                <w:rFonts w:ascii="Arial" w:cs="Arial" w:eastAsia="Arial" w:hAnsi="Arial"/>
                <w:sz w:val="22"/>
                <w:szCs w:val="22"/>
                <w:color w:val="auto"/>
              </w:rPr>
              <w:t>]% of Target</w:t>
            </w:r>
          </w:p>
        </w:tc>
      </w:tr>
      <w:tr>
        <w:trPr>
          <w:trHeight w:val="23"/>
        </w:trPr>
        <w:tc>
          <w:tcPr>
            <w:tcW w:w="3880" w:type="dxa"/>
            <w:vAlign w:val="bottom"/>
            <w:tcBorders>
              <w:left w:val="single" w:sz="8" w:color="auto"/>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3880" w:type="dxa"/>
            <w:vAlign w:val="bottom"/>
            <w:tcBorders>
              <w:left w:val="single" w:sz="8" w:color="auto"/>
            </w:tcBorders>
          </w:tcPr>
          <w:p>
            <w:pPr>
              <w:jc w:val="center"/>
              <w:ind w:left="1312"/>
              <w:spacing w:after="0"/>
              <w:rPr>
                <w:sz w:val="20"/>
                <w:szCs w:val="20"/>
                <w:color w:val="auto"/>
              </w:rPr>
            </w:pPr>
            <w:r>
              <w:rPr>
                <w:rFonts w:ascii="Arial" w:cs="Arial" w:eastAsia="Arial" w:hAnsi="Arial"/>
                <w:sz w:val="22"/>
                <w:szCs w:val="22"/>
                <w:color w:val="auto"/>
                <w:w w:val="88"/>
              </w:rPr>
              <w:t>Greater than or equal to [</w:t>
            </w:r>
          </w:p>
        </w:tc>
        <w:tc>
          <w:tcPr>
            <w:tcW w:w="2140" w:type="dxa"/>
            <w:vAlign w:val="bottom"/>
            <w:tcBorders>
              <w:right w:val="single" w:sz="8" w:color="auto"/>
            </w:tcBorders>
          </w:tcPr>
          <w:p>
            <w:pPr>
              <w:ind w:left="140"/>
              <w:spacing w:after="0"/>
              <w:rPr>
                <w:sz w:val="20"/>
                <w:szCs w:val="20"/>
                <w:color w:val="auto"/>
              </w:rPr>
            </w:pPr>
            <w:r>
              <w:rPr>
                <w:rFonts w:ascii="Arial" w:cs="Arial" w:eastAsia="Arial" w:hAnsi="Arial"/>
                <w:sz w:val="22"/>
                <w:szCs w:val="22"/>
                <w:color w:val="auto"/>
              </w:rPr>
              <w:t>] bps</w:t>
            </w:r>
          </w:p>
        </w:tc>
        <w:tc>
          <w:tcPr>
            <w:tcW w:w="20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140" w:type="dxa"/>
            <w:vAlign w:val="bottom"/>
            <w:tcBorders>
              <w:right w:val="single" w:sz="8" w:color="auto"/>
            </w:tcBorders>
          </w:tcPr>
          <w:p>
            <w:pPr>
              <w:ind w:left="140"/>
              <w:spacing w:after="0"/>
              <w:rPr>
                <w:sz w:val="20"/>
                <w:szCs w:val="20"/>
                <w:color w:val="auto"/>
              </w:rPr>
            </w:pPr>
            <w:r>
              <w:rPr>
                <w:rFonts w:ascii="Arial" w:cs="Arial" w:eastAsia="Arial" w:hAnsi="Arial"/>
                <w:sz w:val="22"/>
                <w:szCs w:val="22"/>
                <w:color w:val="auto"/>
              </w:rPr>
              <w:t>]% of Target</w:t>
            </w:r>
          </w:p>
        </w:tc>
      </w:tr>
      <w:tr>
        <w:trPr>
          <w:trHeight w:val="23"/>
        </w:trPr>
        <w:tc>
          <w:tcPr>
            <w:tcW w:w="3880" w:type="dxa"/>
            <w:vAlign w:val="bottom"/>
            <w:tcBorders>
              <w:left w:val="single" w:sz="8" w:color="auto"/>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 for Potential Turbo Effect</w:t>
      </w:r>
    </w:p>
    <w:p>
      <w:pPr>
        <w:spacing w:after="0" w:line="212" w:lineRule="exact"/>
        <w:rPr>
          <w:sz w:val="20"/>
          <w:szCs w:val="20"/>
          <w:color w:val="auto"/>
        </w:rPr>
      </w:pPr>
    </w:p>
    <w:p>
      <w:pPr>
        <w:ind w:left="880"/>
        <w:spacing w:after="0"/>
        <w:tabs>
          <w:tab w:leader="none" w:pos="10380" w:val="left"/>
        </w:tabs>
        <w:rPr>
          <w:sz w:val="20"/>
          <w:szCs w:val="20"/>
          <w:color w:val="auto"/>
        </w:rPr>
      </w:pPr>
      <w:r>
        <w:rPr>
          <w:rFonts w:ascii="Arial" w:cs="Arial" w:eastAsia="Arial" w:hAnsi="Arial"/>
          <w:sz w:val="21"/>
          <w:szCs w:val="21"/>
          <w:color w:val="auto"/>
        </w:rPr>
        <w:t>In the event that (i) the annual ROCE achieved by the Company for the 2023 calendar year is greater than [</w:t>
      </w:r>
      <w:r>
        <w:rPr>
          <w:sz w:val="20"/>
          <w:szCs w:val="20"/>
          <w:color w:val="auto"/>
        </w:rPr>
        <w:tab/>
      </w:r>
      <w:r>
        <w:rPr>
          <w:rFonts w:ascii="Arial" w:cs="Arial" w:eastAsia="Arial" w:hAnsi="Arial"/>
          <w:sz w:val="19"/>
          <w:szCs w:val="19"/>
          <w:color w:val="auto"/>
        </w:rPr>
        <w:t>]% and</w:t>
      </w:r>
    </w:p>
    <w:p>
      <w:pPr>
        <w:spacing w:after="0" w:line="20" w:lineRule="exact"/>
        <w:rPr>
          <w:sz w:val="20"/>
          <w:szCs w:val="20"/>
          <w:color w:val="auto"/>
        </w:rPr>
      </w:pPr>
    </w:p>
    <w:p>
      <w:pPr>
        <w:ind w:right="40" w:firstLine="8"/>
        <w:spacing w:after="0" w:line="233" w:lineRule="auto"/>
        <w:tabs>
          <w:tab w:leader="none" w:pos="318"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ROCE Delta is greater than [ ] bps, then the “Turbo Effect” will be applicable, and the Committee is authorized to vest the number of Performance Share Units at the Payout Factor based on Table 2 below in lieu of Table 1. The Payout Factor for ROCE achievement levels between points on this chart will be determined by linear interpolation between the values listed. The maximum payout of Performance Share Units will remain [ ]% of the Target Performance Share Units, even if determined after applying the Turbo Effect.</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Table 2</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(Applicable if conditions for Turbo Effect are met)</w:t>
      </w:r>
    </w:p>
    <w:p>
      <w:pPr>
        <w:spacing w:after="0" w:line="17" w:lineRule="exact"/>
        <w:rPr>
          <w:sz w:val="20"/>
          <w:szCs w:val="20"/>
          <w:color w:val="auto"/>
        </w:rPr>
      </w:pPr>
    </w:p>
    <w:tbl>
      <w:tblPr>
        <w:tblLayout w:type="fixed"/>
        <w:tblInd w:w="90" w:type="dxa"/>
        <w:tblCellMar>
          <w:top w:w="0" w:type="dxa"/>
          <w:left w:w="0" w:type="dxa"/>
          <w:bottom w:w="0" w:type="dxa"/>
          <w:right w:w="0" w:type="dxa"/>
        </w:tblCellMar>
      </w:tblPr>
      <w:tr>
        <w:trPr>
          <w:trHeight w:val="285"/>
        </w:trPr>
        <w:tc>
          <w:tcPr>
            <w:tcW w:w="5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ROCE Delta (bps)</w:t>
            </w:r>
          </w:p>
        </w:tc>
        <w:tc>
          <w:tcPr>
            <w:tcW w:w="518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Arial" w:cs="Arial" w:eastAsia="Arial" w:hAnsi="Arial"/>
                <w:sz w:val="22"/>
                <w:szCs w:val="22"/>
                <w:b w:val="1"/>
                <w:bCs w:val="1"/>
                <w:color w:val="auto"/>
                <w:w w:val="92"/>
              </w:rPr>
              <w:t>Payout Factor for Vested Performance Share Units</w:t>
            </w:r>
          </w:p>
        </w:tc>
      </w:tr>
      <w:tr>
        <w:trPr>
          <w:trHeight w:val="273"/>
        </w:trPr>
        <w:tc>
          <w:tcPr>
            <w:tcW w:w="5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Equal to [   ] bps</w:t>
            </w:r>
          </w:p>
        </w:tc>
        <w:tc>
          <w:tcPr>
            <w:tcW w:w="20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3120" w:type="dxa"/>
            <w:vAlign w:val="bottom"/>
            <w:tcBorders>
              <w:right w:val="single" w:sz="8" w:color="auto"/>
            </w:tcBorders>
          </w:tcPr>
          <w:p>
            <w:pPr>
              <w:ind w:left="140"/>
              <w:spacing w:after="0"/>
              <w:rPr>
                <w:sz w:val="20"/>
                <w:szCs w:val="20"/>
                <w:color w:val="auto"/>
              </w:rPr>
            </w:pPr>
            <w:r>
              <w:rPr>
                <w:rFonts w:ascii="Arial" w:cs="Arial" w:eastAsia="Arial" w:hAnsi="Arial"/>
                <w:sz w:val="22"/>
                <w:szCs w:val="22"/>
                <w:color w:val="auto"/>
              </w:rPr>
              <w:t>]% of Target</w:t>
            </w:r>
          </w:p>
        </w:tc>
      </w:tr>
      <w:tr>
        <w:trPr>
          <w:trHeight w:val="23"/>
        </w:trPr>
        <w:tc>
          <w:tcPr>
            <w:tcW w:w="5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Greater than or equal to [   ] bps</w:t>
            </w:r>
          </w:p>
        </w:tc>
        <w:tc>
          <w:tcPr>
            <w:tcW w:w="20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3120" w:type="dxa"/>
            <w:vAlign w:val="bottom"/>
            <w:tcBorders>
              <w:right w:val="single" w:sz="8" w:color="auto"/>
            </w:tcBorders>
          </w:tcPr>
          <w:p>
            <w:pPr>
              <w:ind w:left="140"/>
              <w:spacing w:after="0"/>
              <w:rPr>
                <w:sz w:val="20"/>
                <w:szCs w:val="20"/>
                <w:color w:val="auto"/>
              </w:rPr>
            </w:pPr>
            <w:r>
              <w:rPr>
                <w:rFonts w:ascii="Arial" w:cs="Arial" w:eastAsia="Arial" w:hAnsi="Arial"/>
                <w:sz w:val="22"/>
                <w:szCs w:val="22"/>
                <w:color w:val="auto"/>
              </w:rPr>
              <w:t>]% of Target</w:t>
            </w:r>
          </w:p>
        </w:tc>
      </w:tr>
      <w:tr>
        <w:trPr>
          <w:trHeight w:val="23"/>
        </w:trPr>
        <w:tc>
          <w:tcPr>
            <w:tcW w:w="5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effect of the potential enhancement from the Turbo Effect is illustrated in the chart below.</w:t>
      </w:r>
    </w:p>
    <w:p>
      <w:pPr>
        <w:spacing w:after="0" w:line="20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[redacted]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Interpretation</w:t>
      </w:r>
    </w:p>
    <w:p>
      <w:pPr>
        <w:spacing w:after="0" w:line="206"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In the event of any ambiguity or discrepancy in this Agreement (including this Attachment I), the determination of the Committee shall be final and binding.</w:t>
      </w:r>
    </w:p>
    <w:p>
      <w:pPr>
        <w:spacing w:after="0" w:line="200" w:lineRule="exact"/>
        <w:rPr>
          <w:sz w:val="20"/>
          <w:szCs w:val="20"/>
          <w:color w:val="auto"/>
        </w:rPr>
      </w:pPr>
    </w:p>
    <w:p>
      <w:pPr>
        <w:spacing w:after="0" w:line="35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ATTACHMENT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spacing w:after="0"/>
        <w:rPr>
          <w:sz w:val="20"/>
          <w:szCs w:val="20"/>
          <w:color w:val="auto"/>
        </w:rPr>
      </w:pPr>
      <w:r>
        <w:rPr>
          <w:rFonts w:ascii="Arial" w:cs="Arial" w:eastAsia="Arial" w:hAnsi="Arial"/>
          <w:sz w:val="22"/>
          <w:szCs w:val="22"/>
          <w:b w:val="1"/>
          <w:bCs w:val="1"/>
          <w:color w:val="auto"/>
        </w:rPr>
        <w:t>Non-Compete and Non-Solicitation Agreement</w:t>
      </w:r>
    </w:p>
    <w:p>
      <w:pPr>
        <w:spacing w:after="0" w:line="188" w:lineRule="exact"/>
        <w:rPr>
          <w:sz w:val="20"/>
          <w:szCs w:val="20"/>
          <w:color w:val="auto"/>
        </w:rPr>
      </w:pPr>
    </w:p>
    <w:p>
      <w:pPr>
        <w:ind w:left="1680" w:hanging="808"/>
        <w:spacing w:after="0"/>
        <w:tabs>
          <w:tab w:leader="none" w:pos="168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tabs>
          <w:tab w:leader="none" w:pos="1751" w:val="left"/>
        </w:tabs>
        <w:numPr>
          <w:ilvl w:val="0"/>
          <w:numId w:val="56"/>
        </w:numPr>
        <w:rPr>
          <w:rFonts w:ascii="Arial" w:cs="Arial" w:eastAsia="Arial" w:hAnsi="Arial"/>
          <w:sz w:val="22"/>
          <w:szCs w:val="22"/>
          <w:color w:val="auto"/>
        </w:rPr>
      </w:pPr>
      <w:r>
        <w:rPr>
          <w:rFonts w:ascii="Arial" w:cs="Arial" w:eastAsia="Arial" w:hAnsi="Arial"/>
          <w:sz w:val="22"/>
          <w:szCs w:val="22"/>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86" w:lineRule="exact"/>
        <w:rPr>
          <w:rFonts w:ascii="Arial" w:cs="Arial" w:eastAsia="Arial" w:hAnsi="Arial"/>
          <w:sz w:val="22"/>
          <w:szCs w:val="22"/>
          <w:color w:val="auto"/>
        </w:rPr>
      </w:pPr>
    </w:p>
    <w:p>
      <w:pPr>
        <w:jc w:val="both"/>
        <w:ind w:firstLine="872"/>
        <w:spacing w:after="0" w:line="272" w:lineRule="auto"/>
        <w:tabs>
          <w:tab w:leader="none" w:pos="1763" w:val="left"/>
        </w:tabs>
        <w:numPr>
          <w:ilvl w:val="0"/>
          <w:numId w:val="56"/>
        </w:numPr>
        <w:rPr>
          <w:rFonts w:ascii="Arial" w:cs="Arial" w:eastAsia="Arial" w:hAnsi="Arial"/>
          <w:sz w:val="19"/>
          <w:szCs w:val="19"/>
          <w:color w:val="auto"/>
        </w:rPr>
      </w:pPr>
      <w:r>
        <w:rPr>
          <w:rFonts w:ascii="Arial" w:cs="Arial" w:eastAsia="Arial" w:hAnsi="Arial"/>
          <w:sz w:val="19"/>
          <w:szCs w:val="19"/>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55" w:lineRule="exact"/>
        <w:rPr>
          <w:rFonts w:ascii="Arial" w:cs="Arial" w:eastAsia="Arial" w:hAnsi="Arial"/>
          <w:sz w:val="19"/>
          <w:szCs w:val="19"/>
          <w:color w:val="auto"/>
        </w:rPr>
      </w:pPr>
    </w:p>
    <w:p>
      <w:pPr>
        <w:jc w:val="both"/>
        <w:ind w:firstLine="872"/>
        <w:spacing w:after="0" w:line="274" w:lineRule="auto"/>
        <w:tabs>
          <w:tab w:leader="none" w:pos="1751" w:val="left"/>
        </w:tabs>
        <w:numPr>
          <w:ilvl w:val="0"/>
          <w:numId w:val="56"/>
        </w:numPr>
        <w:rPr>
          <w:rFonts w:ascii="Arial" w:cs="Arial" w:eastAsia="Arial" w:hAnsi="Arial"/>
          <w:sz w:val="19"/>
          <w:szCs w:val="19"/>
          <w:color w:val="auto"/>
        </w:rPr>
      </w:pPr>
      <w:r>
        <w:rPr>
          <w:rFonts w:ascii="Arial" w:cs="Arial" w:eastAsia="Arial" w:hAnsi="Arial"/>
          <w:sz w:val="19"/>
          <w:szCs w:val="19"/>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58" w:lineRule="exact"/>
        <w:rPr>
          <w:rFonts w:ascii="Arial" w:cs="Arial" w:eastAsia="Arial" w:hAnsi="Arial"/>
          <w:sz w:val="19"/>
          <w:szCs w:val="19"/>
          <w:color w:val="auto"/>
        </w:rPr>
      </w:pPr>
    </w:p>
    <w:p>
      <w:pPr>
        <w:jc w:val="both"/>
        <w:ind w:firstLine="872"/>
        <w:spacing w:after="0"/>
        <w:tabs>
          <w:tab w:leader="none" w:pos="1763"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“Intellectual Property” is all patents, trademarks, copyrights, trade secrets, Company Confidential Information, new or useful arts, ideas, discoveries, inventions, improvements, software, business information, lists, designs, drawings, writings, contributions,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8" w:name="page39"/>
    <w:bookmarkEnd w:id="38"/>
    <w:p>
      <w:pPr>
        <w:jc w:val="both"/>
        <w:spacing w:after="0" w:line="238" w:lineRule="auto"/>
        <w:rPr>
          <w:sz w:val="20"/>
          <w:szCs w:val="20"/>
          <w:color w:val="auto"/>
        </w:rPr>
      </w:pPr>
      <w:r>
        <w:rPr>
          <w:rFonts w:ascii="Arial" w:cs="Arial" w:eastAsia="Arial" w:hAnsi="Arial"/>
          <w:sz w:val="22"/>
          <w:szCs w:val="22"/>
          <w:color w:val="auto"/>
        </w:rPr>
        <w:t>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85" w:lineRule="exact"/>
        <w:rPr>
          <w:sz w:val="20"/>
          <w:szCs w:val="20"/>
          <w:color w:val="auto"/>
        </w:rPr>
      </w:pPr>
    </w:p>
    <w:p>
      <w:pPr>
        <w:ind w:firstLine="872"/>
        <w:spacing w:after="0" w:line="328" w:lineRule="auto"/>
        <w:tabs>
          <w:tab w:leader="none" w:pos="1751" w:val="left"/>
        </w:tabs>
        <w:numPr>
          <w:ilvl w:val="1"/>
          <w:numId w:val="57"/>
        </w:numPr>
        <w:rPr>
          <w:rFonts w:ascii="Arial" w:cs="Arial" w:eastAsia="Arial" w:hAnsi="Arial"/>
          <w:sz w:val="19"/>
          <w:szCs w:val="19"/>
          <w:color w:val="auto"/>
        </w:rPr>
      </w:pPr>
      <w:r>
        <w:rPr>
          <w:rFonts w:ascii="Arial" w:cs="Arial" w:eastAsia="Arial" w:hAnsi="Arial"/>
          <w:sz w:val="19"/>
          <w:szCs w:val="19"/>
          <w:color w:val="auto"/>
        </w:rPr>
        <w:t>“Pre-existing Intellectual Property” is all Intellectual Property that was authored, conceived, developed, or reduced to practice by Employee before the term of Employee’s employment with the Company or any Affiliate began.</w:t>
      </w:r>
    </w:p>
    <w:p>
      <w:pPr>
        <w:spacing w:after="0" w:line="104" w:lineRule="exact"/>
        <w:rPr>
          <w:rFonts w:ascii="Arial" w:cs="Arial" w:eastAsia="Arial" w:hAnsi="Arial"/>
          <w:sz w:val="19"/>
          <w:szCs w:val="19"/>
          <w:color w:val="auto"/>
        </w:rPr>
      </w:pPr>
    </w:p>
    <w:p>
      <w:pPr>
        <w:jc w:val="both"/>
        <w:ind w:left="220" w:firstLine="639"/>
        <w:spacing w:after="0" w:line="238" w:lineRule="auto"/>
        <w:tabs>
          <w:tab w:leader="none" w:pos="166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Codes of Conduct</w:t>
      </w:r>
      <w:r>
        <w:rPr>
          <w:rFonts w:ascii="Arial" w:cs="Arial" w:eastAsia="Arial" w:hAnsi="Arial"/>
          <w:sz w:val="22"/>
          <w:szCs w:val="22"/>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85" w:lineRule="exact"/>
        <w:rPr>
          <w:sz w:val="20"/>
          <w:szCs w:val="20"/>
          <w:color w:val="auto"/>
        </w:rPr>
      </w:pPr>
    </w:p>
    <w:p>
      <w:pPr>
        <w:ind w:left="1680" w:hanging="808"/>
        <w:spacing w:after="0"/>
        <w:tabs>
          <w:tab w:leader="none" w:pos="168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p>
    <w:p>
      <w:pPr>
        <w:spacing w:after="0" w:line="206" w:lineRule="exact"/>
        <w:rPr>
          <w:sz w:val="20"/>
          <w:szCs w:val="20"/>
          <w:color w:val="auto"/>
        </w:rPr>
      </w:pPr>
    </w:p>
    <w:p>
      <w:pPr>
        <w:jc w:val="both"/>
        <w:ind w:firstLine="872"/>
        <w:spacing w:after="0" w:line="234" w:lineRule="auto"/>
        <w:tabs>
          <w:tab w:leader="none" w:pos="1751"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90" w:lineRule="exact"/>
        <w:rPr>
          <w:rFonts w:ascii="Arial" w:cs="Arial" w:eastAsia="Arial" w:hAnsi="Arial"/>
          <w:sz w:val="22"/>
          <w:szCs w:val="22"/>
          <w:color w:val="auto"/>
        </w:rPr>
      </w:pPr>
    </w:p>
    <w:p>
      <w:pPr>
        <w:jc w:val="both"/>
        <w:ind w:firstLine="872"/>
        <w:spacing w:after="0"/>
        <w:tabs>
          <w:tab w:leader="none" w:pos="1763" w:val="left"/>
        </w:tabs>
        <w:numPr>
          <w:ilvl w:val="0"/>
          <w:numId w:val="60"/>
        </w:numPr>
        <w:rPr>
          <w:rFonts w:ascii="Arial" w:cs="Arial" w:eastAsia="Arial" w:hAnsi="Arial"/>
          <w:sz w:val="22"/>
          <w:szCs w:val="22"/>
          <w:color w:val="auto"/>
        </w:rPr>
      </w:pPr>
      <w:r>
        <w:rPr>
          <w:rFonts w:ascii="Arial" w:cs="Arial" w:eastAsia="Arial" w:hAnsi="Arial"/>
          <w:sz w:val="22"/>
          <w:szCs w:val="22"/>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86" w:lineRule="exact"/>
        <w:rPr>
          <w:rFonts w:ascii="Arial" w:cs="Arial" w:eastAsia="Arial" w:hAnsi="Arial"/>
          <w:sz w:val="22"/>
          <w:szCs w:val="22"/>
          <w:color w:val="auto"/>
        </w:rPr>
      </w:pPr>
    </w:p>
    <w:p>
      <w:pPr>
        <w:jc w:val="both"/>
        <w:ind w:firstLine="872"/>
        <w:spacing w:after="0" w:line="236" w:lineRule="auto"/>
        <w:tabs>
          <w:tab w:leader="none" w:pos="1751" w:val="left"/>
        </w:tabs>
        <w:numPr>
          <w:ilvl w:val="0"/>
          <w:numId w:val="60"/>
        </w:numPr>
        <w:rPr>
          <w:rFonts w:ascii="Arial" w:cs="Arial" w:eastAsia="Arial" w:hAnsi="Arial"/>
          <w:sz w:val="22"/>
          <w:szCs w:val="22"/>
          <w:color w:val="auto"/>
        </w:rPr>
      </w:pPr>
      <w:r>
        <w:rPr>
          <w:rFonts w:ascii="Arial" w:cs="Arial" w:eastAsia="Arial" w:hAnsi="Arial"/>
          <w:sz w:val="22"/>
          <w:szCs w:val="22"/>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87" w:lineRule="exact"/>
        <w:rPr>
          <w:rFonts w:ascii="Arial" w:cs="Arial" w:eastAsia="Arial" w:hAnsi="Arial"/>
          <w:sz w:val="22"/>
          <w:szCs w:val="22"/>
          <w:color w:val="auto"/>
        </w:rPr>
      </w:pPr>
    </w:p>
    <w:p>
      <w:pPr>
        <w:jc w:val="both"/>
        <w:ind w:firstLine="872"/>
        <w:spacing w:after="0" w:line="234" w:lineRule="auto"/>
        <w:tabs>
          <w:tab w:leader="none" w:pos="1763" w:val="left"/>
        </w:tabs>
        <w:numPr>
          <w:ilvl w:val="0"/>
          <w:numId w:val="60"/>
        </w:numPr>
        <w:rPr>
          <w:rFonts w:ascii="Arial" w:cs="Arial" w:eastAsia="Arial" w:hAnsi="Arial"/>
          <w:sz w:val="22"/>
          <w:szCs w:val="22"/>
          <w:color w:val="auto"/>
        </w:rPr>
      </w:pPr>
      <w:r>
        <w:rPr>
          <w:rFonts w:ascii="Arial" w:cs="Arial" w:eastAsia="Arial" w:hAnsi="Arial"/>
          <w:sz w:val="22"/>
          <w:szCs w:val="22"/>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13</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9" w:name="page40"/>
    <w:bookmarkEnd w:id="39"/>
    <w:p>
      <w:pPr>
        <w:spacing w:after="0"/>
        <w:rPr>
          <w:sz w:val="20"/>
          <w:szCs w:val="20"/>
          <w:color w:val="auto"/>
        </w:rPr>
      </w:pPr>
      <w:r>
        <w:rPr>
          <w:rFonts w:ascii="Arial" w:cs="Arial" w:eastAsia="Arial" w:hAnsi="Arial"/>
          <w:sz w:val="19"/>
          <w:szCs w:val="19"/>
          <w:color w:val="auto"/>
        </w:rPr>
        <w:t>similar media or means of transmitting, storing or archiving data outside systems supported by the Company or its Affiliate.</w:t>
      </w:r>
    </w:p>
    <w:p>
      <w:pPr>
        <w:spacing w:after="0" w:line="241" w:lineRule="exact"/>
        <w:rPr>
          <w:sz w:val="20"/>
          <w:szCs w:val="20"/>
          <w:color w:val="auto"/>
        </w:rPr>
      </w:pPr>
    </w:p>
    <w:p>
      <w:pPr>
        <w:jc w:val="both"/>
        <w:ind w:firstLine="872"/>
        <w:spacing w:after="0" w:line="236" w:lineRule="auto"/>
        <w:tabs>
          <w:tab w:leader="none" w:pos="1751" w:val="left"/>
        </w:tabs>
        <w:numPr>
          <w:ilvl w:val="0"/>
          <w:numId w:val="61"/>
        </w:numPr>
        <w:rPr>
          <w:rFonts w:ascii="Arial" w:cs="Arial" w:eastAsia="Arial" w:hAnsi="Arial"/>
          <w:sz w:val="22"/>
          <w:szCs w:val="22"/>
          <w:color w:val="auto"/>
        </w:rPr>
      </w:pPr>
      <w:r>
        <w:rPr>
          <w:rFonts w:ascii="Arial" w:cs="Arial" w:eastAsia="Arial" w:hAnsi="Arial"/>
          <w:sz w:val="22"/>
          <w:szCs w:val="22"/>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87" w:lineRule="exact"/>
        <w:rPr>
          <w:rFonts w:ascii="Arial" w:cs="Arial" w:eastAsia="Arial" w:hAnsi="Arial"/>
          <w:sz w:val="22"/>
          <w:szCs w:val="22"/>
          <w:color w:val="auto"/>
        </w:rPr>
      </w:pPr>
    </w:p>
    <w:p>
      <w:pPr>
        <w:jc w:val="both"/>
        <w:ind w:firstLine="872"/>
        <w:spacing w:after="0"/>
        <w:tabs>
          <w:tab w:leader="none" w:pos="1727" w:val="left"/>
        </w:tabs>
        <w:numPr>
          <w:ilvl w:val="0"/>
          <w:numId w:val="61"/>
        </w:numPr>
        <w:rPr>
          <w:rFonts w:ascii="Arial" w:cs="Arial" w:eastAsia="Arial" w:hAnsi="Arial"/>
          <w:sz w:val="22"/>
          <w:szCs w:val="22"/>
          <w:color w:val="auto"/>
        </w:rPr>
      </w:pPr>
      <w:r>
        <w:rPr>
          <w:rFonts w:ascii="Arial" w:cs="Arial" w:eastAsia="Arial" w:hAnsi="Arial"/>
          <w:sz w:val="22"/>
          <w:szCs w:val="22"/>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86" w:lineRule="exact"/>
        <w:rPr>
          <w:sz w:val="20"/>
          <w:szCs w:val="20"/>
          <w:color w:val="auto"/>
        </w:rPr>
      </w:pPr>
    </w:p>
    <w:p>
      <w:pPr>
        <w:ind w:left="1680" w:hanging="808"/>
        <w:spacing w:after="0"/>
        <w:tabs>
          <w:tab w:leader="none" w:pos="168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Disclosure of Intellectual Property.</w:t>
      </w:r>
    </w:p>
    <w:p>
      <w:pPr>
        <w:spacing w:after="0" w:line="206" w:lineRule="exact"/>
        <w:rPr>
          <w:sz w:val="20"/>
          <w:szCs w:val="20"/>
          <w:color w:val="auto"/>
        </w:rPr>
      </w:pPr>
    </w:p>
    <w:p>
      <w:pPr>
        <w:jc w:val="both"/>
        <w:ind w:firstLine="872"/>
        <w:spacing w:after="0" w:line="246" w:lineRule="auto"/>
        <w:tabs>
          <w:tab w:leader="none" w:pos="1751" w:val="left"/>
        </w:tabs>
        <w:numPr>
          <w:ilvl w:val="0"/>
          <w:numId w:val="63"/>
        </w:numPr>
        <w:rPr>
          <w:rFonts w:ascii="Arial" w:cs="Arial" w:eastAsia="Arial" w:hAnsi="Arial"/>
          <w:sz w:val="21"/>
          <w:szCs w:val="21"/>
          <w:color w:val="auto"/>
        </w:rPr>
      </w:pPr>
      <w:r>
        <w:rPr>
          <w:rFonts w:ascii="Arial" w:cs="Arial" w:eastAsia="Arial" w:hAnsi="Arial"/>
          <w:sz w:val="21"/>
          <w:szCs w:val="21"/>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9" w:lineRule="exact"/>
        <w:rPr>
          <w:rFonts w:ascii="Arial" w:cs="Arial" w:eastAsia="Arial" w:hAnsi="Arial"/>
          <w:sz w:val="21"/>
          <w:szCs w:val="21"/>
          <w:color w:val="auto"/>
        </w:rPr>
      </w:pPr>
    </w:p>
    <w:p>
      <w:pPr>
        <w:jc w:val="both"/>
        <w:ind w:firstLine="872"/>
        <w:spacing w:after="0" w:line="277" w:lineRule="auto"/>
        <w:tabs>
          <w:tab w:leader="none" w:pos="1763" w:val="left"/>
        </w:tabs>
        <w:numPr>
          <w:ilvl w:val="0"/>
          <w:numId w:val="63"/>
        </w:numPr>
        <w:rPr>
          <w:rFonts w:ascii="Arial" w:cs="Arial" w:eastAsia="Arial" w:hAnsi="Arial"/>
          <w:sz w:val="19"/>
          <w:szCs w:val="19"/>
          <w:color w:val="auto"/>
        </w:rPr>
      </w:pPr>
      <w:r>
        <w:rPr>
          <w:rFonts w:ascii="Arial" w:cs="Arial" w:eastAsia="Arial" w:hAnsi="Arial"/>
          <w:sz w:val="19"/>
          <w:szCs w:val="19"/>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51" w:lineRule="exact"/>
        <w:rPr>
          <w:rFonts w:ascii="Arial" w:cs="Arial" w:eastAsia="Arial" w:hAnsi="Arial"/>
          <w:sz w:val="19"/>
          <w:szCs w:val="19"/>
          <w:color w:val="auto"/>
        </w:rPr>
      </w:pPr>
    </w:p>
    <w:p>
      <w:pPr>
        <w:jc w:val="both"/>
        <w:ind w:firstLine="872"/>
        <w:spacing w:after="0"/>
        <w:tabs>
          <w:tab w:leader="none" w:pos="1751"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86" w:lineRule="exact"/>
        <w:rPr>
          <w:rFonts w:ascii="Arial" w:cs="Arial" w:eastAsia="Arial" w:hAnsi="Arial"/>
          <w:sz w:val="22"/>
          <w:szCs w:val="22"/>
          <w:color w:val="auto"/>
        </w:rPr>
      </w:pPr>
    </w:p>
    <w:p>
      <w:pPr>
        <w:jc w:val="both"/>
        <w:ind w:firstLine="872"/>
        <w:spacing w:after="0" w:line="287" w:lineRule="auto"/>
        <w:tabs>
          <w:tab w:leader="none" w:pos="1763" w:val="left"/>
        </w:tabs>
        <w:numPr>
          <w:ilvl w:val="0"/>
          <w:numId w:val="63"/>
        </w:numPr>
        <w:rPr>
          <w:rFonts w:ascii="Arial" w:cs="Arial" w:eastAsia="Arial" w:hAnsi="Arial"/>
          <w:sz w:val="19"/>
          <w:szCs w:val="19"/>
          <w:color w:val="auto"/>
        </w:rPr>
      </w:pPr>
      <w:r>
        <w:rPr>
          <w:rFonts w:ascii="Arial" w:cs="Arial" w:eastAsia="Arial" w:hAnsi="Arial"/>
          <w:sz w:val="19"/>
          <w:szCs w:val="19"/>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14</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0" w:name="page41"/>
    <w:bookmarkEnd w:id="40"/>
    <w:p>
      <w:pPr>
        <w:jc w:val="both"/>
        <w:spacing w:after="0"/>
        <w:rPr>
          <w:sz w:val="20"/>
          <w:szCs w:val="20"/>
          <w:color w:val="auto"/>
        </w:rPr>
      </w:pPr>
      <w:r>
        <w:rPr>
          <w:rFonts w:ascii="Arial" w:cs="Arial" w:eastAsia="Arial" w:hAnsi="Arial"/>
          <w:sz w:val="22"/>
          <w:szCs w:val="22"/>
          <w:color w:val="auto"/>
        </w:rPr>
        <w:t>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86" w:lineRule="exact"/>
        <w:rPr>
          <w:sz w:val="20"/>
          <w:szCs w:val="20"/>
          <w:color w:val="auto"/>
        </w:rPr>
      </w:pPr>
    </w:p>
    <w:p>
      <w:pPr>
        <w:jc w:val="both"/>
        <w:ind w:firstLine="872"/>
        <w:spacing w:after="0" w:line="248" w:lineRule="auto"/>
        <w:tabs>
          <w:tab w:leader="none" w:pos="1751" w:val="left"/>
        </w:tabs>
        <w:numPr>
          <w:ilvl w:val="0"/>
          <w:numId w:val="64"/>
        </w:numPr>
        <w:rPr>
          <w:rFonts w:ascii="Arial" w:cs="Arial" w:eastAsia="Arial" w:hAnsi="Arial"/>
          <w:sz w:val="21"/>
          <w:szCs w:val="21"/>
          <w:color w:val="auto"/>
        </w:rPr>
      </w:pPr>
      <w:r>
        <w:rPr>
          <w:rFonts w:ascii="Arial" w:cs="Arial" w:eastAsia="Arial" w:hAnsi="Arial"/>
          <w:sz w:val="21"/>
          <w:szCs w:val="21"/>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77" w:lineRule="exact"/>
        <w:rPr>
          <w:sz w:val="20"/>
          <w:szCs w:val="20"/>
          <w:color w:val="auto"/>
        </w:rPr>
      </w:pPr>
    </w:p>
    <w:p>
      <w:pPr>
        <w:ind w:left="1680" w:hanging="808"/>
        <w:spacing w:after="0"/>
        <w:tabs>
          <w:tab w:leader="none" w:pos="168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Assignment of Intellectual Property.</w:t>
      </w:r>
    </w:p>
    <w:p>
      <w:pPr>
        <w:spacing w:after="0" w:line="206" w:lineRule="exact"/>
        <w:rPr>
          <w:sz w:val="20"/>
          <w:szCs w:val="20"/>
          <w:color w:val="auto"/>
        </w:rPr>
      </w:pPr>
    </w:p>
    <w:p>
      <w:pPr>
        <w:jc w:val="both"/>
        <w:ind w:firstLine="872"/>
        <w:spacing w:after="0" w:line="246" w:lineRule="auto"/>
        <w:tabs>
          <w:tab w:leader="none" w:pos="1751" w:val="left"/>
        </w:tabs>
        <w:numPr>
          <w:ilvl w:val="0"/>
          <w:numId w:val="66"/>
        </w:numPr>
        <w:rPr>
          <w:rFonts w:ascii="Arial" w:cs="Arial" w:eastAsia="Arial" w:hAnsi="Arial"/>
          <w:sz w:val="21"/>
          <w:szCs w:val="21"/>
          <w:color w:val="auto"/>
        </w:rPr>
      </w:pPr>
      <w:r>
        <w:rPr>
          <w:rFonts w:ascii="Arial" w:cs="Arial" w:eastAsia="Arial" w:hAnsi="Arial"/>
          <w:sz w:val="21"/>
          <w:szCs w:val="21"/>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9" w:lineRule="exact"/>
        <w:rPr>
          <w:rFonts w:ascii="Arial" w:cs="Arial" w:eastAsia="Arial" w:hAnsi="Arial"/>
          <w:sz w:val="21"/>
          <w:szCs w:val="21"/>
          <w:color w:val="auto"/>
        </w:rPr>
      </w:pPr>
    </w:p>
    <w:p>
      <w:pPr>
        <w:jc w:val="both"/>
        <w:ind w:firstLine="872"/>
        <w:spacing w:after="0" w:line="279" w:lineRule="auto"/>
        <w:tabs>
          <w:tab w:leader="none" w:pos="1763" w:val="left"/>
        </w:tabs>
        <w:numPr>
          <w:ilvl w:val="0"/>
          <w:numId w:val="66"/>
        </w:numPr>
        <w:rPr>
          <w:rFonts w:ascii="Arial" w:cs="Arial" w:eastAsia="Arial" w:hAnsi="Arial"/>
          <w:sz w:val="19"/>
          <w:szCs w:val="19"/>
          <w:color w:val="auto"/>
        </w:rPr>
      </w:pPr>
      <w:r>
        <w:rPr>
          <w:rFonts w:ascii="Arial" w:cs="Arial" w:eastAsia="Arial" w:hAnsi="Arial"/>
          <w:sz w:val="19"/>
          <w:szCs w:val="19"/>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50" w:lineRule="exact"/>
        <w:rPr>
          <w:rFonts w:ascii="Arial" w:cs="Arial" w:eastAsia="Arial" w:hAnsi="Arial"/>
          <w:sz w:val="19"/>
          <w:szCs w:val="19"/>
          <w:color w:val="auto"/>
        </w:rPr>
      </w:pPr>
    </w:p>
    <w:p>
      <w:pPr>
        <w:jc w:val="both"/>
        <w:ind w:firstLine="872"/>
        <w:spacing w:after="0"/>
        <w:tabs>
          <w:tab w:leader="none" w:pos="1751"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86" w:lineRule="exact"/>
        <w:rPr>
          <w:rFonts w:ascii="Arial" w:cs="Arial" w:eastAsia="Arial" w:hAnsi="Arial"/>
          <w:sz w:val="22"/>
          <w:szCs w:val="22"/>
          <w:color w:val="auto"/>
        </w:rPr>
      </w:pPr>
    </w:p>
    <w:p>
      <w:pPr>
        <w:jc w:val="both"/>
        <w:ind w:firstLine="872"/>
        <w:spacing w:after="0" w:line="236" w:lineRule="auto"/>
        <w:tabs>
          <w:tab w:leader="none" w:pos="1763"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15</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1" w:name="page42"/>
    <w:bookmarkEnd w:id="41"/>
    <w:p>
      <w:pPr>
        <w:spacing w:after="0" w:line="250" w:lineRule="auto"/>
        <w:rPr>
          <w:sz w:val="20"/>
          <w:szCs w:val="20"/>
          <w:color w:val="auto"/>
        </w:rPr>
      </w:pPr>
      <w:r>
        <w:rPr>
          <w:rFonts w:ascii="Arial" w:cs="Arial" w:eastAsia="Arial" w:hAnsi="Arial"/>
          <w:sz w:val="22"/>
          <w:szCs w:val="22"/>
          <w:color w:val="auto"/>
        </w:rPr>
        <w:t>waiver is obtained in violation of this Attachment II, or obtained through fraud, negligence, failure to disclose, or incorrect, incomplete, or defective information on an IP Disclosure Form.</w:t>
      </w:r>
    </w:p>
    <w:p>
      <w:pPr>
        <w:spacing w:after="0" w:line="175" w:lineRule="exact"/>
        <w:rPr>
          <w:sz w:val="20"/>
          <w:szCs w:val="20"/>
          <w:color w:val="auto"/>
        </w:rPr>
      </w:pPr>
    </w:p>
    <w:p>
      <w:pPr>
        <w:ind w:left="1680" w:hanging="808"/>
        <w:spacing w:after="0"/>
        <w:tabs>
          <w:tab w:leader="none" w:pos="16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Non-Competition.</w:t>
      </w:r>
    </w:p>
    <w:p>
      <w:pPr>
        <w:spacing w:after="0" w:line="206" w:lineRule="exact"/>
        <w:rPr>
          <w:sz w:val="20"/>
          <w:szCs w:val="20"/>
          <w:color w:val="auto"/>
        </w:rPr>
      </w:pPr>
    </w:p>
    <w:p>
      <w:pPr>
        <w:jc w:val="both"/>
        <w:ind w:firstLine="872"/>
        <w:spacing w:after="0"/>
        <w:tabs>
          <w:tab w:leader="none" w:pos="1751" w:val="left"/>
        </w:tabs>
        <w:numPr>
          <w:ilvl w:val="0"/>
          <w:numId w:val="68"/>
        </w:numPr>
        <w:rPr>
          <w:rFonts w:ascii="Arial" w:cs="Arial" w:eastAsia="Arial" w:hAnsi="Arial"/>
          <w:sz w:val="22"/>
          <w:szCs w:val="22"/>
          <w:color w:val="auto"/>
        </w:rPr>
      </w:pPr>
      <w:r>
        <w:rPr>
          <w:rFonts w:ascii="Arial" w:cs="Arial" w:eastAsia="Arial" w:hAnsi="Arial"/>
          <w:sz w:val="22"/>
          <w:szCs w:val="22"/>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86" w:lineRule="exact"/>
        <w:rPr>
          <w:rFonts w:ascii="Arial" w:cs="Arial" w:eastAsia="Arial" w:hAnsi="Arial"/>
          <w:sz w:val="22"/>
          <w:szCs w:val="22"/>
          <w:color w:val="auto"/>
        </w:rPr>
      </w:pPr>
    </w:p>
    <w:p>
      <w:pPr>
        <w:jc w:val="both"/>
        <w:ind w:firstLine="872"/>
        <w:spacing w:after="0" w:line="273" w:lineRule="auto"/>
        <w:tabs>
          <w:tab w:leader="none" w:pos="1763" w:val="left"/>
        </w:tabs>
        <w:numPr>
          <w:ilvl w:val="0"/>
          <w:numId w:val="68"/>
        </w:numPr>
        <w:rPr>
          <w:rFonts w:ascii="Arial" w:cs="Arial" w:eastAsia="Arial" w:hAnsi="Arial"/>
          <w:sz w:val="19"/>
          <w:szCs w:val="19"/>
          <w:color w:val="auto"/>
        </w:rPr>
      </w:pPr>
      <w:r>
        <w:rPr>
          <w:rFonts w:ascii="Arial" w:cs="Arial" w:eastAsia="Arial" w:hAnsi="Arial"/>
          <w:sz w:val="19"/>
          <w:szCs w:val="19"/>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86" w:lineRule="exact"/>
        <w:rPr>
          <w:sz w:val="20"/>
          <w:szCs w:val="20"/>
          <w:color w:val="auto"/>
        </w:rPr>
      </w:pPr>
    </w:p>
    <w:p>
      <w:pPr>
        <w:jc w:val="both"/>
        <w:ind w:firstLine="872"/>
        <w:spacing w:after="0" w:line="287" w:lineRule="auto"/>
        <w:tabs>
          <w:tab w:leader="none" w:pos="1751"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16</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2" w:name="page43"/>
    <w:bookmarkEnd w:id="42"/>
    <w:p>
      <w:pPr>
        <w:jc w:val="both"/>
        <w:spacing w:after="0" w:line="246" w:lineRule="auto"/>
        <w:rPr>
          <w:sz w:val="20"/>
          <w:szCs w:val="20"/>
          <w:color w:val="auto"/>
        </w:rPr>
      </w:pPr>
      <w:r>
        <w:rPr>
          <w:rFonts w:ascii="Arial" w:cs="Arial" w:eastAsia="Arial" w:hAnsi="Arial"/>
          <w:sz w:val="21"/>
          <w:szCs w:val="21"/>
          <w:color w:val="auto"/>
        </w:rPr>
        <w:t>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80" w:lineRule="exact"/>
        <w:rPr>
          <w:sz w:val="20"/>
          <w:szCs w:val="20"/>
          <w:color w:val="auto"/>
        </w:rPr>
      </w:pPr>
    </w:p>
    <w:p>
      <w:pPr>
        <w:ind w:left="1680" w:hanging="808"/>
        <w:spacing w:after="0"/>
        <w:tabs>
          <w:tab w:leader="none" w:pos="168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Non-Solicitation.</w:t>
      </w:r>
    </w:p>
    <w:p>
      <w:pPr>
        <w:spacing w:after="0" w:line="206" w:lineRule="exact"/>
        <w:rPr>
          <w:sz w:val="20"/>
          <w:szCs w:val="20"/>
          <w:color w:val="auto"/>
        </w:rPr>
      </w:pPr>
    </w:p>
    <w:p>
      <w:pPr>
        <w:jc w:val="both"/>
        <w:ind w:firstLine="872"/>
        <w:spacing w:after="0" w:line="275" w:lineRule="auto"/>
        <w:tabs>
          <w:tab w:leader="none" w:pos="1751" w:val="left"/>
        </w:tabs>
        <w:numPr>
          <w:ilvl w:val="0"/>
          <w:numId w:val="71"/>
        </w:numPr>
        <w:rPr>
          <w:rFonts w:ascii="Arial" w:cs="Arial" w:eastAsia="Arial" w:hAnsi="Arial"/>
          <w:sz w:val="19"/>
          <w:szCs w:val="19"/>
          <w:color w:val="auto"/>
        </w:rPr>
      </w:pPr>
      <w:r>
        <w:rPr>
          <w:rFonts w:ascii="Arial" w:cs="Arial" w:eastAsia="Arial" w:hAnsi="Arial"/>
          <w:sz w:val="19"/>
          <w:szCs w:val="19"/>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57" w:lineRule="exact"/>
        <w:rPr>
          <w:rFonts w:ascii="Arial" w:cs="Arial" w:eastAsia="Arial" w:hAnsi="Arial"/>
          <w:sz w:val="19"/>
          <w:szCs w:val="19"/>
          <w:color w:val="auto"/>
        </w:rPr>
      </w:pPr>
    </w:p>
    <w:p>
      <w:pPr>
        <w:jc w:val="both"/>
        <w:ind w:firstLine="872"/>
        <w:spacing w:after="0" w:line="277" w:lineRule="auto"/>
        <w:tabs>
          <w:tab w:leader="none" w:pos="1763" w:val="left"/>
        </w:tabs>
        <w:numPr>
          <w:ilvl w:val="0"/>
          <w:numId w:val="71"/>
        </w:numPr>
        <w:rPr>
          <w:rFonts w:ascii="Arial" w:cs="Arial" w:eastAsia="Arial" w:hAnsi="Arial"/>
          <w:sz w:val="19"/>
          <w:szCs w:val="19"/>
          <w:color w:val="auto"/>
        </w:rPr>
      </w:pPr>
      <w:r>
        <w:rPr>
          <w:rFonts w:ascii="Arial" w:cs="Arial" w:eastAsia="Arial" w:hAnsi="Arial"/>
          <w:sz w:val="19"/>
          <w:szCs w:val="19"/>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52" w:lineRule="exact"/>
        <w:rPr>
          <w:sz w:val="20"/>
          <w:szCs w:val="20"/>
          <w:color w:val="auto"/>
        </w:rPr>
      </w:pPr>
    </w:p>
    <w:p>
      <w:pPr>
        <w:ind w:left="1680" w:hanging="808"/>
        <w:spacing w:after="0"/>
        <w:tabs>
          <w:tab w:leader="none" w:pos="168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Remedies for Employee’s Breach.</w:t>
      </w:r>
    </w:p>
    <w:p>
      <w:pPr>
        <w:spacing w:after="0" w:line="206" w:lineRule="exact"/>
        <w:rPr>
          <w:sz w:val="20"/>
          <w:szCs w:val="20"/>
          <w:color w:val="auto"/>
        </w:rPr>
      </w:pPr>
    </w:p>
    <w:p>
      <w:pPr>
        <w:jc w:val="both"/>
        <w:ind w:firstLine="872"/>
        <w:spacing w:after="0" w:line="270" w:lineRule="auto"/>
        <w:tabs>
          <w:tab w:leader="none" w:pos="1751"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Arial" w:cs="Arial" w:eastAsia="Arial" w:hAnsi="Arial"/>
          <w:sz w:val="19"/>
          <w:szCs w:val="19"/>
          <w:b w:val="1"/>
          <w:bCs w:val="1"/>
          <w:color w:val="auto"/>
        </w:rPr>
        <w:t>(i) recover from Employee the value of any portion of the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b w:val="1"/>
          <w:bCs w:val="1"/>
          <w:color w:val="auto"/>
        </w:rPr>
        <w:t>Award that has been paid or delivered; (ii) seek injunctive relief against Employee pursuant to the provisions of</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17</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3" w:name="page44"/>
    <w:bookmarkEnd w:id="43"/>
    <w:p>
      <w:pPr>
        <w:jc w:val="both"/>
        <w:spacing w:after="0" w:line="300" w:lineRule="auto"/>
        <w:rPr>
          <w:sz w:val="20"/>
          <w:szCs w:val="20"/>
          <w:color w:val="auto"/>
        </w:rPr>
      </w:pPr>
      <w:r>
        <w:rPr>
          <w:rFonts w:ascii="Arial" w:cs="Arial" w:eastAsia="Arial" w:hAnsi="Arial"/>
          <w:sz w:val="19"/>
          <w:szCs w:val="19"/>
          <w:b w:val="1"/>
          <w:bCs w:val="1"/>
          <w:color w:val="auto"/>
        </w:rPr>
        <w:t>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32" w:lineRule="exact"/>
        <w:rPr>
          <w:sz w:val="20"/>
          <w:szCs w:val="20"/>
          <w:color w:val="auto"/>
        </w:rPr>
      </w:pPr>
    </w:p>
    <w:p>
      <w:pPr>
        <w:jc w:val="both"/>
        <w:ind w:firstLine="872"/>
        <w:spacing w:after="0" w:line="279" w:lineRule="auto"/>
        <w:tabs>
          <w:tab w:leader="none" w:pos="1763" w:val="left"/>
        </w:tabs>
        <w:numPr>
          <w:ilvl w:val="0"/>
          <w:numId w:val="74"/>
        </w:numPr>
        <w:rPr>
          <w:rFonts w:ascii="Arial" w:cs="Arial" w:eastAsia="Arial" w:hAnsi="Arial"/>
          <w:sz w:val="19"/>
          <w:szCs w:val="19"/>
          <w:color w:val="auto"/>
        </w:rPr>
      </w:pPr>
      <w:r>
        <w:rPr>
          <w:rFonts w:ascii="Arial" w:cs="Arial" w:eastAsia="Arial" w:hAnsi="Arial"/>
          <w:sz w:val="19"/>
          <w:szCs w:val="19"/>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50" w:lineRule="exact"/>
        <w:rPr>
          <w:rFonts w:ascii="Arial" w:cs="Arial" w:eastAsia="Arial" w:hAnsi="Arial"/>
          <w:sz w:val="19"/>
          <w:szCs w:val="19"/>
          <w:color w:val="auto"/>
        </w:rPr>
      </w:pPr>
    </w:p>
    <w:p>
      <w:pPr>
        <w:jc w:val="both"/>
        <w:ind w:firstLine="872"/>
        <w:spacing w:after="0" w:line="238" w:lineRule="auto"/>
        <w:tabs>
          <w:tab w:leader="none" w:pos="1751" w:val="left"/>
        </w:tabs>
        <w:numPr>
          <w:ilvl w:val="0"/>
          <w:numId w:val="74"/>
        </w:numPr>
        <w:rPr>
          <w:rFonts w:ascii="Arial" w:cs="Arial" w:eastAsia="Arial" w:hAnsi="Arial"/>
          <w:sz w:val="22"/>
          <w:szCs w:val="22"/>
          <w:color w:val="auto"/>
        </w:rPr>
      </w:pPr>
      <w:r>
        <w:rPr>
          <w:rFonts w:ascii="Arial" w:cs="Arial" w:eastAsia="Arial" w:hAnsi="Arial"/>
          <w:sz w:val="22"/>
          <w:szCs w:val="22"/>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84" w:lineRule="exact"/>
        <w:rPr>
          <w:rFonts w:ascii="Arial" w:cs="Arial" w:eastAsia="Arial" w:hAnsi="Arial"/>
          <w:sz w:val="22"/>
          <w:szCs w:val="22"/>
          <w:color w:val="auto"/>
        </w:rPr>
      </w:pPr>
    </w:p>
    <w:p>
      <w:pPr>
        <w:ind w:right="20" w:firstLine="872"/>
        <w:spacing w:after="0" w:line="250" w:lineRule="auto"/>
        <w:tabs>
          <w:tab w:leader="none" w:pos="1763" w:val="left"/>
        </w:tabs>
        <w:numPr>
          <w:ilvl w:val="0"/>
          <w:numId w:val="74"/>
        </w:numPr>
        <w:rPr>
          <w:rFonts w:ascii="Arial" w:cs="Arial" w:eastAsia="Arial" w:hAnsi="Arial"/>
          <w:sz w:val="22"/>
          <w:szCs w:val="22"/>
          <w:color w:val="auto"/>
        </w:rPr>
      </w:pPr>
      <w:r>
        <w:rPr>
          <w:rFonts w:ascii="Arial" w:cs="Arial" w:eastAsia="Arial" w:hAnsi="Arial"/>
          <w:sz w:val="22"/>
          <w:szCs w:val="22"/>
          <w:color w:val="auto"/>
        </w:rPr>
        <w:t>Employee acknowledges that the remedies contained in the Attachment II for violation of this Attachment II are not the exclusive remedies that the Company or an Affiliate may pursue.</w:t>
      </w:r>
    </w:p>
    <w:p>
      <w:pPr>
        <w:spacing w:after="0" w:line="175" w:lineRule="exact"/>
        <w:rPr>
          <w:sz w:val="20"/>
          <w:szCs w:val="20"/>
          <w:color w:val="auto"/>
        </w:rPr>
      </w:pPr>
    </w:p>
    <w:p>
      <w:pPr>
        <w:jc w:val="both"/>
        <w:ind w:right="20" w:firstLine="872"/>
        <w:spacing w:after="0"/>
        <w:tabs>
          <w:tab w:leader="none" w:pos="1674"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186" w:lineRule="exact"/>
        <w:rPr>
          <w:rFonts w:ascii="Arial" w:cs="Arial" w:eastAsia="Arial" w:hAnsi="Arial"/>
          <w:sz w:val="22"/>
          <w:szCs w:val="22"/>
          <w:color w:val="auto"/>
        </w:rPr>
      </w:pPr>
    </w:p>
    <w:p>
      <w:pPr>
        <w:ind w:left="1780" w:hanging="908"/>
        <w:spacing w:after="0"/>
        <w:tabs>
          <w:tab w:leader="none" w:pos="178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52" w:lineRule="auto"/>
        <w:tabs>
          <w:tab w:leader="none" w:pos="1751" w:val="left"/>
        </w:tabs>
        <w:numPr>
          <w:ilvl w:val="0"/>
          <w:numId w:val="76"/>
        </w:numPr>
        <w:rPr>
          <w:rFonts w:ascii="Arial" w:cs="Arial" w:eastAsia="Arial" w:hAnsi="Arial"/>
          <w:sz w:val="21"/>
          <w:szCs w:val="21"/>
          <w:color w:val="auto"/>
        </w:rPr>
      </w:pPr>
      <w:r>
        <w:rPr>
          <w:rFonts w:ascii="Arial" w:cs="Arial" w:eastAsia="Arial" w:hAnsi="Arial"/>
          <w:sz w:val="21"/>
          <w:szCs w:val="21"/>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173" w:lineRule="exact"/>
        <w:rPr>
          <w:rFonts w:ascii="Arial" w:cs="Arial" w:eastAsia="Arial" w:hAnsi="Arial"/>
          <w:sz w:val="21"/>
          <w:szCs w:val="21"/>
          <w:color w:val="auto"/>
        </w:rPr>
      </w:pPr>
    </w:p>
    <w:p>
      <w:pPr>
        <w:jc w:val="both"/>
        <w:ind w:firstLine="872"/>
        <w:spacing w:after="0"/>
        <w:tabs>
          <w:tab w:leader="none" w:pos="1763"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186" w:lineRule="exact"/>
        <w:rPr>
          <w:rFonts w:ascii="Arial" w:cs="Arial" w:eastAsia="Arial" w:hAnsi="Arial"/>
          <w:sz w:val="22"/>
          <w:szCs w:val="22"/>
          <w:color w:val="auto"/>
        </w:rPr>
      </w:pPr>
    </w:p>
    <w:p>
      <w:pPr>
        <w:jc w:val="both"/>
        <w:ind w:right="20" w:firstLine="872"/>
        <w:spacing w:after="0"/>
        <w:tabs>
          <w:tab w:leader="none" w:pos="17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86" w:lineRule="exact"/>
        <w:rPr>
          <w:rFonts w:ascii="Arial" w:cs="Arial" w:eastAsia="Arial" w:hAnsi="Arial"/>
          <w:sz w:val="22"/>
          <w:szCs w:val="22"/>
          <w:color w:val="auto"/>
        </w:rPr>
      </w:pPr>
    </w:p>
    <w:p>
      <w:pPr>
        <w:ind w:firstLine="872"/>
        <w:spacing w:after="0" w:line="250" w:lineRule="auto"/>
        <w:tabs>
          <w:tab w:leader="none" w:pos="1763"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Employee is employed by an Affiliate of the Company or by accepting a transfer to an Affiliate of the Company, Employee agrees to the automatic application of all of the terms</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18</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spacing w:after="0" w:line="328" w:lineRule="auto"/>
        <w:rPr>
          <w:sz w:val="20"/>
          <w:szCs w:val="20"/>
          <w:color w:val="auto"/>
        </w:rPr>
      </w:pPr>
      <w:r>
        <w:rPr>
          <w:rFonts w:ascii="Arial" w:cs="Arial" w:eastAsia="Arial" w:hAnsi="Arial"/>
          <w:sz w:val="19"/>
          <w:szCs w:val="19"/>
          <w:color w:val="auto"/>
        </w:rPr>
        <w:t>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05" w:lineRule="exact"/>
        <w:rPr>
          <w:sz w:val="20"/>
          <w:szCs w:val="20"/>
          <w:color w:val="auto"/>
        </w:rPr>
      </w:pPr>
    </w:p>
    <w:p>
      <w:pPr>
        <w:jc w:val="both"/>
        <w:ind w:firstLine="872"/>
        <w:spacing w:after="0" w:line="246" w:lineRule="auto"/>
        <w:tabs>
          <w:tab w:leader="none" w:pos="1751" w:val="left"/>
        </w:tabs>
        <w:numPr>
          <w:ilvl w:val="0"/>
          <w:numId w:val="77"/>
        </w:numPr>
        <w:rPr>
          <w:rFonts w:ascii="Arial" w:cs="Arial" w:eastAsia="Arial" w:hAnsi="Arial"/>
          <w:sz w:val="21"/>
          <w:szCs w:val="21"/>
          <w:color w:val="auto"/>
        </w:rPr>
      </w:pPr>
      <w:r>
        <w:rPr>
          <w:rFonts w:ascii="Arial" w:cs="Arial" w:eastAsia="Arial" w:hAnsi="Arial"/>
          <w:sz w:val="21"/>
          <w:szCs w:val="21"/>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84" w:lineRule="exact"/>
        <w:rPr>
          <w:rFonts w:ascii="Arial" w:cs="Arial" w:eastAsia="Arial" w:hAnsi="Arial"/>
          <w:sz w:val="21"/>
          <w:szCs w:val="21"/>
          <w:color w:val="auto"/>
        </w:rPr>
      </w:pPr>
    </w:p>
    <w:p>
      <w:pPr>
        <w:jc w:val="both"/>
        <w:ind w:firstLine="872"/>
        <w:spacing w:after="0" w:line="238" w:lineRule="auto"/>
        <w:tabs>
          <w:tab w:leader="none" w:pos="1727"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terms and conditions of this Attachment II supersede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19</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ectPr>
          <w:pgSz w:w="11900" w:h="16838" w:orient="portrait"/>
          <w:cols w:equalWidth="0" w:num="1">
            <w:col w:w="11240"/>
          </w:cols>
          <w:pgMar w:left="320" w:top="33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148590</wp:posOffset>
            </wp:positionV>
            <wp:extent cx="1114425"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1144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340" w:right="2620"/>
        <w:spacing w:after="0" w:line="238" w:lineRule="auto"/>
        <w:rPr>
          <w:sz w:val="20"/>
          <w:szCs w:val="20"/>
          <w:color w:val="auto"/>
        </w:rPr>
      </w:pPr>
      <w:r>
        <w:rPr>
          <w:rFonts w:ascii="Arial" w:cs="Arial" w:eastAsia="Arial" w:hAnsi="Arial"/>
          <w:sz w:val="22"/>
          <w:szCs w:val="22"/>
          <w:b w:val="1"/>
          <w:bCs w:val="1"/>
          <w:color w:val="auto"/>
        </w:rPr>
        <w:t>2021 PERFORMANCE SHARE UNIT AWARD AGREEMENT (BASED ON FREE CASH FLOW MARGIN PERFORMANCE) under the</w:t>
      </w:r>
    </w:p>
    <w:p>
      <w:pPr>
        <w:ind w:left="2540"/>
        <w:spacing w:after="0"/>
        <w:rPr>
          <w:sz w:val="20"/>
          <w:szCs w:val="20"/>
          <w:color w:val="auto"/>
        </w:rPr>
      </w:pPr>
      <w:r>
        <w:rPr>
          <w:rFonts w:ascii="Arial" w:cs="Arial" w:eastAsia="Arial" w:hAnsi="Arial"/>
          <w:sz w:val="22"/>
          <w:szCs w:val="22"/>
          <w:b w:val="1"/>
          <w:bCs w:val="1"/>
          <w:color w:val="auto"/>
        </w:rPr>
        <w:t>SCHLUMBERGER 2017 OMNIBUS STOCK INCENTIVE PLAN</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Includes Confidentiality, Intellectual Property, Non-Competition, and Non-Solicitation Provisions in Section 9 and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Attachment II</w:t>
      </w:r>
      <w:r>
        <w:rPr>
          <w:rFonts w:ascii="Arial" w:cs="Arial" w:eastAsia="Arial" w:hAnsi="Arial"/>
          <w:sz w:val="22"/>
          <w:szCs w:val="22"/>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Period: 2021, 2022 and 2023</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This Performance Share Unit Award Agreement (as may be amended, the “Agreement”) is granted to you (“Employee”) effective as of January 20, 2021 (the “Grant Date”) by Schlumberger Limited (the “Company”), pursuant to the Schlumberger 2017 Omnibus Stock Incentive Plan, as may be amended (the “Plan”).</w:t>
      </w:r>
    </w:p>
    <w:p>
      <w:pPr>
        <w:spacing w:after="0" w:line="186" w:lineRule="exact"/>
        <w:rPr>
          <w:sz w:val="20"/>
          <w:szCs w:val="20"/>
          <w:color w:val="auto"/>
        </w:rPr>
      </w:pPr>
    </w:p>
    <w:p>
      <w:pPr>
        <w:jc w:val="both"/>
        <w:ind w:firstLine="872"/>
        <w:spacing w:after="0" w:line="275" w:lineRule="auto"/>
        <w:tabs>
          <w:tab w:leader="none" w:pos="1674"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and the Notice of Grant of Award of Performance Share Units attached hereto.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57" w:lineRule="exact"/>
        <w:rPr>
          <w:rFonts w:ascii="Arial" w:cs="Arial" w:eastAsia="Arial" w:hAnsi="Arial"/>
          <w:sz w:val="19"/>
          <w:szCs w:val="19"/>
          <w:color w:val="auto"/>
        </w:rPr>
      </w:pPr>
    </w:p>
    <w:p>
      <w:pPr>
        <w:ind w:left="1680" w:hanging="808"/>
        <w:spacing w:after="0"/>
        <w:tabs>
          <w:tab w:leader="none" w:pos="168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Vesting of Performance Share Units</w:t>
      </w:r>
      <w:r>
        <w:rPr>
          <w:rFonts w:ascii="Arial" w:cs="Arial" w:eastAsia="Arial" w:hAnsi="Arial"/>
          <w:sz w:val="19"/>
          <w:szCs w:val="19"/>
          <w:color w:val="auto"/>
        </w:rPr>
        <w:t>. The period of time from and including January 1, 2021 to December 31,</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2023 is the “Free Cash Flow Performance Period.” The Performance Share Units will vest as follows:</w:t>
      </w:r>
    </w:p>
    <w:p>
      <w:pPr>
        <w:spacing w:after="0" w:line="188" w:lineRule="exact"/>
        <w:rPr>
          <w:sz w:val="20"/>
          <w:szCs w:val="20"/>
          <w:color w:val="auto"/>
        </w:rPr>
      </w:pPr>
    </w:p>
    <w:p>
      <w:pPr>
        <w:jc w:val="both"/>
        <w:ind w:firstLine="872"/>
        <w:spacing w:after="0" w:line="273" w:lineRule="auto"/>
        <w:tabs>
          <w:tab w:leader="none" w:pos="1751" w:val="left"/>
        </w:tabs>
        <w:numPr>
          <w:ilvl w:val="0"/>
          <w:numId w:val="79"/>
        </w:numPr>
        <w:rPr>
          <w:rFonts w:ascii="Arial" w:cs="Arial" w:eastAsia="Arial" w:hAnsi="Arial"/>
          <w:sz w:val="19"/>
          <w:szCs w:val="19"/>
          <w:color w:val="auto"/>
        </w:rPr>
      </w:pPr>
      <w:r>
        <w:rPr>
          <w:rFonts w:ascii="Arial" w:cs="Arial" w:eastAsia="Arial" w:hAnsi="Arial"/>
          <w:sz w:val="19"/>
          <w:szCs w:val="19"/>
          <w:color w:val="auto"/>
        </w:rPr>
        <w:t>On the Friday following the first meeting of the Compensation Committee of the Board of Directors of the Company (the “Committee”) in 2024, or as soon thereafter as reasonably practicable (such date, the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Vesting Date and has not experienced a Termination of Employment (as defined in Section 12(w) below) as of such date. Except as provided in Sections 2(b) and 2(c) below, if there is any Termination of Employment during the period from and between the Grant Date until and including the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 termination or any related issue, and any such determination by the Committee or its delegate will be final and binding on all parties.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both"/>
        <w:ind w:left="880" w:hanging="8"/>
        <w:spacing w:after="0" w:line="297" w:lineRule="auto"/>
        <w:tabs>
          <w:tab w:leader="none" w:pos="1780" w:val="left"/>
        </w:tabs>
        <w:numPr>
          <w:ilvl w:val="0"/>
          <w:numId w:val="80"/>
        </w:numPr>
        <w:rPr>
          <w:rFonts w:ascii="Arial" w:cs="Arial" w:eastAsia="Arial" w:hAnsi="Arial"/>
          <w:sz w:val="19"/>
          <w:szCs w:val="19"/>
          <w:color w:val="auto"/>
        </w:rPr>
      </w:pPr>
      <w:r>
        <w:rPr>
          <w:rFonts w:ascii="Arial" w:cs="Arial" w:eastAsia="Arial" w:hAnsi="Arial"/>
          <w:sz w:val="19"/>
          <w:szCs w:val="19"/>
          <w:color w:val="auto"/>
        </w:rPr>
        <w:t>(i) If Employee’s Termination of Employment occurs due to Retirement (as defined in Section 12(p) below), then the Performance Share Units will vest in accordance with Section 2(a) above as if Employee had remained continuously employed by the Company or any of its Subsidiaries from the Grant Date through the Vesting Date.</w:t>
      </w:r>
    </w:p>
    <w:p>
      <w:pPr>
        <w:spacing w:after="0" w:line="133" w:lineRule="exact"/>
        <w:rPr>
          <w:rFonts w:ascii="Arial" w:cs="Arial" w:eastAsia="Arial" w:hAnsi="Arial"/>
          <w:sz w:val="19"/>
          <w:szCs w:val="19"/>
          <w:color w:val="auto"/>
        </w:rPr>
      </w:pPr>
    </w:p>
    <w:p>
      <w:pPr>
        <w:jc w:val="both"/>
        <w:ind w:left="880" w:firstLine="789"/>
        <w:spacing w:after="0" w:line="246" w:lineRule="auto"/>
        <w:tabs>
          <w:tab w:leader="none" w:pos="2589" w:val="left"/>
        </w:tabs>
        <w:numPr>
          <w:ilvl w:val="1"/>
          <w:numId w:val="80"/>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Early Retirement (as defined in Section 12(i) below) or Special Retirement (as defined in Section 12(s) below, then, subject to the approval of (x) the Committee, if Employee is an executive officer of the Company at the time of Employee’s election to retire, or (y) the Retirement Committee (as defined in Section 12(q)),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Vesting Date. Any approval under clauses (x) or (y) may be granted or withheld in the sole discretion of the Committee or the Retirement Committee, as applicable.</w:t>
      </w:r>
    </w:p>
    <w:p>
      <w:pPr>
        <w:spacing w:after="0" w:line="179" w:lineRule="exact"/>
        <w:rPr>
          <w:rFonts w:ascii="Arial" w:cs="Arial" w:eastAsia="Arial" w:hAnsi="Arial"/>
          <w:sz w:val="21"/>
          <w:szCs w:val="21"/>
          <w:color w:val="auto"/>
        </w:rPr>
      </w:pPr>
    </w:p>
    <w:p>
      <w:pPr>
        <w:jc w:val="both"/>
        <w:ind w:firstLine="872"/>
        <w:spacing w:after="0" w:line="257" w:lineRule="auto"/>
        <w:tabs>
          <w:tab w:leader="none" w:pos="1751" w:val="left"/>
        </w:tabs>
        <w:numPr>
          <w:ilvl w:val="0"/>
          <w:numId w:val="80"/>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Vesting Date.</w:t>
      </w:r>
    </w:p>
    <w:p>
      <w:pPr>
        <w:spacing w:after="0" w:line="169" w:lineRule="exact"/>
        <w:rPr>
          <w:sz w:val="20"/>
          <w:szCs w:val="20"/>
          <w:color w:val="auto"/>
        </w:rPr>
      </w:pPr>
    </w:p>
    <w:p>
      <w:pPr>
        <w:jc w:val="both"/>
        <w:ind w:firstLine="872"/>
        <w:spacing w:after="0" w:line="236" w:lineRule="auto"/>
        <w:tabs>
          <w:tab w:leader="none" w:pos="1674"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Settlement of Performance Share Units</w:t>
      </w:r>
      <w:r>
        <w:rPr>
          <w:rFonts w:ascii="Arial" w:cs="Arial" w:eastAsia="Arial" w:hAnsi="Arial"/>
          <w:sz w:val="22"/>
          <w:szCs w:val="22"/>
          <w:color w:val="auto"/>
        </w:rPr>
        <w:t>. Payment of vested Performance Share Units will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87" w:lineRule="exact"/>
        <w:rPr>
          <w:rFonts w:ascii="Arial" w:cs="Arial" w:eastAsia="Arial" w:hAnsi="Arial"/>
          <w:sz w:val="22"/>
          <w:szCs w:val="22"/>
          <w:color w:val="auto"/>
        </w:rPr>
      </w:pPr>
    </w:p>
    <w:p>
      <w:pPr>
        <w:ind w:left="1680" w:hanging="808"/>
        <w:spacing w:after="0"/>
        <w:tabs>
          <w:tab w:leader="none" w:pos="168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Forfeiture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9" w:lineRule="auto"/>
        <w:tabs>
          <w:tab w:leader="none" w:pos="1751" w:val="left"/>
        </w:tabs>
        <w:numPr>
          <w:ilvl w:val="0"/>
          <w:numId w:val="82"/>
        </w:numPr>
        <w:rPr>
          <w:rFonts w:ascii="Arial" w:cs="Arial" w:eastAsia="Arial" w:hAnsi="Arial"/>
          <w:sz w:val="21"/>
          <w:szCs w:val="21"/>
          <w:color w:val="auto"/>
        </w:rPr>
      </w:pPr>
      <w:r>
        <w:rPr>
          <w:rFonts w:ascii="Arial" w:cs="Arial" w:eastAsia="Arial" w:hAnsi="Arial"/>
          <w:sz w:val="21"/>
          <w:szCs w:val="21"/>
          <w:color w:val="auto"/>
        </w:rPr>
        <w:t>At any time during the Free Cash Flow Performance Period and up to and including the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8" w:lineRule="exact"/>
        <w:rPr>
          <w:rFonts w:ascii="Arial" w:cs="Arial" w:eastAsia="Arial" w:hAnsi="Arial"/>
          <w:sz w:val="21"/>
          <w:szCs w:val="21"/>
          <w:color w:val="auto"/>
        </w:rPr>
      </w:pPr>
    </w:p>
    <w:p>
      <w:pPr>
        <w:jc w:val="both"/>
        <w:ind w:right="20" w:firstLine="872"/>
        <w:spacing w:after="0" w:line="249" w:lineRule="auto"/>
        <w:tabs>
          <w:tab w:leader="none" w:pos="1763" w:val="left"/>
        </w:tabs>
        <w:numPr>
          <w:ilvl w:val="0"/>
          <w:numId w:val="82"/>
        </w:numPr>
        <w:rPr>
          <w:rFonts w:ascii="Arial" w:cs="Arial" w:eastAsia="Arial" w:hAnsi="Arial"/>
          <w:sz w:val="21"/>
          <w:szCs w:val="21"/>
          <w:color w:val="auto"/>
        </w:rPr>
      </w:pPr>
      <w:r>
        <w:rPr>
          <w:rFonts w:ascii="Arial" w:cs="Arial" w:eastAsia="Arial" w:hAnsi="Arial"/>
          <w:sz w:val="21"/>
          <w:szCs w:val="21"/>
          <w:color w:val="auto"/>
        </w:rPr>
        <w:t>Notwithstanding any provision in this Agreement to the contrary, if at any time during the Free Cash Flow Performance Period and up to and including the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7" w:name="page48"/>
    <w:bookmarkEnd w:id="47"/>
    <w:p>
      <w:pPr>
        <w:ind w:left="1680" w:hanging="808"/>
        <w:spacing w:after="0"/>
        <w:tabs>
          <w:tab w:leader="none" w:pos="168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5" w:lineRule="auto"/>
        <w:tabs>
          <w:tab w:leader="none" w:pos="1751" w:val="left"/>
        </w:tabs>
        <w:numPr>
          <w:ilvl w:val="0"/>
          <w:numId w:val="84"/>
        </w:numPr>
        <w:rPr>
          <w:rFonts w:ascii="Arial" w:cs="Arial" w:eastAsia="Arial" w:hAnsi="Arial"/>
          <w:sz w:val="22"/>
          <w:szCs w:val="22"/>
          <w:color w:val="auto"/>
        </w:rPr>
      </w:pPr>
      <w:r>
        <w:rPr>
          <w:rFonts w:ascii="Arial" w:cs="Arial" w:eastAsia="Arial" w:hAnsi="Arial"/>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63" w:val="left"/>
        </w:tabs>
        <w:numPr>
          <w:ilvl w:val="0"/>
          <w:numId w:val="84"/>
        </w:numPr>
        <w:rPr>
          <w:rFonts w:ascii="Arial" w:cs="Arial" w:eastAsia="Arial" w:hAnsi="Arial"/>
          <w:sz w:val="19"/>
          <w:szCs w:val="19"/>
          <w:color w:val="auto"/>
        </w:rPr>
      </w:pPr>
      <w:r>
        <w:rPr>
          <w:rFonts w:ascii="Arial" w:cs="Arial" w:eastAsia="Arial" w:hAnsi="Arial"/>
          <w:sz w:val="19"/>
          <w:szCs w:val="19"/>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50" w:lineRule="exact"/>
        <w:rPr>
          <w:sz w:val="20"/>
          <w:szCs w:val="20"/>
          <w:color w:val="auto"/>
        </w:rPr>
      </w:pPr>
    </w:p>
    <w:p>
      <w:pPr>
        <w:jc w:val="both"/>
        <w:ind w:firstLine="872"/>
        <w:spacing w:after="0"/>
        <w:tabs>
          <w:tab w:leader="none" w:pos="1674"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86" w:lineRule="exact"/>
        <w:rPr>
          <w:rFonts w:ascii="Arial" w:cs="Arial" w:eastAsia="Arial" w:hAnsi="Arial"/>
          <w:sz w:val="22"/>
          <w:szCs w:val="22"/>
          <w:color w:val="auto"/>
        </w:rPr>
      </w:pPr>
    </w:p>
    <w:p>
      <w:pPr>
        <w:ind w:left="1680" w:hanging="808"/>
        <w:spacing w:after="0"/>
        <w:tabs>
          <w:tab w:leader="none" w:pos="168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Tax and Social Insurance Withholding</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3" w:lineRule="auto"/>
        <w:tabs>
          <w:tab w:leader="none" w:pos="1751"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60" w:lineRule="exact"/>
        <w:rPr>
          <w:rFonts w:ascii="Arial" w:cs="Arial" w:eastAsia="Arial" w:hAnsi="Arial"/>
          <w:sz w:val="19"/>
          <w:szCs w:val="19"/>
          <w:color w:val="auto"/>
        </w:rPr>
      </w:pPr>
    </w:p>
    <w:p>
      <w:pPr>
        <w:jc w:val="both"/>
        <w:ind w:firstLine="872"/>
        <w:spacing w:after="0" w:line="246" w:lineRule="auto"/>
        <w:tabs>
          <w:tab w:leader="none" w:pos="1842" w:val="left"/>
        </w:tabs>
        <w:numPr>
          <w:ilvl w:val="0"/>
          <w:numId w:val="86"/>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8" w:name="page49"/>
    <w:bookmarkEnd w:id="48"/>
    <w:p>
      <w:pPr>
        <w:jc w:val="both"/>
        <w:ind w:firstLine="872"/>
        <w:spacing w:after="0" w:line="273" w:lineRule="auto"/>
        <w:tabs>
          <w:tab w:leader="none" w:pos="1807"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55" w:lineRule="exact"/>
        <w:rPr>
          <w:sz w:val="20"/>
          <w:szCs w:val="20"/>
          <w:color w:val="auto"/>
        </w:rPr>
      </w:pPr>
    </w:p>
    <w:p>
      <w:pPr>
        <w:jc w:val="both"/>
        <w:ind w:firstLine="872"/>
        <w:spacing w:after="0" w:line="238" w:lineRule="auto"/>
        <w:tabs>
          <w:tab w:leader="none" w:pos="1674"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8" w:lineRule="exact"/>
        <w:rPr>
          <w:rFonts w:ascii="Arial" w:cs="Arial" w:eastAsia="Arial" w:hAnsi="Arial"/>
          <w:sz w:val="22"/>
          <w:szCs w:val="22"/>
          <w:color w:val="auto"/>
        </w:rPr>
      </w:pPr>
    </w:p>
    <w:p>
      <w:pPr>
        <w:ind w:left="1680" w:hanging="808"/>
        <w:spacing w:after="0"/>
        <w:tabs>
          <w:tab w:leader="none" w:pos="168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Intellectual  Property  and  Noncompetition</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  acknowledges  that</w:t>
      </w:r>
    </w:p>
    <w:p>
      <w:pPr>
        <w:spacing w:after="0" w:line="48" w:lineRule="exact"/>
        <w:rPr>
          <w:rFonts w:ascii="Arial" w:cs="Arial" w:eastAsia="Arial" w:hAnsi="Arial"/>
          <w:sz w:val="19"/>
          <w:szCs w:val="19"/>
          <w:color w:val="auto"/>
        </w:rPr>
      </w:pPr>
    </w:p>
    <w:p>
      <w:pPr>
        <w:jc w:val="both"/>
        <w:spacing w:after="0" w:line="273" w:lineRule="auto"/>
        <w:rPr>
          <w:rFonts w:ascii="Arial" w:cs="Arial" w:eastAsia="Arial" w:hAnsi="Arial"/>
          <w:sz w:val="19"/>
          <w:szCs w:val="19"/>
          <w:color w:val="auto"/>
        </w:rPr>
      </w:pPr>
      <w:r>
        <w:rPr>
          <w:rFonts w:ascii="Arial" w:cs="Arial" w:eastAsia="Arial" w:hAnsi="Arial"/>
          <w:sz w:val="19"/>
          <w:szCs w:val="19"/>
          <w:b w:val="1"/>
          <w:bCs w:val="1"/>
          <w:color w:val="auto"/>
        </w:rPr>
        <w:t>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159" w:lineRule="exact"/>
        <w:rPr>
          <w:rFonts w:ascii="Arial" w:cs="Arial" w:eastAsia="Arial" w:hAnsi="Arial"/>
          <w:sz w:val="19"/>
          <w:szCs w:val="19"/>
          <w:color w:val="auto"/>
        </w:rPr>
      </w:pPr>
    </w:p>
    <w:p>
      <w:pPr>
        <w:jc w:val="both"/>
        <w:ind w:firstLine="872"/>
        <w:spacing w:after="0" w:line="279" w:lineRule="auto"/>
        <w:tabs>
          <w:tab w:leader="none" w:pos="1782"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Compliance with Securities Laws</w:t>
      </w:r>
      <w:r>
        <w:rPr>
          <w:rFonts w:ascii="Arial" w:cs="Arial" w:eastAsia="Arial" w:hAnsi="Arial"/>
          <w:sz w:val="19"/>
          <w:szCs w:val="19"/>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50" w:lineRule="exact"/>
        <w:rPr>
          <w:rFonts w:ascii="Arial" w:cs="Arial" w:eastAsia="Arial" w:hAnsi="Arial"/>
          <w:sz w:val="19"/>
          <w:szCs w:val="19"/>
          <w:color w:val="auto"/>
        </w:rPr>
      </w:pPr>
    </w:p>
    <w:p>
      <w:pPr>
        <w:ind w:left="1780" w:hanging="908"/>
        <w:spacing w:after="0"/>
        <w:tabs>
          <w:tab w:leader="none" w:pos="178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Limitation of Rights</w:t>
      </w:r>
      <w:r>
        <w:rPr>
          <w:rFonts w:ascii="Arial" w:cs="Arial" w:eastAsia="Arial" w:hAnsi="Arial"/>
          <w:sz w:val="22"/>
          <w:szCs w:val="22"/>
          <w:color w:val="auto"/>
        </w:rPr>
        <w:t>. Nothing in this Agreement or the Plan may be construed to:</w:t>
      </w:r>
    </w:p>
    <w:p>
      <w:pPr>
        <w:spacing w:after="0" w:line="206" w:lineRule="exact"/>
        <w:rPr>
          <w:sz w:val="20"/>
          <w:szCs w:val="20"/>
          <w:color w:val="auto"/>
        </w:rPr>
      </w:pPr>
    </w:p>
    <w:p>
      <w:pPr>
        <w:ind w:right="20" w:firstLine="872"/>
        <w:spacing w:after="0" w:line="250" w:lineRule="auto"/>
        <w:tabs>
          <w:tab w:leader="none" w:pos="1751" w:val="left"/>
        </w:tabs>
        <w:numPr>
          <w:ilvl w:val="0"/>
          <w:numId w:val="89"/>
        </w:numPr>
        <w:rPr>
          <w:rFonts w:ascii="Arial" w:cs="Arial" w:eastAsia="Arial" w:hAnsi="Arial"/>
          <w:sz w:val="22"/>
          <w:szCs w:val="22"/>
          <w:color w:val="auto"/>
        </w:rPr>
      </w:pPr>
      <w:r>
        <w:rPr>
          <w:rFonts w:ascii="Arial" w:cs="Arial" w:eastAsia="Arial" w:hAnsi="Arial"/>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9" w:name="page50"/>
    <w:bookmarkEnd w:id="49"/>
    <w:p>
      <w:pPr>
        <w:ind w:left="-872" w:right="20" w:firstLine="872"/>
        <w:spacing w:after="0" w:line="250" w:lineRule="auto"/>
        <w:tabs>
          <w:tab w:leader="none" w:pos="892" w:val="left"/>
        </w:tabs>
        <w:numPr>
          <w:ilvl w:val="0"/>
          <w:numId w:val="90"/>
        </w:numPr>
        <w:rPr>
          <w:rFonts w:ascii="Arial" w:cs="Arial" w:eastAsia="Arial" w:hAnsi="Arial"/>
          <w:sz w:val="22"/>
          <w:szCs w:val="22"/>
          <w:color w:val="auto"/>
        </w:rPr>
      </w:pPr>
      <w:r>
        <w:rPr>
          <w:rFonts w:ascii="Arial" w:cs="Arial" w:eastAsia="Arial" w:hAnsi="Arial"/>
          <w:sz w:val="22"/>
          <w:szCs w:val="22"/>
          <w:color w:val="auto"/>
        </w:rPr>
        <w:t>give Employee or any other person or entity any interest in any fund or in any specified asset or assets of the Company (other than the Performance Share Units); or</w:t>
      </w:r>
    </w:p>
    <w:p>
      <w:pPr>
        <w:spacing w:after="0" w:line="174" w:lineRule="exact"/>
        <w:rPr>
          <w:rFonts w:ascii="Arial" w:cs="Arial" w:eastAsia="Arial" w:hAnsi="Arial"/>
          <w:sz w:val="22"/>
          <w:szCs w:val="22"/>
          <w:color w:val="auto"/>
        </w:rPr>
      </w:pPr>
    </w:p>
    <w:p>
      <w:pPr>
        <w:ind w:left="-872" w:firstLine="872"/>
        <w:spacing w:after="0" w:line="250" w:lineRule="auto"/>
        <w:tabs>
          <w:tab w:leader="none" w:pos="8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confer upon Employee or any other person or entity the right to continue in the employment or service of the Company or any Subsidiary.</w:t>
      </w:r>
    </w:p>
    <w:p>
      <w:pPr>
        <w:spacing w:after="0" w:line="175" w:lineRule="exact"/>
        <w:rPr>
          <w:sz w:val="20"/>
          <w:szCs w:val="20"/>
          <w:color w:val="auto"/>
        </w:rPr>
      </w:pPr>
    </w:p>
    <w:p>
      <w:pPr>
        <w:ind w:left="908" w:hanging="908"/>
        <w:spacing w:after="0"/>
        <w:tabs>
          <w:tab w:leader="none" w:pos="908"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888" w:hanging="888"/>
        <w:spacing w:after="0"/>
        <w:tabs>
          <w:tab w:leader="none" w:pos="888" w:val="left"/>
        </w:tabs>
        <w:numPr>
          <w:ilvl w:val="1"/>
          <w:numId w:val="92"/>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1"/>
          <w:numId w:val="92"/>
        </w:numPr>
        <w:rPr>
          <w:rFonts w:ascii="Arial" w:cs="Arial" w:eastAsia="Arial" w:hAnsi="Arial"/>
          <w:sz w:val="22"/>
          <w:szCs w:val="22"/>
          <w:color w:val="auto"/>
        </w:rPr>
      </w:pPr>
      <w:r>
        <w:rPr>
          <w:rFonts w:ascii="Arial" w:cs="Arial" w:eastAsia="Arial" w:hAnsi="Arial"/>
          <w:sz w:val="22"/>
          <w:szCs w:val="22"/>
          <w:color w:val="auto"/>
        </w:rPr>
        <w:t>“Clawback Policy” is defined in Section 14.</w:t>
      </w:r>
    </w:p>
    <w:p>
      <w:pPr>
        <w:spacing w:after="0" w:line="206" w:lineRule="exact"/>
        <w:rPr>
          <w:rFonts w:ascii="Arial" w:cs="Arial" w:eastAsia="Arial" w:hAnsi="Arial"/>
          <w:sz w:val="22"/>
          <w:szCs w:val="22"/>
          <w:color w:val="auto"/>
        </w:rPr>
      </w:pPr>
    </w:p>
    <w:p>
      <w:pPr>
        <w:ind w:left="888" w:hanging="888"/>
        <w:spacing w:after="0"/>
        <w:tabs>
          <w:tab w:leader="none" w:pos="888" w:val="left"/>
        </w:tabs>
        <w:numPr>
          <w:ilvl w:val="1"/>
          <w:numId w:val="92"/>
        </w:numPr>
        <w:rPr>
          <w:rFonts w:ascii="Arial" w:cs="Arial" w:eastAsia="Arial" w:hAnsi="Arial"/>
          <w:sz w:val="22"/>
          <w:szCs w:val="22"/>
          <w:color w:val="auto"/>
        </w:rPr>
      </w:pPr>
      <w:r>
        <w:rPr>
          <w:rFonts w:ascii="Arial" w:cs="Arial" w:eastAsia="Arial" w:hAnsi="Arial"/>
          <w:sz w:val="22"/>
          <w:szCs w:val="22"/>
          <w:color w:val="auto"/>
        </w:rPr>
        <w:t>“Committee” is defined in Section 2(a).</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1"/>
          <w:numId w:val="92"/>
        </w:numPr>
        <w:rPr>
          <w:rFonts w:ascii="Arial" w:cs="Arial" w:eastAsia="Arial" w:hAnsi="Arial"/>
          <w:sz w:val="22"/>
          <w:szCs w:val="22"/>
          <w:color w:val="auto"/>
        </w:rPr>
      </w:pPr>
      <w:r>
        <w:rPr>
          <w:rFonts w:ascii="Arial" w:cs="Arial" w:eastAsia="Arial" w:hAnsi="Arial"/>
          <w:sz w:val="22"/>
          <w:szCs w:val="22"/>
          <w:color w:val="auto"/>
        </w:rPr>
        <w:t>“Common Stock” is defined in Section 1.</w:t>
      </w:r>
    </w:p>
    <w:p>
      <w:pPr>
        <w:spacing w:after="0" w:line="206" w:lineRule="exact"/>
        <w:rPr>
          <w:rFonts w:ascii="Arial" w:cs="Arial" w:eastAsia="Arial" w:hAnsi="Arial"/>
          <w:sz w:val="22"/>
          <w:szCs w:val="22"/>
          <w:color w:val="auto"/>
        </w:rPr>
      </w:pPr>
    </w:p>
    <w:p>
      <w:pPr>
        <w:ind w:left="888" w:hanging="888"/>
        <w:spacing w:after="0"/>
        <w:tabs>
          <w:tab w:leader="none" w:pos="888" w:val="left"/>
        </w:tabs>
        <w:numPr>
          <w:ilvl w:val="1"/>
          <w:numId w:val="92"/>
        </w:numPr>
        <w:rPr>
          <w:rFonts w:ascii="Arial" w:cs="Arial" w:eastAsia="Arial" w:hAnsi="Arial"/>
          <w:sz w:val="22"/>
          <w:szCs w:val="22"/>
          <w:color w:val="auto"/>
        </w:rPr>
      </w:pPr>
      <w:r>
        <w:rPr>
          <w:rFonts w:ascii="Arial" w:cs="Arial" w:eastAsia="Arial" w:hAnsi="Arial"/>
          <w:sz w:val="22"/>
          <w:szCs w:val="22"/>
          <w:color w:val="auto"/>
        </w:rPr>
        <w:t>“Company” is defined in the introduction.</w:t>
      </w:r>
    </w:p>
    <w:p>
      <w:pPr>
        <w:spacing w:after="0" w:line="206" w:lineRule="exact"/>
        <w:rPr>
          <w:rFonts w:ascii="Arial" w:cs="Arial" w:eastAsia="Arial" w:hAnsi="Arial"/>
          <w:sz w:val="22"/>
          <w:szCs w:val="22"/>
          <w:color w:val="auto"/>
        </w:rPr>
      </w:pPr>
    </w:p>
    <w:p>
      <w:pPr>
        <w:jc w:val="both"/>
        <w:ind w:left="-872" w:firstLine="872"/>
        <w:spacing w:after="0" w:line="271" w:lineRule="auto"/>
        <w:tabs>
          <w:tab w:leader="none" w:pos="856" w:val="left"/>
        </w:tabs>
        <w:numPr>
          <w:ilvl w:val="1"/>
          <w:numId w:val="92"/>
        </w:numPr>
        <w:rPr>
          <w:rFonts w:ascii="Arial" w:cs="Arial" w:eastAsia="Arial" w:hAnsi="Arial"/>
          <w:sz w:val="19"/>
          <w:szCs w:val="19"/>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any Direct Competitor (as defined in Section 12(g) below); (iii) engages or employs, or solicits or contacts with a view to the engagement or employment of, any employee of the Company or its Subsidiaries; (iv) canvasses, solicits, approaches or entices away or causes to be canvassed, solicited, approached or enticed away from the Company or its Subsidiaries any customer of any of such entities during the Performance Period and up to and including the Vesting Date; (v) is determined to have engaged (whether or not prior to Termination of Employment) in either gross misconduct or criminal activity that is, or that could reasonably be expected to be, harmful to the Company or a Subsidiary; or (vi)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872" w:firstLine="872"/>
        <w:spacing w:after="0" w:line="287" w:lineRule="auto"/>
        <w:tabs>
          <w:tab w:leader="none" w:pos="966" w:val="left"/>
        </w:tabs>
        <w:numPr>
          <w:ilvl w:val="1"/>
          <w:numId w:val="92"/>
        </w:numPr>
        <w:rPr>
          <w:rFonts w:ascii="Arial" w:cs="Arial" w:eastAsia="Arial" w:hAnsi="Arial"/>
          <w:sz w:val="19"/>
          <w:szCs w:val="19"/>
          <w:color w:val="auto"/>
        </w:rPr>
      </w:pPr>
      <w:r>
        <w:rPr>
          <w:rFonts w:ascii="Arial" w:cs="Arial" w:eastAsia="Arial" w:hAnsi="Arial"/>
          <w:sz w:val="19"/>
          <w:szCs w:val="19"/>
          <w:color w:val="auto"/>
        </w:rPr>
        <w:t>“Direct Competitor” means any of the following: (i) Halliburton Company, Weatherford International plc, Baker Hughes Company, TechnipFMC plc, NOV Inc., and any other oilfield equipment and services entity; and (ii) any entity engaged in seismic processing and reservoir geosciences services to the oil and natural gas industry, including in all cases in clause (i) and this clause (ii), any and all of their parents, subsidiaries, affiliates, joint ventures, divisions, successors, or assigns.</w:t>
      </w:r>
    </w:p>
    <w:p>
      <w:pPr>
        <w:spacing w:after="0" w:line="142" w:lineRule="exact"/>
        <w:rPr>
          <w:rFonts w:ascii="Arial" w:cs="Arial" w:eastAsia="Arial" w:hAnsi="Arial"/>
          <w:sz w:val="19"/>
          <w:szCs w:val="19"/>
          <w:color w:val="auto"/>
        </w:rPr>
      </w:pPr>
    </w:p>
    <w:p>
      <w:pPr>
        <w:jc w:val="both"/>
        <w:ind w:left="-872" w:firstLine="872"/>
        <w:spacing w:after="0"/>
        <w:tabs>
          <w:tab w:leader="none" w:pos="892" w:val="left"/>
        </w:tabs>
        <w:numPr>
          <w:ilvl w:val="1"/>
          <w:numId w:val="92"/>
        </w:numPr>
        <w:rPr>
          <w:rFonts w:ascii="Arial" w:cs="Arial" w:eastAsia="Arial" w:hAnsi="Arial"/>
          <w:sz w:val="22"/>
          <w:szCs w:val="22"/>
          <w:color w:val="auto"/>
        </w:rPr>
      </w:pPr>
      <w:r>
        <w:rPr>
          <w:rFonts w:ascii="Arial" w:cs="Arial" w:eastAsia="Arial" w:hAnsi="Arial"/>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85" w:lineRule="exact"/>
        <w:rPr>
          <w:sz w:val="20"/>
          <w:szCs w:val="20"/>
          <w:color w:val="auto"/>
        </w:rPr>
      </w:pPr>
    </w:p>
    <w:p>
      <w:pPr>
        <w:ind w:left="9648"/>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5</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171450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50" w:name="page51"/>
    <w:bookmarkEnd w:id="50"/>
    <w:p>
      <w:pPr>
        <w:ind w:left="-872" w:firstLine="872"/>
        <w:spacing w:after="0" w:line="250" w:lineRule="auto"/>
        <w:tabs>
          <w:tab w:leader="none" w:pos="844" w:val="left"/>
        </w:tabs>
        <w:numPr>
          <w:ilvl w:val="0"/>
          <w:numId w:val="93"/>
        </w:numPr>
        <w:rPr>
          <w:rFonts w:ascii="Arial" w:cs="Arial" w:eastAsia="Arial" w:hAnsi="Arial"/>
          <w:sz w:val="22"/>
          <w:szCs w:val="22"/>
          <w:color w:val="auto"/>
        </w:rPr>
      </w:pPr>
      <w:r>
        <w:rPr>
          <w:rFonts w:ascii="Arial" w:cs="Arial" w:eastAsia="Arial" w:hAnsi="Arial"/>
          <w:sz w:val="22"/>
          <w:szCs w:val="22"/>
          <w:color w:val="auto"/>
        </w:rPr>
        <w:t>“Early Retirement” means Employee’s voluntary election to retire from employment with the Company and its Subsidiaries at any time after Employee has reached both the age of 55 and 20 years of service.</w:t>
      </w:r>
    </w:p>
    <w:p>
      <w:pPr>
        <w:spacing w:after="0" w:line="174" w:lineRule="exact"/>
        <w:rPr>
          <w:rFonts w:ascii="Arial" w:cs="Arial" w:eastAsia="Arial" w:hAnsi="Arial"/>
          <w:sz w:val="22"/>
          <w:szCs w:val="22"/>
          <w:color w:val="auto"/>
        </w:rPr>
      </w:pPr>
    </w:p>
    <w:p>
      <w:pPr>
        <w:ind w:left="848" w:hanging="848"/>
        <w:spacing w:after="0"/>
        <w:tabs>
          <w:tab w:leader="none" w:pos="848" w:val="left"/>
        </w:tabs>
        <w:numPr>
          <w:ilvl w:val="0"/>
          <w:numId w:val="93"/>
        </w:numPr>
        <w:rPr>
          <w:rFonts w:ascii="Arial" w:cs="Arial" w:eastAsia="Arial" w:hAnsi="Arial"/>
          <w:sz w:val="22"/>
          <w:szCs w:val="22"/>
          <w:color w:val="auto"/>
        </w:rPr>
      </w:pPr>
      <w:r>
        <w:rPr>
          <w:rFonts w:ascii="Arial" w:cs="Arial" w:eastAsia="Arial" w:hAnsi="Arial"/>
          <w:sz w:val="22"/>
          <w:szCs w:val="22"/>
          <w:color w:val="auto"/>
        </w:rPr>
        <w:t>“Employee” is defined in the introduction.</w:t>
      </w:r>
    </w:p>
    <w:p>
      <w:pPr>
        <w:spacing w:after="0" w:line="206" w:lineRule="exact"/>
        <w:rPr>
          <w:rFonts w:ascii="Arial" w:cs="Arial" w:eastAsia="Arial" w:hAnsi="Arial"/>
          <w:sz w:val="22"/>
          <w:szCs w:val="22"/>
          <w:color w:val="auto"/>
        </w:rPr>
      </w:pPr>
    </w:p>
    <w:p>
      <w:pPr>
        <w:jc w:val="both"/>
        <w:ind w:left="-872" w:firstLine="872"/>
        <w:spacing w:after="0" w:line="249" w:lineRule="auto"/>
        <w:tabs>
          <w:tab w:leader="none" w:pos="892" w:val="left"/>
        </w:tabs>
        <w:numPr>
          <w:ilvl w:val="0"/>
          <w:numId w:val="93"/>
        </w:numPr>
        <w:rPr>
          <w:rFonts w:ascii="Arial" w:cs="Arial" w:eastAsia="Arial" w:hAnsi="Arial"/>
          <w:sz w:val="21"/>
          <w:szCs w:val="21"/>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8" w:lineRule="exact"/>
        <w:rPr>
          <w:rFonts w:ascii="Arial" w:cs="Arial" w:eastAsia="Arial" w:hAnsi="Arial"/>
          <w:sz w:val="21"/>
          <w:szCs w:val="21"/>
          <w:color w:val="auto"/>
        </w:rPr>
      </w:pPr>
    </w:p>
    <w:p>
      <w:pPr>
        <w:ind w:left="848" w:hanging="848"/>
        <w:spacing w:after="0"/>
        <w:tabs>
          <w:tab w:leader="none" w:pos="848" w:val="left"/>
        </w:tabs>
        <w:numPr>
          <w:ilvl w:val="0"/>
          <w:numId w:val="93"/>
        </w:numPr>
        <w:rPr>
          <w:rFonts w:ascii="Arial" w:cs="Arial" w:eastAsia="Arial" w:hAnsi="Arial"/>
          <w:sz w:val="22"/>
          <w:szCs w:val="22"/>
          <w:color w:val="auto"/>
        </w:rPr>
      </w:pPr>
      <w:r>
        <w:rPr>
          <w:rFonts w:ascii="Arial" w:cs="Arial" w:eastAsia="Arial" w:hAnsi="Arial"/>
          <w:sz w:val="22"/>
          <w:szCs w:val="22"/>
          <w:color w:val="auto"/>
        </w:rPr>
        <w:t>“Grant Date” is defined in the introduction.</w:t>
      </w:r>
    </w:p>
    <w:p>
      <w:pPr>
        <w:spacing w:after="0" w:line="206" w:lineRule="exact"/>
        <w:rPr>
          <w:rFonts w:ascii="Arial" w:cs="Arial" w:eastAsia="Arial" w:hAnsi="Arial"/>
          <w:sz w:val="22"/>
          <w:szCs w:val="22"/>
          <w:color w:val="auto"/>
        </w:rPr>
      </w:pPr>
    </w:p>
    <w:p>
      <w:pPr>
        <w:ind w:left="968" w:hanging="968"/>
        <w:spacing w:after="0"/>
        <w:tabs>
          <w:tab w:leader="none" w:pos="968" w:val="left"/>
        </w:tabs>
        <w:numPr>
          <w:ilvl w:val="0"/>
          <w:numId w:val="93"/>
        </w:numPr>
        <w:rPr>
          <w:rFonts w:ascii="Arial" w:cs="Arial" w:eastAsia="Arial" w:hAnsi="Arial"/>
          <w:sz w:val="22"/>
          <w:szCs w:val="22"/>
          <w:color w:val="auto"/>
        </w:rPr>
      </w:pPr>
      <w:r>
        <w:rPr>
          <w:rFonts w:ascii="Arial" w:cs="Arial" w:eastAsia="Arial" w:hAnsi="Arial"/>
          <w:sz w:val="22"/>
          <w:szCs w:val="22"/>
          <w:color w:val="auto"/>
        </w:rPr>
        <w:t>“Free Cash Flow Performance Period” is defined in Section 2.</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0"/>
          <w:numId w:val="93"/>
        </w:numPr>
        <w:rPr>
          <w:rFonts w:ascii="Arial" w:cs="Arial" w:eastAsia="Arial" w:hAnsi="Arial"/>
          <w:sz w:val="22"/>
          <w:szCs w:val="22"/>
          <w:color w:val="auto"/>
        </w:rPr>
      </w:pPr>
      <w:r>
        <w:rPr>
          <w:rFonts w:ascii="Arial" w:cs="Arial" w:eastAsia="Arial" w:hAnsi="Arial"/>
          <w:sz w:val="22"/>
          <w:szCs w:val="22"/>
          <w:color w:val="auto"/>
        </w:rPr>
        <w:t>“Performance Share Units” is defined in Section 1.</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0"/>
          <w:numId w:val="93"/>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ind w:left="-872" w:firstLine="872"/>
        <w:spacing w:after="0" w:line="250" w:lineRule="auto"/>
        <w:tabs>
          <w:tab w:leader="none" w:pos="892" w:val="left"/>
        </w:tabs>
        <w:numPr>
          <w:ilvl w:val="0"/>
          <w:numId w:val="93"/>
        </w:numPr>
        <w:rPr>
          <w:rFonts w:ascii="Arial" w:cs="Arial" w:eastAsia="Arial" w:hAnsi="Arial"/>
          <w:sz w:val="22"/>
          <w:szCs w:val="22"/>
          <w:color w:val="auto"/>
        </w:rPr>
      </w:pPr>
      <w:r>
        <w:rPr>
          <w:rFonts w:ascii="Arial" w:cs="Arial" w:eastAsia="Arial" w:hAnsi="Arial"/>
          <w:sz w:val="22"/>
          <w:szCs w:val="22"/>
          <w:color w:val="auto"/>
        </w:rPr>
        <w:t>“Retirement” means Employee’s voluntary election to retire from employment with the Company and its Subsidiaries at any time after Employee has reached both the age of 60 and 25 years of service.</w:t>
      </w:r>
    </w:p>
    <w:p>
      <w:pPr>
        <w:spacing w:after="0" w:line="174" w:lineRule="exact"/>
        <w:rPr>
          <w:rFonts w:ascii="Arial" w:cs="Arial" w:eastAsia="Arial" w:hAnsi="Arial"/>
          <w:sz w:val="22"/>
          <w:szCs w:val="22"/>
          <w:color w:val="auto"/>
        </w:rPr>
      </w:pPr>
    </w:p>
    <w:p>
      <w:pPr>
        <w:ind w:left="-872" w:firstLine="872"/>
        <w:spacing w:after="0" w:line="250" w:lineRule="auto"/>
        <w:tabs>
          <w:tab w:leader="none" w:pos="892" w:val="left"/>
        </w:tabs>
        <w:numPr>
          <w:ilvl w:val="0"/>
          <w:numId w:val="93"/>
        </w:numPr>
        <w:rPr>
          <w:rFonts w:ascii="Arial" w:cs="Arial" w:eastAsia="Arial" w:hAnsi="Arial"/>
          <w:sz w:val="22"/>
          <w:szCs w:val="22"/>
          <w:color w:val="auto"/>
        </w:rPr>
      </w:pPr>
      <w:r>
        <w:rPr>
          <w:rFonts w:ascii="Arial" w:cs="Arial" w:eastAsia="Arial" w:hAnsi="Arial"/>
          <w:sz w:val="22"/>
          <w:szCs w:val="22"/>
          <w:color w:val="auto"/>
        </w:rPr>
        <w:t>“Retirement Committee” means a committee consisting of the Company’s Vice President of Human Resources, the HR Director Total Talent Management and the Executive Compensation Manager.</w:t>
      </w:r>
    </w:p>
    <w:p>
      <w:pPr>
        <w:spacing w:after="0" w:line="174" w:lineRule="exact"/>
        <w:rPr>
          <w:rFonts w:ascii="Arial" w:cs="Arial" w:eastAsia="Arial" w:hAnsi="Arial"/>
          <w:sz w:val="22"/>
          <w:szCs w:val="22"/>
          <w:color w:val="auto"/>
        </w:rPr>
      </w:pPr>
    </w:p>
    <w:p>
      <w:pPr>
        <w:ind w:left="868" w:hanging="868"/>
        <w:spacing w:after="0"/>
        <w:tabs>
          <w:tab w:leader="none" w:pos="868" w:val="left"/>
        </w:tabs>
        <w:numPr>
          <w:ilvl w:val="0"/>
          <w:numId w:val="93"/>
        </w:numPr>
        <w:rPr>
          <w:rFonts w:ascii="Arial" w:cs="Arial" w:eastAsia="Arial" w:hAnsi="Arial"/>
          <w:sz w:val="22"/>
          <w:szCs w:val="22"/>
          <w:color w:val="auto"/>
        </w:rPr>
      </w:pPr>
      <w:r>
        <w:rPr>
          <w:rFonts w:ascii="Arial" w:cs="Arial" w:eastAsia="Arial" w:hAnsi="Arial"/>
          <w:sz w:val="22"/>
          <w:szCs w:val="22"/>
          <w:color w:val="auto"/>
        </w:rPr>
        <w:t>“Settlement Date” is defined in Section 3.</w:t>
      </w:r>
    </w:p>
    <w:p>
      <w:pPr>
        <w:spacing w:after="0" w:line="206" w:lineRule="exact"/>
        <w:rPr>
          <w:rFonts w:ascii="Arial" w:cs="Arial" w:eastAsia="Arial" w:hAnsi="Arial"/>
          <w:sz w:val="22"/>
          <w:szCs w:val="22"/>
          <w:color w:val="auto"/>
        </w:rPr>
      </w:pPr>
    </w:p>
    <w:p>
      <w:pPr>
        <w:ind w:left="-872" w:right="20" w:firstLine="872"/>
        <w:spacing w:after="0" w:line="250" w:lineRule="auto"/>
        <w:tabs>
          <w:tab w:leader="none" w:pos="868" w:val="left"/>
        </w:tabs>
        <w:numPr>
          <w:ilvl w:val="0"/>
          <w:numId w:val="93"/>
        </w:numPr>
        <w:rPr>
          <w:rFonts w:ascii="Arial" w:cs="Arial" w:eastAsia="Arial" w:hAnsi="Arial"/>
          <w:sz w:val="22"/>
          <w:szCs w:val="22"/>
          <w:color w:val="auto"/>
        </w:rPr>
      </w:pPr>
      <w:r>
        <w:rPr>
          <w:rFonts w:ascii="Arial" w:cs="Arial" w:eastAsia="Arial" w:hAnsi="Arial"/>
          <w:sz w:val="22"/>
          <w:szCs w:val="22"/>
          <w:color w:val="auto"/>
        </w:rPr>
        <w:t>“Special Retirement” means Employee’s voluntary election to retire from employment with the Company and its Subsidiaries at any time after Employee has reached both the age of 50 and 10 years of service.</w:t>
      </w:r>
    </w:p>
    <w:p>
      <w:pPr>
        <w:spacing w:after="0" w:line="174" w:lineRule="exact"/>
        <w:rPr>
          <w:rFonts w:ascii="Arial" w:cs="Arial" w:eastAsia="Arial" w:hAnsi="Arial"/>
          <w:sz w:val="22"/>
          <w:szCs w:val="22"/>
          <w:color w:val="auto"/>
        </w:rPr>
      </w:pPr>
    </w:p>
    <w:p>
      <w:pPr>
        <w:jc w:val="both"/>
        <w:ind w:left="-872" w:firstLine="872"/>
        <w:spacing w:after="0" w:line="252" w:lineRule="auto"/>
        <w:tabs>
          <w:tab w:leader="none" w:pos="844" w:val="left"/>
        </w:tabs>
        <w:numPr>
          <w:ilvl w:val="0"/>
          <w:numId w:val="93"/>
        </w:numPr>
        <w:rPr>
          <w:rFonts w:ascii="Arial" w:cs="Arial" w:eastAsia="Arial" w:hAnsi="Arial"/>
          <w:sz w:val="21"/>
          <w:szCs w:val="21"/>
          <w:color w:val="auto"/>
        </w:rPr>
      </w:pPr>
      <w:r>
        <w:rPr>
          <w:rFonts w:ascii="Arial" w:cs="Arial" w:eastAsia="Arial" w:hAnsi="Arial"/>
          <w:sz w:val="21"/>
          <w:szCs w:val="21"/>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3" w:lineRule="exact"/>
        <w:rPr>
          <w:rFonts w:ascii="Arial" w:cs="Arial" w:eastAsia="Arial" w:hAnsi="Arial"/>
          <w:sz w:val="21"/>
          <w:szCs w:val="21"/>
          <w:color w:val="auto"/>
        </w:rPr>
      </w:pPr>
    </w:p>
    <w:p>
      <w:pPr>
        <w:ind w:left="908" w:hanging="908"/>
        <w:spacing w:after="0"/>
        <w:tabs>
          <w:tab w:leader="none" w:pos="908" w:val="left"/>
        </w:tabs>
        <w:numPr>
          <w:ilvl w:val="0"/>
          <w:numId w:val="93"/>
        </w:numPr>
        <w:rPr>
          <w:rFonts w:ascii="Arial" w:cs="Arial" w:eastAsia="Arial" w:hAnsi="Arial"/>
          <w:sz w:val="22"/>
          <w:szCs w:val="22"/>
          <w:color w:val="auto"/>
        </w:rPr>
      </w:pPr>
      <w:r>
        <w:rPr>
          <w:rFonts w:ascii="Arial" w:cs="Arial" w:eastAsia="Arial" w:hAnsi="Arial"/>
          <w:sz w:val="22"/>
          <w:szCs w:val="22"/>
          <w:color w:val="auto"/>
        </w:rPr>
        <w:t>“Tax Date” is defined in Section 7(b).</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0"/>
          <w:numId w:val="93"/>
        </w:numPr>
        <w:rPr>
          <w:rFonts w:ascii="Arial" w:cs="Arial" w:eastAsia="Arial" w:hAnsi="Arial"/>
          <w:sz w:val="22"/>
          <w:szCs w:val="22"/>
          <w:color w:val="auto"/>
        </w:rPr>
      </w:pPr>
      <w:r>
        <w:rPr>
          <w:rFonts w:ascii="Arial" w:cs="Arial" w:eastAsia="Arial" w:hAnsi="Arial"/>
          <w:sz w:val="22"/>
          <w:szCs w:val="22"/>
          <w:color w:val="auto"/>
        </w:rPr>
        <w:t>“Tax-Related Items” is defined in Section 7(a).</w:t>
      </w:r>
    </w:p>
    <w:p>
      <w:pPr>
        <w:spacing w:after="0" w:line="206" w:lineRule="exact"/>
        <w:rPr>
          <w:rFonts w:ascii="Arial" w:cs="Arial" w:eastAsia="Arial" w:hAnsi="Arial"/>
          <w:sz w:val="22"/>
          <w:szCs w:val="22"/>
          <w:color w:val="auto"/>
        </w:rPr>
      </w:pPr>
    </w:p>
    <w:p>
      <w:pPr>
        <w:jc w:val="both"/>
        <w:ind w:left="-872" w:firstLine="872"/>
        <w:spacing w:after="0" w:line="238" w:lineRule="auto"/>
        <w:tabs>
          <w:tab w:leader="none" w:pos="9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“Termination of Employment” means the voluntary or involuntary termination of Employee’s employment 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83" w:lineRule="exact"/>
        <w:rPr>
          <w:sz w:val="20"/>
          <w:szCs w:val="20"/>
          <w:color w:val="auto"/>
        </w:rPr>
      </w:pPr>
    </w:p>
    <w:p>
      <w:pPr>
        <w:ind w:left="9648"/>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6</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171450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51" w:name="page52"/>
    <w:bookmarkEnd w:id="51"/>
    <w:p>
      <w:pPr>
        <w:ind w:left="1780" w:hanging="908"/>
        <w:spacing w:after="0"/>
        <w:tabs>
          <w:tab w:leader="none" w:pos="17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“Transfer” is defined in Section 5(a).</w:t>
      </w:r>
    </w:p>
    <w:p>
      <w:pPr>
        <w:spacing w:after="0" w:line="206" w:lineRule="exact"/>
        <w:rPr>
          <w:rFonts w:ascii="Arial" w:cs="Arial" w:eastAsia="Arial" w:hAnsi="Arial"/>
          <w:sz w:val="22"/>
          <w:szCs w:val="22"/>
          <w:color w:val="auto"/>
        </w:rPr>
      </w:pPr>
    </w:p>
    <w:p>
      <w:pPr>
        <w:ind w:left="1820" w:hanging="948"/>
        <w:spacing w:after="0"/>
        <w:tabs>
          <w:tab w:leader="none" w:pos="18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“Vesting Date” is defined in Section 2(a).</w:t>
      </w:r>
    </w:p>
    <w:p>
      <w:pPr>
        <w:spacing w:after="0" w:line="206" w:lineRule="exact"/>
        <w:rPr>
          <w:sz w:val="20"/>
          <w:szCs w:val="20"/>
          <w:color w:val="auto"/>
        </w:rPr>
      </w:pPr>
    </w:p>
    <w:p>
      <w:pPr>
        <w:ind w:left="1780" w:hanging="908"/>
        <w:spacing w:after="0"/>
        <w:tabs>
          <w:tab w:leader="none" w:pos="178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firstLine="872"/>
        <w:spacing w:after="0" w:line="328" w:lineRule="auto"/>
        <w:tabs>
          <w:tab w:leader="none" w:pos="1751" w:val="left"/>
        </w:tabs>
        <w:numPr>
          <w:ilvl w:val="0"/>
          <w:numId w:val="96"/>
        </w:numPr>
        <w:rPr>
          <w:rFonts w:ascii="Arial" w:cs="Arial" w:eastAsia="Arial" w:hAnsi="Arial"/>
          <w:sz w:val="19"/>
          <w:szCs w:val="19"/>
          <w:color w:val="auto"/>
        </w:rPr>
      </w:pPr>
      <w:r>
        <w:rPr>
          <w:rFonts w:ascii="Arial" w:cs="Arial" w:eastAsia="Arial" w:hAnsi="Arial"/>
          <w:sz w:val="19"/>
          <w:szCs w:val="19"/>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04" w:lineRule="exact"/>
        <w:rPr>
          <w:rFonts w:ascii="Arial" w:cs="Arial" w:eastAsia="Arial" w:hAnsi="Arial"/>
          <w:sz w:val="19"/>
          <w:szCs w:val="19"/>
          <w:color w:val="auto"/>
        </w:rPr>
      </w:pPr>
    </w:p>
    <w:p>
      <w:pPr>
        <w:jc w:val="both"/>
        <w:ind w:firstLine="872"/>
        <w:spacing w:after="0" w:line="297" w:lineRule="auto"/>
        <w:tabs>
          <w:tab w:leader="none" w:pos="1763"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33" w:lineRule="exact"/>
        <w:rPr>
          <w:rFonts w:ascii="Arial" w:cs="Arial" w:eastAsia="Arial" w:hAnsi="Arial"/>
          <w:sz w:val="19"/>
          <w:szCs w:val="19"/>
          <w:color w:val="auto"/>
        </w:rPr>
      </w:pPr>
    </w:p>
    <w:p>
      <w:pPr>
        <w:ind w:firstLine="872"/>
        <w:spacing w:after="0" w:line="250" w:lineRule="auto"/>
        <w:tabs>
          <w:tab w:leader="none" w:pos="1751"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of this Agreement will not affect the validity or enforceability of any other provision of this Agreement.</w:t>
      </w:r>
    </w:p>
    <w:p>
      <w:pPr>
        <w:spacing w:after="0" w:line="174" w:lineRule="exact"/>
        <w:rPr>
          <w:rFonts w:ascii="Arial" w:cs="Arial" w:eastAsia="Arial" w:hAnsi="Arial"/>
          <w:sz w:val="22"/>
          <w:szCs w:val="22"/>
          <w:color w:val="auto"/>
        </w:rPr>
      </w:pPr>
    </w:p>
    <w:p>
      <w:pPr>
        <w:jc w:val="both"/>
        <w:ind w:firstLine="872"/>
        <w:spacing w:after="0"/>
        <w:tabs>
          <w:tab w:leader="none" w:pos="1763"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86" w:lineRule="exact"/>
        <w:rPr>
          <w:rFonts w:ascii="Arial" w:cs="Arial" w:eastAsia="Arial" w:hAnsi="Arial"/>
          <w:sz w:val="22"/>
          <w:szCs w:val="22"/>
          <w:color w:val="auto"/>
        </w:rPr>
      </w:pPr>
    </w:p>
    <w:p>
      <w:pPr>
        <w:jc w:val="both"/>
        <w:ind w:firstLine="872"/>
        <w:spacing w:after="0"/>
        <w:tabs>
          <w:tab w:leader="none" w:pos="1751"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86" w:lineRule="exact"/>
        <w:rPr>
          <w:rFonts w:ascii="Arial" w:cs="Arial" w:eastAsia="Arial" w:hAnsi="Arial"/>
          <w:sz w:val="22"/>
          <w:szCs w:val="22"/>
          <w:color w:val="auto"/>
        </w:rPr>
      </w:pPr>
    </w:p>
    <w:p>
      <w:pPr>
        <w:ind w:right="20" w:firstLine="872"/>
        <w:spacing w:after="0" w:line="250" w:lineRule="auto"/>
        <w:tabs>
          <w:tab w:leader="none" w:pos="1727" w:val="left"/>
        </w:tabs>
        <w:numPr>
          <w:ilvl w:val="0"/>
          <w:numId w:val="96"/>
        </w:numPr>
        <w:rPr>
          <w:rFonts w:ascii="Arial" w:cs="Arial" w:eastAsia="Arial" w:hAnsi="Arial"/>
          <w:sz w:val="22"/>
          <w:szCs w:val="22"/>
          <w:color w:val="auto"/>
        </w:rPr>
      </w:pPr>
      <w:r>
        <w:rPr>
          <w:rFonts w:ascii="Arial" w:cs="Arial" w:eastAsia="Arial" w:hAnsi="Arial"/>
          <w:sz w:val="22"/>
          <w:szCs w:val="22"/>
          <w:color w:val="auto"/>
        </w:rPr>
        <w:t>Employee and the Company agree to execute such further instruments and to take such further action as may reasonably be necessary to carry out the intent of this Agreement.</w:t>
      </w:r>
    </w:p>
    <w:p>
      <w:pPr>
        <w:spacing w:after="0" w:line="174" w:lineRule="exact"/>
        <w:rPr>
          <w:rFonts w:ascii="Arial" w:cs="Arial" w:eastAsia="Arial" w:hAnsi="Arial"/>
          <w:sz w:val="22"/>
          <w:szCs w:val="22"/>
          <w:color w:val="auto"/>
        </w:rPr>
      </w:pPr>
    </w:p>
    <w:p>
      <w:pPr>
        <w:jc w:val="both"/>
        <w:ind w:firstLine="872"/>
        <w:spacing w:after="0" w:line="275" w:lineRule="auto"/>
        <w:tabs>
          <w:tab w:leader="none" w:pos="1763"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57" w:lineRule="exact"/>
        <w:rPr>
          <w:rFonts w:ascii="Arial" w:cs="Arial" w:eastAsia="Arial" w:hAnsi="Arial"/>
          <w:sz w:val="19"/>
          <w:szCs w:val="19"/>
          <w:color w:val="auto"/>
        </w:rPr>
      </w:pPr>
    </w:p>
    <w:p>
      <w:pPr>
        <w:jc w:val="both"/>
        <w:ind w:firstLine="872"/>
        <w:spacing w:after="0" w:line="249" w:lineRule="auto"/>
        <w:tabs>
          <w:tab w:leader="none" w:pos="1763" w:val="left"/>
        </w:tabs>
        <w:numPr>
          <w:ilvl w:val="0"/>
          <w:numId w:val="96"/>
        </w:numPr>
        <w:rPr>
          <w:rFonts w:ascii="Arial" w:cs="Arial" w:eastAsia="Arial" w:hAnsi="Arial"/>
          <w:sz w:val="21"/>
          <w:szCs w:val="21"/>
          <w:color w:val="auto"/>
        </w:rPr>
      </w:pPr>
      <w:r>
        <w:rPr>
          <w:rFonts w:ascii="Arial" w:cs="Arial" w:eastAsia="Arial" w:hAnsi="Arial"/>
          <w:sz w:val="21"/>
          <w:szCs w:val="21"/>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2" w:name="page53"/>
    <w:bookmarkEnd w:id="52"/>
    <w:p>
      <w:pPr>
        <w:jc w:val="both"/>
        <w:spacing w:after="0" w:line="268" w:lineRule="auto"/>
        <w:rPr>
          <w:sz w:val="20"/>
          <w:szCs w:val="20"/>
          <w:color w:val="auto"/>
        </w:rPr>
      </w:pPr>
      <w:r>
        <w:rPr>
          <w:rFonts w:ascii="Arial" w:cs="Arial" w:eastAsia="Arial" w:hAnsi="Arial"/>
          <w:sz w:val="19"/>
          <w:szCs w:val="19"/>
          <w:color w:val="auto"/>
        </w:rPr>
        <w:t>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w:t>
      </w:r>
    </w:p>
    <w:p>
      <w:pPr>
        <w:spacing w:after="0" w:line="6"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EMPLOYEE AND THE COMPANY HEREBY WAIVE, TO THE FULLEST EXTENT PERMITTED BY LAW, ANY RIGHT TO TRIAL BY JURY OF ANY CLAIM, DEMAND, ACTION, OR CAUSE OF ACTION ARISING OUT OF THIS AGREEMENT OR ANY ATTACHMENT THERETO.</w:t>
      </w:r>
    </w:p>
    <w:p>
      <w:pPr>
        <w:spacing w:after="0" w:line="187" w:lineRule="exact"/>
        <w:rPr>
          <w:sz w:val="20"/>
          <w:szCs w:val="20"/>
          <w:color w:val="auto"/>
        </w:rPr>
      </w:pPr>
    </w:p>
    <w:p>
      <w:pPr>
        <w:jc w:val="both"/>
        <w:ind w:firstLine="872"/>
        <w:spacing w:after="0" w:line="277" w:lineRule="auto"/>
        <w:tabs>
          <w:tab w:leader="none" w:pos="1782"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 addition, by acceptance of this award, you agree that any prior awards that have been issued to you pursuant to the Plan or any other incentive plan of the Company are subject to the Clawback Policy.</w:t>
      </w:r>
    </w:p>
    <w:p>
      <w:pPr>
        <w:spacing w:after="0" w:line="151" w:lineRule="exact"/>
        <w:rPr>
          <w:rFonts w:ascii="Arial" w:cs="Arial" w:eastAsia="Arial" w:hAnsi="Arial"/>
          <w:sz w:val="19"/>
          <w:szCs w:val="19"/>
          <w:color w:val="auto"/>
        </w:rPr>
      </w:pPr>
    </w:p>
    <w:p>
      <w:pPr>
        <w:jc w:val="both"/>
        <w:ind w:firstLine="872"/>
        <w:spacing w:after="0" w:line="277" w:lineRule="auto"/>
        <w:tabs>
          <w:tab w:leader="none" w:pos="1782"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Acceptance of Award</w:t>
      </w:r>
      <w:r>
        <w:rPr>
          <w:rFonts w:ascii="Arial" w:cs="Arial" w:eastAsia="Arial" w:hAnsi="Arial"/>
          <w:sz w:val="19"/>
          <w:szCs w:val="19"/>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8</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ATTACHMENT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Conditions</w:t>
      </w:r>
    </w:p>
    <w:p>
      <w:pPr>
        <w:spacing w:after="0" w:line="18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Subject to the provisions of the Agreement and this Attachment I, vesting of the Performance Share Units is conditioned upon the cumulative absolute free cash flow (“FCF”) generated by the Company over the Free Cash Flow Performance Period as a percentage of cumulative revenue generated by the Company from January 1, 2021 to December 31, 2023.</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Definitions</w:t>
      </w:r>
    </w:p>
    <w:p>
      <w:pPr>
        <w:spacing w:after="0" w:line="20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“Free cash flow” is defined as the Company’s cash flow from operations, less capital expenditures, investments in existing Asset Performance Solutions (“APS”) projects, and multiclient seismic data costs capitalized.</w:t>
      </w:r>
    </w:p>
    <w:p>
      <w:pPr>
        <w:spacing w:after="0" w:line="15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The Committee has the discretion to adjust the free cash flow to take into account the effects of significant cash inflows or outflows that are not necessarily representative of the underlying business operations.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Performance/Payout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number of Performance Share Units that will vest on the Vesting Date will be equal to the product of (i) the target Performance Share Units and (ii) the Payout Factor set forth below (with any fractional shares rounded up to the next whole share).</w:t>
      </w:r>
    </w:p>
    <w:p>
      <w:pPr>
        <w:spacing w:after="0" w:line="18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The FCF achieved by the Company over the Free Cash Flow Performance Period will be certified by the Committee. The Payout Factor for FCF achievement levels between points on this chart will be determined by linear interpolation between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340" w:type="dxa"/>
            <w:vAlign w:val="bottom"/>
            <w:gridSpan w:val="4"/>
          </w:tcPr>
          <w:p>
            <w:pPr>
              <w:spacing w:after="0"/>
              <w:rPr>
                <w:sz w:val="20"/>
                <w:szCs w:val="20"/>
                <w:color w:val="auto"/>
              </w:rPr>
            </w:pPr>
            <w:r>
              <w:rPr>
                <w:rFonts w:ascii="Arial" w:cs="Arial" w:eastAsia="Arial" w:hAnsi="Arial"/>
                <w:sz w:val="22"/>
                <w:szCs w:val="22"/>
                <w:color w:val="auto"/>
                <w:w w:val="91"/>
              </w:rPr>
              <w:t>the values listed. The maximum payout of Performance Share Units is [</w:t>
            </w:r>
          </w:p>
        </w:tc>
        <w:tc>
          <w:tcPr>
            <w:tcW w:w="4860" w:type="dxa"/>
            <w:vAlign w:val="bottom"/>
            <w:gridSpan w:val="2"/>
          </w:tcPr>
          <w:p>
            <w:pPr>
              <w:ind w:left="120"/>
              <w:spacing w:after="0"/>
              <w:rPr>
                <w:sz w:val="20"/>
                <w:szCs w:val="20"/>
                <w:color w:val="auto"/>
              </w:rPr>
            </w:pPr>
            <w:r>
              <w:rPr>
                <w:rFonts w:ascii="Arial" w:cs="Arial" w:eastAsia="Arial" w:hAnsi="Arial"/>
                <w:sz w:val="22"/>
                <w:szCs w:val="22"/>
                <w:color w:val="auto"/>
              </w:rPr>
              <w:t>]% of the Target Performance Share Units.</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5940" w:type="dxa"/>
            <w:vAlign w:val="bottom"/>
            <w:tcBorders>
              <w:bottom w:val="single" w:sz="8" w:color="auto"/>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00" w:type="dxa"/>
            <w:vAlign w:val="bottom"/>
            <w:tcBorders>
              <w:right w:val="single" w:sz="8" w:color="auto"/>
            </w:tcBorders>
          </w:tcPr>
          <w:p>
            <w:pPr>
              <w:spacing w:after="0"/>
              <w:rPr>
                <w:sz w:val="21"/>
                <w:szCs w:val="21"/>
                <w:color w:val="auto"/>
              </w:rPr>
            </w:pPr>
          </w:p>
        </w:tc>
        <w:tc>
          <w:tcPr>
            <w:tcW w:w="5940" w:type="dxa"/>
            <w:vAlign w:val="bottom"/>
            <w:tcBorders>
              <w:right w:val="single" w:sz="8" w:color="auto"/>
            </w:tcBorders>
            <w:gridSpan w:val="2"/>
          </w:tcPr>
          <w:p>
            <w:pPr>
              <w:jc w:val="right"/>
              <w:ind w:right="1081"/>
              <w:spacing w:after="0"/>
              <w:rPr>
                <w:sz w:val="20"/>
                <w:szCs w:val="20"/>
                <w:color w:val="auto"/>
              </w:rPr>
            </w:pPr>
            <w:r>
              <w:rPr>
                <w:rFonts w:ascii="Arial" w:cs="Arial" w:eastAsia="Arial" w:hAnsi="Arial"/>
                <w:sz w:val="20"/>
                <w:szCs w:val="20"/>
                <w:b w:val="1"/>
                <w:bCs w:val="1"/>
                <w:color w:val="auto"/>
              </w:rPr>
              <w:t>FCF as Percentage of Cumulative Revenue</w:t>
            </w:r>
          </w:p>
        </w:tc>
        <w:tc>
          <w:tcPr>
            <w:tcW w:w="300" w:type="dxa"/>
            <w:vAlign w:val="bottom"/>
          </w:tcPr>
          <w:p>
            <w:pPr>
              <w:spacing w:after="0"/>
              <w:rPr>
                <w:sz w:val="21"/>
                <w:szCs w:val="21"/>
                <w:color w:val="auto"/>
              </w:rPr>
            </w:pPr>
          </w:p>
        </w:tc>
        <w:tc>
          <w:tcPr>
            <w:tcW w:w="48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b w:val="1"/>
                <w:bCs w:val="1"/>
                <w:color w:val="auto"/>
                <w:w w:val="98"/>
              </w:rPr>
              <w:t>Payout Factor for Vested Performance Share Units</w:t>
            </w:r>
          </w:p>
        </w:tc>
        <w:tc>
          <w:tcPr>
            <w:tcW w:w="0" w:type="dxa"/>
            <w:vAlign w:val="bottom"/>
          </w:tcPr>
          <w:p>
            <w:pPr>
              <w:spacing w:after="0"/>
              <w:rPr>
                <w:sz w:val="1"/>
                <w:szCs w:val="1"/>
                <w:color w:val="auto"/>
              </w:rPr>
            </w:pPr>
          </w:p>
        </w:tc>
      </w:tr>
      <w:tr>
        <w:trPr>
          <w:trHeight w:val="27"/>
        </w:trPr>
        <w:tc>
          <w:tcPr>
            <w:tcW w:w="100" w:type="dxa"/>
            <w:vAlign w:val="bottom"/>
            <w:tcBorders>
              <w:right w:val="single" w:sz="8" w:color="auto"/>
            </w:tcBorders>
            <w:vMerge w:val="restart"/>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 w:type="dxa"/>
            <w:vAlign w:val="bottom"/>
            <w:tcBorders>
              <w:right w:val="single" w:sz="8" w:color="auto"/>
            </w:tcBorders>
            <w:vMerge w:val="continue"/>
          </w:tcPr>
          <w:p>
            <w:pPr>
              <w:spacing w:after="0"/>
              <w:rPr>
                <w:sz w:val="21"/>
                <w:szCs w:val="21"/>
                <w:color w:val="auto"/>
              </w:rPr>
            </w:pPr>
          </w:p>
        </w:tc>
        <w:tc>
          <w:tcPr>
            <w:tcW w:w="2900" w:type="dxa"/>
            <w:vAlign w:val="bottom"/>
          </w:tcPr>
          <w:p>
            <w:pPr>
              <w:jc w:val="center"/>
              <w:ind w:left="2481"/>
              <w:spacing w:after="0"/>
              <w:rPr>
                <w:sz w:val="20"/>
                <w:szCs w:val="20"/>
                <w:color w:val="auto"/>
              </w:rPr>
            </w:pPr>
            <w:r>
              <w:rPr>
                <w:rFonts w:ascii="Arial" w:cs="Arial" w:eastAsia="Arial" w:hAnsi="Arial"/>
                <w:sz w:val="20"/>
                <w:szCs w:val="20"/>
                <w:color w:val="auto"/>
              </w:rPr>
              <w:t>[</w:t>
            </w:r>
          </w:p>
        </w:tc>
        <w:tc>
          <w:tcPr>
            <w:tcW w:w="3040" w:type="dxa"/>
            <w:vAlign w:val="bottom"/>
            <w:tcBorders>
              <w:right w:val="single" w:sz="8" w:color="auto"/>
            </w:tcBorders>
          </w:tcPr>
          <w:p>
            <w:pPr>
              <w:jc w:val="right"/>
              <w:ind w:right="264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w:t>
            </w: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 of Target</w:t>
            </w:r>
          </w:p>
        </w:tc>
        <w:tc>
          <w:tcPr>
            <w:tcW w:w="0" w:type="dxa"/>
            <w:vAlign w:val="bottom"/>
          </w:tcPr>
          <w:p>
            <w:pPr>
              <w:spacing w:after="0"/>
              <w:rPr>
                <w:sz w:val="1"/>
                <w:szCs w:val="1"/>
                <w:color w:val="auto"/>
              </w:rPr>
            </w:pPr>
          </w:p>
        </w:tc>
      </w:tr>
      <w:tr>
        <w:trPr>
          <w:trHeight w:val="33"/>
        </w:trPr>
        <w:tc>
          <w:tcPr>
            <w:tcW w:w="100" w:type="dxa"/>
            <w:vAlign w:val="bottom"/>
            <w:tcBorders>
              <w:right w:val="single" w:sz="8" w:color="auto"/>
            </w:tcBorders>
            <w:vMerge w:val="restart"/>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 w:type="dxa"/>
            <w:vAlign w:val="bottom"/>
            <w:tcBorders>
              <w:right w:val="single" w:sz="8" w:color="auto"/>
            </w:tcBorders>
            <w:vMerge w:val="continue"/>
          </w:tcPr>
          <w:p>
            <w:pPr>
              <w:spacing w:after="0"/>
              <w:rPr>
                <w:sz w:val="21"/>
                <w:szCs w:val="21"/>
                <w:color w:val="auto"/>
              </w:rPr>
            </w:pPr>
          </w:p>
        </w:tc>
        <w:tc>
          <w:tcPr>
            <w:tcW w:w="2900" w:type="dxa"/>
            <w:vAlign w:val="bottom"/>
          </w:tcPr>
          <w:p>
            <w:pPr>
              <w:jc w:val="center"/>
              <w:ind w:left="2481"/>
              <w:spacing w:after="0"/>
              <w:rPr>
                <w:sz w:val="20"/>
                <w:szCs w:val="20"/>
                <w:color w:val="auto"/>
              </w:rPr>
            </w:pPr>
            <w:r>
              <w:rPr>
                <w:rFonts w:ascii="Arial" w:cs="Arial" w:eastAsia="Arial" w:hAnsi="Arial"/>
                <w:sz w:val="20"/>
                <w:szCs w:val="20"/>
                <w:color w:val="auto"/>
              </w:rPr>
              <w:t>[</w:t>
            </w:r>
          </w:p>
        </w:tc>
        <w:tc>
          <w:tcPr>
            <w:tcW w:w="3040" w:type="dxa"/>
            <w:vAlign w:val="bottom"/>
            <w:tcBorders>
              <w:right w:val="single" w:sz="8" w:color="auto"/>
            </w:tcBorders>
          </w:tcPr>
          <w:p>
            <w:pPr>
              <w:jc w:val="right"/>
              <w:ind w:right="264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w:t>
            </w: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 of Target</w:t>
            </w:r>
          </w:p>
        </w:tc>
        <w:tc>
          <w:tcPr>
            <w:tcW w:w="0" w:type="dxa"/>
            <w:vAlign w:val="bottom"/>
          </w:tcPr>
          <w:p>
            <w:pPr>
              <w:spacing w:after="0"/>
              <w:rPr>
                <w:sz w:val="1"/>
                <w:szCs w:val="1"/>
                <w:color w:val="auto"/>
              </w:rPr>
            </w:pPr>
          </w:p>
        </w:tc>
      </w:tr>
      <w:tr>
        <w:trPr>
          <w:trHeight w:val="33"/>
        </w:trPr>
        <w:tc>
          <w:tcPr>
            <w:tcW w:w="100" w:type="dxa"/>
            <w:vAlign w:val="bottom"/>
            <w:tcBorders>
              <w:right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 w:type="dxa"/>
            <w:vAlign w:val="bottom"/>
            <w:tcBorders>
              <w:right w:val="single" w:sz="8" w:color="auto"/>
            </w:tcBorders>
          </w:tcPr>
          <w:p>
            <w:pPr>
              <w:spacing w:after="0"/>
              <w:rPr>
                <w:sz w:val="21"/>
                <w:szCs w:val="21"/>
                <w:color w:val="auto"/>
              </w:rPr>
            </w:pPr>
          </w:p>
        </w:tc>
        <w:tc>
          <w:tcPr>
            <w:tcW w:w="2900" w:type="dxa"/>
            <w:vAlign w:val="bottom"/>
          </w:tcPr>
          <w:p>
            <w:pPr>
              <w:jc w:val="center"/>
              <w:ind w:left="2481"/>
              <w:spacing w:after="0"/>
              <w:rPr>
                <w:sz w:val="20"/>
                <w:szCs w:val="20"/>
                <w:color w:val="auto"/>
              </w:rPr>
            </w:pPr>
            <w:r>
              <w:rPr>
                <w:rFonts w:ascii="Arial" w:cs="Arial" w:eastAsia="Arial" w:hAnsi="Arial"/>
                <w:sz w:val="20"/>
                <w:szCs w:val="20"/>
                <w:color w:val="auto"/>
                <w:w w:val="96"/>
              </w:rPr>
              <w:t>≥[</w:t>
            </w:r>
          </w:p>
        </w:tc>
        <w:tc>
          <w:tcPr>
            <w:tcW w:w="3040" w:type="dxa"/>
            <w:vAlign w:val="bottom"/>
            <w:tcBorders>
              <w:right w:val="single" w:sz="8" w:color="auto"/>
            </w:tcBorders>
          </w:tcPr>
          <w:p>
            <w:pPr>
              <w:jc w:val="right"/>
              <w:ind w:right="258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w:t>
            </w: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 of Target</w:t>
            </w:r>
          </w:p>
        </w:tc>
        <w:tc>
          <w:tcPr>
            <w:tcW w:w="0" w:type="dxa"/>
            <w:vAlign w:val="bottom"/>
          </w:tcPr>
          <w:p>
            <w:pPr>
              <w:spacing w:after="0"/>
              <w:rPr>
                <w:sz w:val="1"/>
                <w:szCs w:val="1"/>
                <w:color w:val="auto"/>
              </w:rPr>
            </w:pPr>
          </w:p>
        </w:tc>
      </w:tr>
      <w:tr>
        <w:trPr>
          <w:trHeight w:val="33"/>
        </w:trPr>
        <w:tc>
          <w:tcPr>
            <w:tcW w:w="100" w:type="dxa"/>
            <w:vAlign w:val="bottom"/>
            <w:tcBorders>
              <w:right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[redacted]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Interpretation</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In the event of any ambiguity or discrepancy in this Agreement (including this Attachment I), the determination of the Committee shall be final and binding.</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148590</wp:posOffset>
            </wp:positionV>
            <wp:extent cx="1114425"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1144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ATTACHMENT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spacing w:after="0" w:line="230" w:lineRule="auto"/>
        <w:rPr>
          <w:sz w:val="20"/>
          <w:szCs w:val="20"/>
          <w:color w:val="auto"/>
        </w:rPr>
      </w:pPr>
      <w:r>
        <w:rPr>
          <w:rFonts w:ascii="Arial" w:cs="Arial" w:eastAsia="Arial" w:hAnsi="Arial"/>
          <w:sz w:val="22"/>
          <w:szCs w:val="22"/>
          <w:b w:val="1"/>
          <w:bCs w:val="1"/>
          <w:color w:val="auto"/>
        </w:rPr>
        <w:t>Non-Compete and Non-Solicitation Agreement</w:t>
      </w:r>
    </w:p>
    <w:p>
      <w:pPr>
        <w:spacing w:after="0" w:line="1" w:lineRule="exact"/>
        <w:rPr>
          <w:sz w:val="20"/>
          <w:szCs w:val="20"/>
          <w:color w:val="auto"/>
        </w:rPr>
      </w:pPr>
    </w:p>
    <w:p>
      <w:pPr>
        <w:ind w:left="1680" w:hanging="808"/>
        <w:spacing w:after="0"/>
        <w:tabs>
          <w:tab w:leader="none" w:pos="168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88" w:lineRule="exact"/>
        <w:rPr>
          <w:sz w:val="20"/>
          <w:szCs w:val="20"/>
          <w:color w:val="auto"/>
        </w:rPr>
      </w:pPr>
    </w:p>
    <w:p>
      <w:pPr>
        <w:jc w:val="both"/>
        <w:ind w:firstLine="872"/>
        <w:spacing w:after="0"/>
        <w:tabs>
          <w:tab w:leader="none" w:pos="1751" w:val="left"/>
        </w:tabs>
        <w:numPr>
          <w:ilvl w:val="0"/>
          <w:numId w:val="99"/>
        </w:numPr>
        <w:rPr>
          <w:rFonts w:ascii="Arial" w:cs="Arial" w:eastAsia="Arial" w:hAnsi="Arial"/>
          <w:sz w:val="22"/>
          <w:szCs w:val="22"/>
          <w:color w:val="auto"/>
        </w:rPr>
      </w:pPr>
      <w:r>
        <w:rPr>
          <w:rFonts w:ascii="Arial" w:cs="Arial" w:eastAsia="Arial" w:hAnsi="Arial"/>
          <w:sz w:val="22"/>
          <w:szCs w:val="22"/>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86" w:lineRule="exact"/>
        <w:rPr>
          <w:rFonts w:ascii="Arial" w:cs="Arial" w:eastAsia="Arial" w:hAnsi="Arial"/>
          <w:sz w:val="22"/>
          <w:szCs w:val="22"/>
          <w:color w:val="auto"/>
        </w:rPr>
      </w:pPr>
    </w:p>
    <w:p>
      <w:pPr>
        <w:jc w:val="both"/>
        <w:ind w:firstLine="872"/>
        <w:spacing w:after="0" w:line="272" w:lineRule="auto"/>
        <w:tabs>
          <w:tab w:leader="none" w:pos="1763" w:val="left"/>
        </w:tabs>
        <w:numPr>
          <w:ilvl w:val="0"/>
          <w:numId w:val="99"/>
        </w:numPr>
        <w:rPr>
          <w:rFonts w:ascii="Arial" w:cs="Arial" w:eastAsia="Arial" w:hAnsi="Arial"/>
          <w:sz w:val="19"/>
          <w:szCs w:val="19"/>
          <w:color w:val="auto"/>
        </w:rPr>
      </w:pPr>
      <w:r>
        <w:rPr>
          <w:rFonts w:ascii="Arial" w:cs="Arial" w:eastAsia="Arial" w:hAnsi="Arial"/>
          <w:sz w:val="19"/>
          <w:szCs w:val="19"/>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55" w:lineRule="exact"/>
        <w:rPr>
          <w:rFonts w:ascii="Arial" w:cs="Arial" w:eastAsia="Arial" w:hAnsi="Arial"/>
          <w:sz w:val="19"/>
          <w:szCs w:val="19"/>
          <w:color w:val="auto"/>
        </w:rPr>
      </w:pPr>
    </w:p>
    <w:p>
      <w:pPr>
        <w:jc w:val="both"/>
        <w:ind w:firstLine="872"/>
        <w:spacing w:after="0" w:line="257" w:lineRule="auto"/>
        <w:tabs>
          <w:tab w:leader="none" w:pos="1751" w:val="left"/>
        </w:tabs>
        <w:numPr>
          <w:ilvl w:val="0"/>
          <w:numId w:val="99"/>
        </w:numPr>
        <w:rPr>
          <w:rFonts w:ascii="Arial" w:cs="Arial" w:eastAsia="Arial" w:hAnsi="Arial"/>
          <w:sz w:val="21"/>
          <w:szCs w:val="21"/>
          <w:color w:val="auto"/>
        </w:rPr>
      </w:pPr>
      <w:r>
        <w:rPr>
          <w:rFonts w:ascii="Arial" w:cs="Arial" w:eastAsia="Arial" w:hAnsi="Arial"/>
          <w:sz w:val="19"/>
          <w:szCs w:val="19"/>
          <w:color w:val="auto"/>
        </w:rPr>
        <w:t>“C</w:t>
      </w:r>
      <w:r>
        <w:rPr>
          <w:rFonts w:ascii="Arial" w:cs="Arial" w:eastAsia="Arial" w:hAnsi="Arial"/>
          <w:sz w:val="20"/>
          <w:szCs w:val="20"/>
          <w:color w:val="auto"/>
        </w:rPr>
        <w:t>ompany Intellectual Property” is all Intellectual Property that was authored, conceived, developed, or</w:t>
      </w:r>
      <w:r>
        <w:rPr>
          <w:rFonts w:ascii="Arial" w:cs="Arial" w:eastAsia="Arial" w:hAnsi="Arial"/>
          <w:sz w:val="19"/>
          <w:szCs w:val="19"/>
          <w:color w:val="auto"/>
        </w:rPr>
        <w:t xml:space="preserve"> </w:t>
      </w:r>
      <w:r>
        <w:rPr>
          <w:rFonts w:ascii="Arial" w:cs="Arial" w:eastAsia="Arial" w:hAnsi="Arial"/>
          <w:sz w:val="20"/>
          <w:szCs w:val="20"/>
          <w:color w:val="auto"/>
        </w:rPr>
        <w:t>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jc w:val="both"/>
        <w:ind w:firstLine="872"/>
        <w:spacing w:after="0" w:line="248" w:lineRule="auto"/>
        <w:tabs>
          <w:tab w:leader="none" w:pos="1763" w:val="left"/>
        </w:tabs>
        <w:numPr>
          <w:ilvl w:val="0"/>
          <w:numId w:val="100"/>
        </w:numPr>
        <w:rPr>
          <w:rFonts w:ascii="Arial" w:cs="Arial" w:eastAsia="Arial" w:hAnsi="Arial"/>
          <w:sz w:val="21"/>
          <w:szCs w:val="21"/>
          <w:color w:val="auto"/>
        </w:rPr>
      </w:pPr>
      <w:r>
        <w:rPr>
          <w:rFonts w:ascii="Arial" w:cs="Arial" w:eastAsia="Arial" w:hAnsi="Arial"/>
          <w:sz w:val="21"/>
          <w:szCs w:val="21"/>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76" w:lineRule="exact"/>
        <w:rPr>
          <w:rFonts w:ascii="Arial" w:cs="Arial" w:eastAsia="Arial" w:hAnsi="Arial"/>
          <w:sz w:val="21"/>
          <w:szCs w:val="21"/>
          <w:color w:val="auto"/>
        </w:rPr>
      </w:pPr>
    </w:p>
    <w:p>
      <w:pPr>
        <w:ind w:firstLine="872"/>
        <w:spacing w:after="0" w:line="328" w:lineRule="auto"/>
        <w:tabs>
          <w:tab w:leader="none" w:pos="175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“Pre-existing Intellectual Property” is all Intellectual Property that was authored, conceived, developed, or reduced to practice by Employee before the term of Employee’s employment with the Company or any Affiliate began.</w:t>
      </w:r>
    </w:p>
    <w:p>
      <w:pPr>
        <w:spacing w:after="0" w:line="105" w:lineRule="exact"/>
        <w:rPr>
          <w:sz w:val="20"/>
          <w:szCs w:val="20"/>
          <w:color w:val="auto"/>
        </w:rPr>
      </w:pPr>
    </w:p>
    <w:p>
      <w:pPr>
        <w:jc w:val="both"/>
        <w:ind w:firstLine="872"/>
        <w:spacing w:after="0" w:line="238" w:lineRule="auto"/>
        <w:tabs>
          <w:tab w:leader="none" w:pos="167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Codes of Conduct</w:t>
      </w:r>
      <w:r>
        <w:rPr>
          <w:rFonts w:ascii="Arial" w:cs="Arial" w:eastAsia="Arial" w:hAnsi="Arial"/>
          <w:sz w:val="22"/>
          <w:szCs w:val="22"/>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84" w:lineRule="exact"/>
        <w:rPr>
          <w:rFonts w:ascii="Arial" w:cs="Arial" w:eastAsia="Arial" w:hAnsi="Arial"/>
          <w:sz w:val="22"/>
          <w:szCs w:val="22"/>
          <w:color w:val="auto"/>
        </w:rPr>
      </w:pPr>
    </w:p>
    <w:p>
      <w:pPr>
        <w:ind w:left="1680" w:hanging="808"/>
        <w:spacing w:after="0"/>
        <w:tabs>
          <w:tab w:leader="none" w:pos="168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4" w:lineRule="auto"/>
        <w:tabs>
          <w:tab w:leader="none" w:pos="175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90" w:lineRule="exact"/>
        <w:rPr>
          <w:rFonts w:ascii="Arial" w:cs="Arial" w:eastAsia="Arial" w:hAnsi="Arial"/>
          <w:sz w:val="22"/>
          <w:szCs w:val="22"/>
          <w:color w:val="auto"/>
        </w:rPr>
      </w:pPr>
    </w:p>
    <w:p>
      <w:pPr>
        <w:jc w:val="both"/>
        <w:ind w:firstLine="872"/>
        <w:spacing w:after="0"/>
        <w:tabs>
          <w:tab w:leader="none" w:pos="176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86" w:lineRule="exact"/>
        <w:rPr>
          <w:rFonts w:ascii="Arial" w:cs="Arial" w:eastAsia="Arial" w:hAnsi="Arial"/>
          <w:sz w:val="22"/>
          <w:szCs w:val="22"/>
          <w:color w:val="auto"/>
        </w:rPr>
      </w:pPr>
    </w:p>
    <w:p>
      <w:pPr>
        <w:jc w:val="both"/>
        <w:ind w:firstLine="872"/>
        <w:spacing w:after="0" w:line="236" w:lineRule="auto"/>
        <w:tabs>
          <w:tab w:leader="none" w:pos="175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87" w:lineRule="exact"/>
        <w:rPr>
          <w:rFonts w:ascii="Arial" w:cs="Arial" w:eastAsia="Arial" w:hAnsi="Arial"/>
          <w:sz w:val="22"/>
          <w:szCs w:val="22"/>
          <w:color w:val="auto"/>
        </w:rPr>
      </w:pPr>
    </w:p>
    <w:p>
      <w:pPr>
        <w:jc w:val="both"/>
        <w:ind w:firstLine="872"/>
        <w:spacing w:after="0" w:line="249" w:lineRule="auto"/>
        <w:tabs>
          <w:tab w:leader="none" w:pos="176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6" w:name="page57"/>
    <w:bookmarkEnd w:id="56"/>
    <w:p>
      <w:pPr>
        <w:jc w:val="both"/>
        <w:spacing w:after="0"/>
        <w:rPr>
          <w:sz w:val="20"/>
          <w:szCs w:val="20"/>
          <w:color w:val="auto"/>
        </w:rPr>
      </w:pPr>
      <w:r>
        <w:rPr>
          <w:rFonts w:ascii="Arial" w:cs="Arial" w:eastAsia="Arial" w:hAnsi="Arial"/>
          <w:sz w:val="22"/>
          <w:szCs w:val="22"/>
          <w:color w:val="auto"/>
        </w:rPr>
        <w:t>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86" w:lineRule="exact"/>
        <w:rPr>
          <w:sz w:val="20"/>
          <w:szCs w:val="20"/>
          <w:color w:val="auto"/>
        </w:rPr>
      </w:pPr>
    </w:p>
    <w:p>
      <w:pPr>
        <w:jc w:val="both"/>
        <w:ind w:firstLine="872"/>
        <w:spacing w:after="0" w:line="236" w:lineRule="auto"/>
        <w:tabs>
          <w:tab w:leader="none" w:pos="175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87" w:lineRule="exact"/>
        <w:rPr>
          <w:rFonts w:ascii="Arial" w:cs="Arial" w:eastAsia="Arial" w:hAnsi="Arial"/>
          <w:sz w:val="22"/>
          <w:szCs w:val="22"/>
          <w:color w:val="auto"/>
        </w:rPr>
      </w:pPr>
    </w:p>
    <w:p>
      <w:pPr>
        <w:jc w:val="both"/>
        <w:ind w:firstLine="872"/>
        <w:spacing w:after="0"/>
        <w:tabs>
          <w:tab w:leader="none" w:pos="172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86" w:lineRule="exact"/>
        <w:rPr>
          <w:sz w:val="20"/>
          <w:szCs w:val="20"/>
          <w:color w:val="auto"/>
        </w:rPr>
      </w:pPr>
    </w:p>
    <w:p>
      <w:pPr>
        <w:ind w:left="1680" w:hanging="808"/>
        <w:spacing w:after="0"/>
        <w:tabs>
          <w:tab w:leader="none" w:pos="168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Disclosure of Intellectual Property</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6" w:lineRule="auto"/>
        <w:tabs>
          <w:tab w:leader="none" w:pos="1751" w:val="left"/>
        </w:tabs>
        <w:numPr>
          <w:ilvl w:val="0"/>
          <w:numId w:val="105"/>
        </w:numPr>
        <w:rPr>
          <w:rFonts w:ascii="Arial" w:cs="Arial" w:eastAsia="Arial" w:hAnsi="Arial"/>
          <w:sz w:val="21"/>
          <w:szCs w:val="21"/>
          <w:color w:val="auto"/>
        </w:rPr>
      </w:pPr>
      <w:r>
        <w:rPr>
          <w:rFonts w:ascii="Arial" w:cs="Arial" w:eastAsia="Arial" w:hAnsi="Arial"/>
          <w:sz w:val="21"/>
          <w:szCs w:val="21"/>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9" w:lineRule="exact"/>
        <w:rPr>
          <w:rFonts w:ascii="Arial" w:cs="Arial" w:eastAsia="Arial" w:hAnsi="Arial"/>
          <w:sz w:val="21"/>
          <w:szCs w:val="21"/>
          <w:color w:val="auto"/>
        </w:rPr>
      </w:pPr>
    </w:p>
    <w:p>
      <w:pPr>
        <w:jc w:val="both"/>
        <w:ind w:firstLine="872"/>
        <w:spacing w:after="0" w:line="277" w:lineRule="auto"/>
        <w:tabs>
          <w:tab w:leader="none" w:pos="176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51" w:lineRule="exact"/>
        <w:rPr>
          <w:rFonts w:ascii="Arial" w:cs="Arial" w:eastAsia="Arial" w:hAnsi="Arial"/>
          <w:sz w:val="19"/>
          <w:szCs w:val="19"/>
          <w:color w:val="auto"/>
        </w:rPr>
      </w:pPr>
    </w:p>
    <w:p>
      <w:pPr>
        <w:jc w:val="both"/>
        <w:ind w:firstLine="872"/>
        <w:spacing w:after="0"/>
        <w:tabs>
          <w:tab w:leader="none" w:pos="175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86" w:lineRule="exact"/>
        <w:rPr>
          <w:rFonts w:ascii="Arial" w:cs="Arial" w:eastAsia="Arial" w:hAnsi="Arial"/>
          <w:sz w:val="22"/>
          <w:szCs w:val="22"/>
          <w:color w:val="auto"/>
        </w:rPr>
      </w:pPr>
    </w:p>
    <w:p>
      <w:pPr>
        <w:jc w:val="both"/>
        <w:ind w:firstLine="872"/>
        <w:spacing w:after="0" w:line="238" w:lineRule="auto"/>
        <w:tabs>
          <w:tab w:leader="none" w:pos="176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21"/>
          <w:szCs w:val="21"/>
          <w:color w:val="auto"/>
        </w:rPr>
        <w:t>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69" w:lineRule="exact"/>
        <w:rPr>
          <w:sz w:val="20"/>
          <w:szCs w:val="20"/>
          <w:color w:val="auto"/>
        </w:rPr>
      </w:pPr>
    </w:p>
    <w:p>
      <w:pPr>
        <w:jc w:val="both"/>
        <w:ind w:firstLine="872"/>
        <w:spacing w:after="0" w:line="248" w:lineRule="auto"/>
        <w:tabs>
          <w:tab w:leader="none" w:pos="1751" w:val="left"/>
        </w:tabs>
        <w:numPr>
          <w:ilvl w:val="0"/>
          <w:numId w:val="106"/>
        </w:numPr>
        <w:rPr>
          <w:rFonts w:ascii="Arial" w:cs="Arial" w:eastAsia="Arial" w:hAnsi="Arial"/>
          <w:sz w:val="21"/>
          <w:szCs w:val="21"/>
          <w:color w:val="auto"/>
        </w:rPr>
      </w:pPr>
      <w:r>
        <w:rPr>
          <w:rFonts w:ascii="Arial" w:cs="Arial" w:eastAsia="Arial" w:hAnsi="Arial"/>
          <w:sz w:val="21"/>
          <w:szCs w:val="21"/>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77" w:lineRule="exact"/>
        <w:rPr>
          <w:sz w:val="20"/>
          <w:szCs w:val="20"/>
          <w:color w:val="auto"/>
        </w:rPr>
      </w:pPr>
    </w:p>
    <w:p>
      <w:pPr>
        <w:ind w:left="1680" w:hanging="808"/>
        <w:spacing w:after="0"/>
        <w:tabs>
          <w:tab w:leader="none" w:pos="168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Assignment of Intellectual Property</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6" w:lineRule="auto"/>
        <w:tabs>
          <w:tab w:leader="none" w:pos="1751" w:val="left"/>
        </w:tabs>
        <w:numPr>
          <w:ilvl w:val="0"/>
          <w:numId w:val="108"/>
        </w:numPr>
        <w:rPr>
          <w:rFonts w:ascii="Arial" w:cs="Arial" w:eastAsia="Arial" w:hAnsi="Arial"/>
          <w:sz w:val="21"/>
          <w:szCs w:val="21"/>
          <w:color w:val="auto"/>
        </w:rPr>
      </w:pPr>
      <w:r>
        <w:rPr>
          <w:rFonts w:ascii="Arial" w:cs="Arial" w:eastAsia="Arial" w:hAnsi="Arial"/>
          <w:sz w:val="21"/>
          <w:szCs w:val="21"/>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9" w:lineRule="exact"/>
        <w:rPr>
          <w:rFonts w:ascii="Arial" w:cs="Arial" w:eastAsia="Arial" w:hAnsi="Arial"/>
          <w:sz w:val="21"/>
          <w:szCs w:val="21"/>
          <w:color w:val="auto"/>
        </w:rPr>
      </w:pPr>
    </w:p>
    <w:p>
      <w:pPr>
        <w:jc w:val="both"/>
        <w:ind w:firstLine="872"/>
        <w:spacing w:after="0" w:line="279" w:lineRule="auto"/>
        <w:tabs>
          <w:tab w:leader="none" w:pos="176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50" w:lineRule="exact"/>
        <w:rPr>
          <w:rFonts w:ascii="Arial" w:cs="Arial" w:eastAsia="Arial" w:hAnsi="Arial"/>
          <w:sz w:val="19"/>
          <w:szCs w:val="19"/>
          <w:color w:val="auto"/>
        </w:rPr>
      </w:pPr>
    </w:p>
    <w:p>
      <w:pPr>
        <w:jc w:val="both"/>
        <w:ind w:firstLine="872"/>
        <w:spacing w:after="0"/>
        <w:tabs>
          <w:tab w:leader="none" w:pos="175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86" w:lineRule="exact"/>
        <w:rPr>
          <w:rFonts w:ascii="Arial" w:cs="Arial" w:eastAsia="Arial" w:hAnsi="Arial"/>
          <w:sz w:val="22"/>
          <w:szCs w:val="22"/>
          <w:color w:val="auto"/>
        </w:rPr>
      </w:pPr>
    </w:p>
    <w:p>
      <w:pPr>
        <w:jc w:val="both"/>
        <w:ind w:firstLine="872"/>
        <w:spacing w:after="0" w:line="236" w:lineRule="auto"/>
        <w:tabs>
          <w:tab w:leader="none" w:pos="176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13</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8" w:name="page59"/>
    <w:bookmarkEnd w:id="58"/>
    <w:p>
      <w:pPr>
        <w:spacing w:after="0" w:line="250" w:lineRule="auto"/>
        <w:rPr>
          <w:sz w:val="20"/>
          <w:szCs w:val="20"/>
          <w:color w:val="auto"/>
        </w:rPr>
      </w:pPr>
      <w:r>
        <w:rPr>
          <w:rFonts w:ascii="Arial" w:cs="Arial" w:eastAsia="Arial" w:hAnsi="Arial"/>
          <w:sz w:val="22"/>
          <w:szCs w:val="22"/>
          <w:color w:val="auto"/>
        </w:rPr>
        <w:t>waiver is obtained in violation of this Attachment II, or obtained through fraud, negligence, failure to disclose, or incorrect, incomplete, or defective information on an IP Disclosure Form.</w:t>
      </w:r>
    </w:p>
    <w:p>
      <w:pPr>
        <w:spacing w:after="0" w:line="175" w:lineRule="exact"/>
        <w:rPr>
          <w:sz w:val="20"/>
          <w:szCs w:val="20"/>
          <w:color w:val="auto"/>
        </w:rPr>
      </w:pPr>
    </w:p>
    <w:p>
      <w:pPr>
        <w:ind w:left="1680" w:hanging="808"/>
        <w:spacing w:after="0"/>
        <w:tabs>
          <w:tab w:leader="none" w:pos="168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tabs>
          <w:tab w:leader="none" w:pos="175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86" w:lineRule="exact"/>
        <w:rPr>
          <w:rFonts w:ascii="Arial" w:cs="Arial" w:eastAsia="Arial" w:hAnsi="Arial"/>
          <w:sz w:val="22"/>
          <w:szCs w:val="22"/>
          <w:color w:val="auto"/>
        </w:rPr>
      </w:pPr>
    </w:p>
    <w:p>
      <w:pPr>
        <w:jc w:val="both"/>
        <w:ind w:firstLine="872"/>
        <w:spacing w:after="0" w:line="273" w:lineRule="auto"/>
        <w:tabs>
          <w:tab w:leader="none" w:pos="176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86" w:lineRule="exact"/>
        <w:rPr>
          <w:sz w:val="20"/>
          <w:szCs w:val="20"/>
          <w:color w:val="auto"/>
        </w:rPr>
      </w:pPr>
    </w:p>
    <w:p>
      <w:pPr>
        <w:jc w:val="both"/>
        <w:ind w:firstLine="872"/>
        <w:spacing w:after="0" w:line="236" w:lineRule="auto"/>
        <w:tabs>
          <w:tab w:leader="none" w:pos="175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14</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9"/>
          <w:szCs w:val="19"/>
          <w:color w:val="auto"/>
        </w:rPr>
        <w:t>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52" w:lineRule="exact"/>
        <w:rPr>
          <w:sz w:val="20"/>
          <w:szCs w:val="20"/>
          <w:color w:val="auto"/>
        </w:rPr>
      </w:pPr>
    </w:p>
    <w:p>
      <w:pPr>
        <w:ind w:left="1680" w:hanging="808"/>
        <w:spacing w:after="0"/>
        <w:tabs>
          <w:tab w:leader="none" w:pos="168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5" w:lineRule="auto"/>
        <w:tabs>
          <w:tab w:leader="none" w:pos="175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57" w:lineRule="exact"/>
        <w:rPr>
          <w:rFonts w:ascii="Arial" w:cs="Arial" w:eastAsia="Arial" w:hAnsi="Arial"/>
          <w:sz w:val="19"/>
          <w:szCs w:val="19"/>
          <w:color w:val="auto"/>
        </w:rPr>
      </w:pPr>
    </w:p>
    <w:p>
      <w:pPr>
        <w:jc w:val="both"/>
        <w:ind w:firstLine="872"/>
        <w:spacing w:after="0" w:line="277" w:lineRule="auto"/>
        <w:tabs>
          <w:tab w:leader="none" w:pos="176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52" w:lineRule="exact"/>
        <w:rPr>
          <w:sz w:val="20"/>
          <w:szCs w:val="20"/>
          <w:color w:val="auto"/>
        </w:rPr>
      </w:pPr>
    </w:p>
    <w:p>
      <w:pPr>
        <w:ind w:left="1680" w:hanging="808"/>
        <w:spacing w:after="0"/>
        <w:tabs>
          <w:tab w:leader="none" w:pos="168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Remedies for Employee’s Breach</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0" w:lineRule="auto"/>
        <w:tabs>
          <w:tab w:leader="none" w:pos="175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Arial" w:cs="Arial" w:eastAsia="Arial" w:hAnsi="Arial"/>
          <w:sz w:val="19"/>
          <w:szCs w:val="19"/>
          <w:b w:val="1"/>
          <w:bCs w:val="1"/>
          <w:color w:val="auto"/>
        </w:rPr>
        <w:t>(i) recover from Employee the value of any portion of the</w:t>
      </w:r>
    </w:p>
    <w:p>
      <w:pPr>
        <w:spacing w:after="0" w:line="1"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b w:val="1"/>
          <w:bCs w:val="1"/>
          <w:color w:val="auto"/>
        </w:rPr>
        <w:t>Award that has been paid or delivered; (ii) seek injunctive relief against Employee pursuant to the provisions of subsection (b) below; (iii) recover all damages, court costs, and attorneys’ fees incurred by the Company or its Affiliates in enforcing the provisions of this Award, and (iv) set-off any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15</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0" w:name="page61"/>
    <w:bookmarkEnd w:id="60"/>
    <w:p>
      <w:pPr>
        <w:spacing w:after="0" w:line="256" w:lineRule="auto"/>
        <w:rPr>
          <w:sz w:val="20"/>
          <w:szCs w:val="20"/>
          <w:color w:val="auto"/>
        </w:rPr>
      </w:pPr>
      <w:r>
        <w:rPr>
          <w:rFonts w:ascii="Arial" w:cs="Arial" w:eastAsia="Arial" w:hAnsi="Arial"/>
          <w:sz w:val="22"/>
          <w:szCs w:val="22"/>
          <w:b w:val="1"/>
          <w:bCs w:val="1"/>
          <w:color w:val="auto"/>
        </w:rPr>
        <w:t>such sums to which the Company or any of its Affiliates may be entitled hereunder against any sum which may be owed Employee by the Company and its Affiliates.</w:t>
      </w:r>
    </w:p>
    <w:p>
      <w:pPr>
        <w:spacing w:after="0" w:line="168" w:lineRule="exact"/>
        <w:rPr>
          <w:sz w:val="20"/>
          <w:szCs w:val="20"/>
          <w:color w:val="auto"/>
        </w:rPr>
      </w:pPr>
    </w:p>
    <w:p>
      <w:pPr>
        <w:jc w:val="both"/>
        <w:ind w:firstLine="872"/>
        <w:spacing w:after="0" w:line="279" w:lineRule="auto"/>
        <w:tabs>
          <w:tab w:leader="none" w:pos="1763" w:val="left"/>
        </w:tabs>
        <w:numPr>
          <w:ilvl w:val="0"/>
          <w:numId w:val="116"/>
        </w:numPr>
        <w:rPr>
          <w:rFonts w:ascii="Arial" w:cs="Arial" w:eastAsia="Arial" w:hAnsi="Arial"/>
          <w:sz w:val="19"/>
          <w:szCs w:val="19"/>
          <w:color w:val="auto"/>
        </w:rPr>
      </w:pPr>
      <w:r>
        <w:rPr>
          <w:rFonts w:ascii="Arial" w:cs="Arial" w:eastAsia="Arial" w:hAnsi="Arial"/>
          <w:sz w:val="19"/>
          <w:szCs w:val="19"/>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50" w:lineRule="exact"/>
        <w:rPr>
          <w:rFonts w:ascii="Arial" w:cs="Arial" w:eastAsia="Arial" w:hAnsi="Arial"/>
          <w:sz w:val="19"/>
          <w:szCs w:val="19"/>
          <w:color w:val="auto"/>
        </w:rPr>
      </w:pPr>
    </w:p>
    <w:p>
      <w:pPr>
        <w:jc w:val="both"/>
        <w:ind w:firstLine="872"/>
        <w:spacing w:after="0" w:line="238" w:lineRule="auto"/>
        <w:tabs>
          <w:tab w:leader="none" w:pos="175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84" w:lineRule="exact"/>
        <w:rPr>
          <w:rFonts w:ascii="Arial" w:cs="Arial" w:eastAsia="Arial" w:hAnsi="Arial"/>
          <w:sz w:val="22"/>
          <w:szCs w:val="22"/>
          <w:color w:val="auto"/>
        </w:rPr>
      </w:pPr>
    </w:p>
    <w:p>
      <w:pPr>
        <w:ind w:right="20" w:firstLine="872"/>
        <w:spacing w:after="0" w:line="250" w:lineRule="auto"/>
        <w:tabs>
          <w:tab w:leader="none" w:pos="176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Employee acknowledges that the remedies contained in the Attachment II for violation of this Attachment II are not the exclusive remedies that the Company or an Affiliate may pursue.</w:t>
      </w:r>
    </w:p>
    <w:p>
      <w:pPr>
        <w:spacing w:after="0" w:line="175" w:lineRule="exact"/>
        <w:rPr>
          <w:sz w:val="20"/>
          <w:szCs w:val="20"/>
          <w:color w:val="auto"/>
        </w:rPr>
      </w:pPr>
    </w:p>
    <w:p>
      <w:pPr>
        <w:jc w:val="both"/>
        <w:ind w:right="20" w:firstLine="872"/>
        <w:spacing w:after="0"/>
        <w:tabs>
          <w:tab w:leader="none" w:pos="1674"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186" w:lineRule="exact"/>
        <w:rPr>
          <w:rFonts w:ascii="Arial" w:cs="Arial" w:eastAsia="Arial" w:hAnsi="Arial"/>
          <w:sz w:val="22"/>
          <w:szCs w:val="22"/>
          <w:color w:val="auto"/>
        </w:rPr>
      </w:pPr>
    </w:p>
    <w:p>
      <w:pPr>
        <w:ind w:left="1780" w:hanging="908"/>
        <w:spacing w:after="0"/>
        <w:tabs>
          <w:tab w:leader="none" w:pos="178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52" w:lineRule="auto"/>
        <w:tabs>
          <w:tab w:leader="none" w:pos="1751" w:val="left"/>
        </w:tabs>
        <w:numPr>
          <w:ilvl w:val="0"/>
          <w:numId w:val="118"/>
        </w:numPr>
        <w:rPr>
          <w:rFonts w:ascii="Arial" w:cs="Arial" w:eastAsia="Arial" w:hAnsi="Arial"/>
          <w:sz w:val="21"/>
          <w:szCs w:val="21"/>
          <w:color w:val="auto"/>
        </w:rPr>
      </w:pPr>
      <w:r>
        <w:rPr>
          <w:rFonts w:ascii="Arial" w:cs="Arial" w:eastAsia="Arial" w:hAnsi="Arial"/>
          <w:sz w:val="21"/>
          <w:szCs w:val="21"/>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173" w:lineRule="exact"/>
        <w:rPr>
          <w:rFonts w:ascii="Arial" w:cs="Arial" w:eastAsia="Arial" w:hAnsi="Arial"/>
          <w:sz w:val="21"/>
          <w:szCs w:val="21"/>
          <w:color w:val="auto"/>
        </w:rPr>
      </w:pPr>
    </w:p>
    <w:p>
      <w:pPr>
        <w:jc w:val="both"/>
        <w:ind w:firstLine="872"/>
        <w:spacing w:after="0"/>
        <w:tabs>
          <w:tab w:leader="none" w:pos="176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186" w:lineRule="exact"/>
        <w:rPr>
          <w:rFonts w:ascii="Arial" w:cs="Arial" w:eastAsia="Arial" w:hAnsi="Arial"/>
          <w:sz w:val="22"/>
          <w:szCs w:val="22"/>
          <w:color w:val="auto"/>
        </w:rPr>
      </w:pPr>
    </w:p>
    <w:p>
      <w:pPr>
        <w:jc w:val="both"/>
        <w:ind w:right="20" w:firstLine="872"/>
        <w:spacing w:after="0"/>
        <w:tabs>
          <w:tab w:leader="none" w:pos="175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86" w:lineRule="exact"/>
        <w:rPr>
          <w:rFonts w:ascii="Arial" w:cs="Arial" w:eastAsia="Arial" w:hAnsi="Arial"/>
          <w:sz w:val="22"/>
          <w:szCs w:val="22"/>
          <w:color w:val="auto"/>
        </w:rPr>
      </w:pPr>
    </w:p>
    <w:p>
      <w:pPr>
        <w:jc w:val="both"/>
        <w:ind w:firstLine="872"/>
        <w:spacing w:after="0" w:line="238" w:lineRule="auto"/>
        <w:tabs>
          <w:tab w:leader="none" w:pos="176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If Employee is employed by an Affiliate of the Company or by accepting a transfer to an Affiliate of the Company, Employee agrees to the automatic application of all of the terms 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16</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jc w:val="both"/>
        <w:ind w:firstLine="872"/>
        <w:spacing w:after="0" w:line="246" w:lineRule="auto"/>
        <w:tabs>
          <w:tab w:leader="none" w:pos="1751" w:val="left"/>
        </w:tabs>
        <w:numPr>
          <w:ilvl w:val="0"/>
          <w:numId w:val="119"/>
        </w:numPr>
        <w:rPr>
          <w:rFonts w:ascii="Arial" w:cs="Arial" w:eastAsia="Arial" w:hAnsi="Arial"/>
          <w:sz w:val="21"/>
          <w:szCs w:val="21"/>
          <w:color w:val="auto"/>
        </w:rPr>
      </w:pPr>
      <w:r>
        <w:rPr>
          <w:rFonts w:ascii="Arial" w:cs="Arial" w:eastAsia="Arial" w:hAnsi="Arial"/>
          <w:sz w:val="21"/>
          <w:szCs w:val="21"/>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84" w:lineRule="exact"/>
        <w:rPr>
          <w:rFonts w:ascii="Arial" w:cs="Arial" w:eastAsia="Arial" w:hAnsi="Arial"/>
          <w:sz w:val="21"/>
          <w:szCs w:val="21"/>
          <w:color w:val="auto"/>
        </w:rPr>
      </w:pPr>
    </w:p>
    <w:p>
      <w:pPr>
        <w:jc w:val="both"/>
        <w:ind w:firstLine="872"/>
        <w:spacing w:after="0" w:line="238" w:lineRule="auto"/>
        <w:tabs>
          <w:tab w:leader="none" w:pos="172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terms and conditions of this Attachment II supersede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17</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ectPr>
          <w:pgSz w:w="11900" w:h="16838" w:orient="portrait"/>
          <w:cols w:equalWidth="0" w:num="1">
            <w:col w:w="11240"/>
          </w:cols>
          <w:pgMar w:left="320" w:top="33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148590</wp:posOffset>
            </wp:positionV>
            <wp:extent cx="1114425"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1144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PERFORMANCE SHARE UNIT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(BASED ON RELATIVE TSR PERFORMANCE)</w:t>
      </w:r>
    </w:p>
    <w:p>
      <w:pPr>
        <w:jc w:val="center"/>
        <w:spacing w:after="0" w:line="230" w:lineRule="auto"/>
        <w:rPr>
          <w:sz w:val="20"/>
          <w:szCs w:val="20"/>
          <w:color w:val="auto"/>
        </w:rPr>
      </w:pPr>
      <w:r>
        <w:rPr>
          <w:rFonts w:ascii="Arial" w:cs="Arial" w:eastAsia="Arial" w:hAnsi="Arial"/>
          <w:sz w:val="22"/>
          <w:szCs w:val="22"/>
          <w:b w:val="1"/>
          <w:bCs w:val="1"/>
          <w:color w:val="auto"/>
        </w:rPr>
        <w:t>under the</w:t>
      </w:r>
    </w:p>
    <w:p>
      <w:pPr>
        <w:jc w:val="center"/>
        <w:spacing w:after="0" w:line="231" w:lineRule="auto"/>
        <w:rPr>
          <w:sz w:val="20"/>
          <w:szCs w:val="20"/>
          <w:color w:val="auto"/>
        </w:rPr>
      </w:pPr>
      <w:r>
        <w:rPr>
          <w:rFonts w:ascii="Arial" w:cs="Arial" w:eastAsia="Arial" w:hAnsi="Arial"/>
          <w:sz w:val="22"/>
          <w:szCs w:val="22"/>
          <w:b w:val="1"/>
          <w:bCs w:val="1"/>
          <w:color w:val="auto"/>
        </w:rPr>
        <w:t>SCHLUMBERGER 2017 OMNIBUS STOCK INCENTIVE PLAN</w:t>
      </w: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Includes Confidentiality, Intellectual Property, Non-Competition, and Non-Solicitation Provisions in Section 9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Attachment II</w:t>
      </w:r>
      <w:r>
        <w:rPr>
          <w:rFonts w:ascii="Arial" w:cs="Arial" w:eastAsia="Arial" w:hAnsi="Arial"/>
          <w:sz w:val="22"/>
          <w:szCs w:val="22"/>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Period: 2021, 2022 and 2023</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This Performance Share Unit Award Agreement (as may be amended, the “Agreement”) is granted to you (“Employee”) effective as of February 3, 2021 (the “Grant Date”) by Schlumberger Limited (the “Company”), pursuant to the Schlumberger 2017 Omnibus Stock Incentive Plan, as may be amended (the “Plan”).</w:t>
      </w:r>
    </w:p>
    <w:p>
      <w:pPr>
        <w:spacing w:after="0" w:line="186" w:lineRule="exact"/>
        <w:rPr>
          <w:sz w:val="20"/>
          <w:szCs w:val="20"/>
          <w:color w:val="auto"/>
        </w:rPr>
      </w:pPr>
    </w:p>
    <w:p>
      <w:pPr>
        <w:jc w:val="both"/>
        <w:ind w:firstLine="872"/>
        <w:spacing w:after="0" w:line="275" w:lineRule="auto"/>
        <w:tabs>
          <w:tab w:leader="none" w:pos="1674"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and the Notice of Grant of Award of Performance Share Units attached hereto.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57" w:lineRule="exact"/>
        <w:rPr>
          <w:rFonts w:ascii="Arial" w:cs="Arial" w:eastAsia="Arial" w:hAnsi="Arial"/>
          <w:sz w:val="19"/>
          <w:szCs w:val="19"/>
          <w:color w:val="auto"/>
        </w:rPr>
      </w:pPr>
    </w:p>
    <w:p>
      <w:pPr>
        <w:ind w:left="1680" w:hanging="808"/>
        <w:spacing w:after="0"/>
        <w:tabs>
          <w:tab w:leader="none" w:pos="168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Vesting of Performance Share Units</w:t>
      </w:r>
      <w:r>
        <w:rPr>
          <w:rFonts w:ascii="Arial" w:cs="Arial" w:eastAsia="Arial" w:hAnsi="Arial"/>
          <w:sz w:val="19"/>
          <w:szCs w:val="19"/>
          <w:color w:val="auto"/>
        </w:rPr>
        <w:t>. The period of time from and including January 1, 2021 to December 31,</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2023 is the “Performance Period.” The Performance Share Units will vest as follows:</w:t>
      </w:r>
    </w:p>
    <w:p>
      <w:pPr>
        <w:spacing w:after="0" w:line="188" w:lineRule="exact"/>
        <w:rPr>
          <w:sz w:val="20"/>
          <w:szCs w:val="20"/>
          <w:color w:val="auto"/>
        </w:rPr>
      </w:pPr>
    </w:p>
    <w:p>
      <w:pPr>
        <w:jc w:val="both"/>
        <w:ind w:firstLine="872"/>
        <w:spacing w:after="0" w:line="273" w:lineRule="auto"/>
        <w:tabs>
          <w:tab w:leader="none" w:pos="175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On the Friday following the first meeting of the Compensation Committee of the Board of Directors of the Company (the “Committee”) in 2024, or as soon thereafter as reasonably practicable (such date, the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Vesting Date and has not experienced a Termination of Employment (as defined in Section 12(w) below) as of such date. Except as provided in Sections 2(b) and 2(c) below, if there is any Termination of Employment during the period from and between the Grant Date until and including the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 termination or any related issue, and any such determination by the Committee or its delegate will be final and binding on all parties.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jc w:val="both"/>
        <w:ind w:left="880" w:hanging="8"/>
        <w:spacing w:after="0" w:line="297" w:lineRule="auto"/>
        <w:tabs>
          <w:tab w:leader="none" w:pos="178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 If Employee’s Termination of Employment occurs due to Retirement (as defined in Section 12(p) below), then the Performance Share Units will vest in accordance with Section 2(a) above as if Employee had remained continuously employed by the Company or any of its Subsidiaries from the Grant Date through the Vesting Date.</w:t>
      </w:r>
    </w:p>
    <w:p>
      <w:pPr>
        <w:spacing w:after="0" w:line="133" w:lineRule="exact"/>
        <w:rPr>
          <w:rFonts w:ascii="Arial" w:cs="Arial" w:eastAsia="Arial" w:hAnsi="Arial"/>
          <w:sz w:val="19"/>
          <w:szCs w:val="19"/>
          <w:color w:val="auto"/>
        </w:rPr>
      </w:pPr>
    </w:p>
    <w:p>
      <w:pPr>
        <w:jc w:val="both"/>
        <w:ind w:left="880" w:firstLine="789"/>
        <w:spacing w:after="0" w:line="246" w:lineRule="auto"/>
        <w:tabs>
          <w:tab w:leader="none" w:pos="2589" w:val="left"/>
        </w:tabs>
        <w:numPr>
          <w:ilvl w:val="1"/>
          <w:numId w:val="122"/>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Early Retirement (as defined in Section 12(i) below) or Special Retirement (as defined in Section 12(s) below, then, subject to the approval of (x) the Committee, if Employee is an executive officer of the Company at the time of Employee’s election to retire, or (y) the Retirement Committee (as defined in Section 12(q)),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Vesting Date. Any approval under clauses (x) or (y) may be granted or withheld in the sole discretion of the Committee or the Retirement Committee, as applicable.</w:t>
      </w:r>
    </w:p>
    <w:p>
      <w:pPr>
        <w:spacing w:after="0" w:line="179" w:lineRule="exact"/>
        <w:rPr>
          <w:rFonts w:ascii="Arial" w:cs="Arial" w:eastAsia="Arial" w:hAnsi="Arial"/>
          <w:sz w:val="21"/>
          <w:szCs w:val="21"/>
          <w:color w:val="auto"/>
        </w:rPr>
      </w:pPr>
    </w:p>
    <w:p>
      <w:pPr>
        <w:jc w:val="both"/>
        <w:ind w:firstLine="872"/>
        <w:spacing w:after="0" w:line="257" w:lineRule="auto"/>
        <w:tabs>
          <w:tab w:leader="none" w:pos="1751" w:val="left"/>
        </w:tabs>
        <w:numPr>
          <w:ilvl w:val="0"/>
          <w:numId w:val="122"/>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Vesting Date.</w:t>
      </w:r>
    </w:p>
    <w:p>
      <w:pPr>
        <w:spacing w:after="0" w:line="169" w:lineRule="exact"/>
        <w:rPr>
          <w:sz w:val="20"/>
          <w:szCs w:val="20"/>
          <w:color w:val="auto"/>
        </w:rPr>
      </w:pPr>
    </w:p>
    <w:p>
      <w:pPr>
        <w:jc w:val="both"/>
        <w:ind w:firstLine="872"/>
        <w:spacing w:after="0" w:line="236" w:lineRule="auto"/>
        <w:tabs>
          <w:tab w:leader="none" w:pos="1674"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Settlement of Performance Share Units</w:t>
      </w:r>
      <w:r>
        <w:rPr>
          <w:rFonts w:ascii="Arial" w:cs="Arial" w:eastAsia="Arial" w:hAnsi="Arial"/>
          <w:sz w:val="22"/>
          <w:szCs w:val="22"/>
          <w:color w:val="auto"/>
        </w:rPr>
        <w:t>. Payment of vested Performance Share Units will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87" w:lineRule="exact"/>
        <w:rPr>
          <w:rFonts w:ascii="Arial" w:cs="Arial" w:eastAsia="Arial" w:hAnsi="Arial"/>
          <w:sz w:val="22"/>
          <w:szCs w:val="22"/>
          <w:color w:val="auto"/>
        </w:rPr>
      </w:pPr>
    </w:p>
    <w:p>
      <w:pPr>
        <w:ind w:left="1680" w:hanging="808"/>
        <w:spacing w:after="0"/>
        <w:tabs>
          <w:tab w:leader="none" w:pos="168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Forfeiture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9" w:lineRule="auto"/>
        <w:tabs>
          <w:tab w:leader="none" w:pos="175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At any time during the Performance Period and up to and including the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8" w:lineRule="exact"/>
        <w:rPr>
          <w:rFonts w:ascii="Arial" w:cs="Arial" w:eastAsia="Arial" w:hAnsi="Arial"/>
          <w:sz w:val="21"/>
          <w:szCs w:val="21"/>
          <w:color w:val="auto"/>
        </w:rPr>
      </w:pPr>
    </w:p>
    <w:p>
      <w:pPr>
        <w:jc w:val="both"/>
        <w:ind w:firstLine="872"/>
        <w:spacing w:after="0" w:line="249" w:lineRule="auto"/>
        <w:tabs>
          <w:tab w:leader="none" w:pos="1763" w:val="left"/>
        </w:tabs>
        <w:numPr>
          <w:ilvl w:val="0"/>
          <w:numId w:val="124"/>
        </w:numPr>
        <w:rPr>
          <w:rFonts w:ascii="Arial" w:cs="Arial" w:eastAsia="Arial" w:hAnsi="Arial"/>
          <w:sz w:val="21"/>
          <w:szCs w:val="21"/>
          <w:color w:val="auto"/>
        </w:rPr>
      </w:pPr>
      <w:r>
        <w:rPr>
          <w:rFonts w:ascii="Arial" w:cs="Arial" w:eastAsia="Arial" w:hAnsi="Arial"/>
          <w:sz w:val="21"/>
          <w:szCs w:val="21"/>
          <w:color w:val="auto"/>
        </w:rPr>
        <w:t>Notwithstanding any provision in this Agreement to the contrary, if at any time during the Performance Period and up to and including the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4" w:name="page65"/>
    <w:bookmarkEnd w:id="64"/>
    <w:p>
      <w:pPr>
        <w:ind w:left="1680" w:hanging="808"/>
        <w:spacing w:after="0"/>
        <w:tabs>
          <w:tab w:leader="none" w:pos="168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5" w:lineRule="auto"/>
        <w:tabs>
          <w:tab w:leader="none" w:pos="175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63" w:val="left"/>
        </w:tabs>
        <w:numPr>
          <w:ilvl w:val="0"/>
          <w:numId w:val="126"/>
        </w:numPr>
        <w:rPr>
          <w:rFonts w:ascii="Arial" w:cs="Arial" w:eastAsia="Arial" w:hAnsi="Arial"/>
          <w:sz w:val="19"/>
          <w:szCs w:val="19"/>
          <w:color w:val="auto"/>
        </w:rPr>
      </w:pPr>
      <w:r>
        <w:rPr>
          <w:rFonts w:ascii="Arial" w:cs="Arial" w:eastAsia="Arial" w:hAnsi="Arial"/>
          <w:sz w:val="19"/>
          <w:szCs w:val="19"/>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50" w:lineRule="exact"/>
        <w:rPr>
          <w:sz w:val="20"/>
          <w:szCs w:val="20"/>
          <w:color w:val="auto"/>
        </w:rPr>
      </w:pPr>
    </w:p>
    <w:p>
      <w:pPr>
        <w:jc w:val="both"/>
        <w:ind w:firstLine="872"/>
        <w:spacing w:after="0"/>
        <w:tabs>
          <w:tab w:leader="none" w:pos="1674"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86" w:lineRule="exact"/>
        <w:rPr>
          <w:rFonts w:ascii="Arial" w:cs="Arial" w:eastAsia="Arial" w:hAnsi="Arial"/>
          <w:sz w:val="22"/>
          <w:szCs w:val="22"/>
          <w:color w:val="auto"/>
        </w:rPr>
      </w:pPr>
    </w:p>
    <w:p>
      <w:pPr>
        <w:ind w:left="1680" w:hanging="808"/>
        <w:spacing w:after="0"/>
        <w:tabs>
          <w:tab w:leader="none" w:pos="168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Tax and Social Insurance Withholding</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3" w:lineRule="auto"/>
        <w:tabs>
          <w:tab w:leader="none" w:pos="175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60" w:lineRule="exact"/>
        <w:rPr>
          <w:rFonts w:ascii="Arial" w:cs="Arial" w:eastAsia="Arial" w:hAnsi="Arial"/>
          <w:sz w:val="19"/>
          <w:szCs w:val="19"/>
          <w:color w:val="auto"/>
        </w:rPr>
      </w:pPr>
    </w:p>
    <w:p>
      <w:pPr>
        <w:jc w:val="both"/>
        <w:ind w:firstLine="872"/>
        <w:spacing w:after="0" w:line="234" w:lineRule="auto"/>
        <w:tabs>
          <w:tab w:leader="none" w:pos="184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 or other cash compensation which would otherwise be payable to Employee</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5" w:name="page66"/>
    <w:bookmarkEnd w:id="65"/>
    <w:p>
      <w:pPr>
        <w:ind w:right="20"/>
        <w:spacing w:after="0" w:line="250" w:lineRule="auto"/>
        <w:rPr>
          <w:sz w:val="20"/>
          <w:szCs w:val="20"/>
          <w:color w:val="auto"/>
        </w:rPr>
      </w:pPr>
      <w:r>
        <w:rPr>
          <w:rFonts w:ascii="Arial" w:cs="Arial" w:eastAsia="Arial" w:hAnsi="Arial"/>
          <w:sz w:val="22"/>
          <w:szCs w:val="22"/>
          <w:color w:val="auto"/>
        </w:rPr>
        <w:t>by the Company or from any equivalent cash payment received upon vesting of the Performance Share Units, equal to the amount necessary to satisfy any such obligation.</w:t>
      </w:r>
    </w:p>
    <w:p>
      <w:pPr>
        <w:spacing w:after="0" w:line="175" w:lineRule="exact"/>
        <w:rPr>
          <w:sz w:val="20"/>
          <w:szCs w:val="20"/>
          <w:color w:val="auto"/>
        </w:rPr>
      </w:pPr>
    </w:p>
    <w:p>
      <w:pPr>
        <w:jc w:val="both"/>
        <w:ind w:firstLine="872"/>
        <w:spacing w:after="0" w:line="273" w:lineRule="auto"/>
        <w:tabs>
          <w:tab w:leader="none" w:pos="1807"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55" w:lineRule="exact"/>
        <w:rPr>
          <w:sz w:val="20"/>
          <w:szCs w:val="20"/>
          <w:color w:val="auto"/>
        </w:rPr>
      </w:pPr>
    </w:p>
    <w:p>
      <w:pPr>
        <w:jc w:val="both"/>
        <w:ind w:firstLine="872"/>
        <w:spacing w:after="0" w:line="238" w:lineRule="auto"/>
        <w:tabs>
          <w:tab w:leader="none" w:pos="1674"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8" w:lineRule="exact"/>
        <w:rPr>
          <w:rFonts w:ascii="Arial" w:cs="Arial" w:eastAsia="Arial" w:hAnsi="Arial"/>
          <w:sz w:val="22"/>
          <w:szCs w:val="22"/>
          <w:color w:val="auto"/>
        </w:rPr>
      </w:pPr>
    </w:p>
    <w:p>
      <w:pPr>
        <w:ind w:left="1680" w:hanging="808"/>
        <w:spacing w:after="0"/>
        <w:tabs>
          <w:tab w:leader="none" w:pos="1680"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Intellectual  Property  and  Noncompetition</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  acknowledges  that</w:t>
      </w:r>
    </w:p>
    <w:p>
      <w:pPr>
        <w:spacing w:after="0" w:line="48" w:lineRule="exact"/>
        <w:rPr>
          <w:rFonts w:ascii="Arial" w:cs="Arial" w:eastAsia="Arial" w:hAnsi="Arial"/>
          <w:sz w:val="19"/>
          <w:szCs w:val="19"/>
          <w:color w:val="auto"/>
        </w:rPr>
      </w:pPr>
    </w:p>
    <w:p>
      <w:pPr>
        <w:jc w:val="both"/>
        <w:spacing w:after="0" w:line="273" w:lineRule="auto"/>
        <w:rPr>
          <w:rFonts w:ascii="Arial" w:cs="Arial" w:eastAsia="Arial" w:hAnsi="Arial"/>
          <w:sz w:val="19"/>
          <w:szCs w:val="19"/>
          <w:color w:val="auto"/>
        </w:rPr>
      </w:pPr>
      <w:r>
        <w:rPr>
          <w:rFonts w:ascii="Arial" w:cs="Arial" w:eastAsia="Arial" w:hAnsi="Arial"/>
          <w:sz w:val="19"/>
          <w:szCs w:val="19"/>
          <w:b w:val="1"/>
          <w:bCs w:val="1"/>
          <w:color w:val="auto"/>
        </w:rPr>
        <w:t>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159" w:lineRule="exact"/>
        <w:rPr>
          <w:rFonts w:ascii="Arial" w:cs="Arial" w:eastAsia="Arial" w:hAnsi="Arial"/>
          <w:sz w:val="19"/>
          <w:szCs w:val="19"/>
          <w:color w:val="auto"/>
        </w:rPr>
      </w:pPr>
    </w:p>
    <w:p>
      <w:pPr>
        <w:jc w:val="both"/>
        <w:ind w:firstLine="872"/>
        <w:spacing w:after="0" w:line="279" w:lineRule="auto"/>
        <w:tabs>
          <w:tab w:leader="none" w:pos="1782"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Compliance with Securities Laws</w:t>
      </w:r>
      <w:r>
        <w:rPr>
          <w:rFonts w:ascii="Arial" w:cs="Arial" w:eastAsia="Arial" w:hAnsi="Arial"/>
          <w:sz w:val="19"/>
          <w:szCs w:val="19"/>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6" w:name="page67"/>
    <w:bookmarkEnd w:id="66"/>
    <w:p>
      <w:pPr>
        <w:ind w:left="908" w:hanging="908"/>
        <w:spacing w:after="0"/>
        <w:tabs>
          <w:tab w:leader="none" w:pos="908"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Limitation of Rights</w:t>
      </w:r>
      <w:r>
        <w:rPr>
          <w:rFonts w:ascii="Arial" w:cs="Arial" w:eastAsia="Arial" w:hAnsi="Arial"/>
          <w:sz w:val="22"/>
          <w:szCs w:val="22"/>
          <w:color w:val="auto"/>
        </w:rPr>
        <w:t>. Nothing in this Agreement or the Plan may be construed to:</w:t>
      </w:r>
    </w:p>
    <w:p>
      <w:pPr>
        <w:spacing w:after="0" w:line="206" w:lineRule="exact"/>
        <w:rPr>
          <w:sz w:val="20"/>
          <w:szCs w:val="20"/>
          <w:color w:val="auto"/>
        </w:rPr>
      </w:pPr>
    </w:p>
    <w:p>
      <w:pPr>
        <w:ind w:left="-872" w:right="20" w:firstLine="872"/>
        <w:spacing w:after="0" w:line="250" w:lineRule="auto"/>
        <w:tabs>
          <w:tab w:leader="none" w:pos="88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74" w:lineRule="exact"/>
        <w:rPr>
          <w:rFonts w:ascii="Arial" w:cs="Arial" w:eastAsia="Arial" w:hAnsi="Arial"/>
          <w:sz w:val="22"/>
          <w:szCs w:val="22"/>
          <w:color w:val="auto"/>
        </w:rPr>
      </w:pPr>
    </w:p>
    <w:p>
      <w:pPr>
        <w:ind w:left="-872" w:right="20" w:firstLine="872"/>
        <w:spacing w:after="0" w:line="250" w:lineRule="auto"/>
        <w:tabs>
          <w:tab w:leader="none" w:pos="89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give Employee or any other person or entity any interest in any fund or in any specified asset or assets of the Company (other than the Performance Share Units); or</w:t>
      </w:r>
    </w:p>
    <w:p>
      <w:pPr>
        <w:spacing w:after="0" w:line="174" w:lineRule="exact"/>
        <w:rPr>
          <w:rFonts w:ascii="Arial" w:cs="Arial" w:eastAsia="Arial" w:hAnsi="Arial"/>
          <w:sz w:val="22"/>
          <w:szCs w:val="22"/>
          <w:color w:val="auto"/>
        </w:rPr>
      </w:pPr>
    </w:p>
    <w:p>
      <w:pPr>
        <w:ind w:left="-872" w:firstLine="872"/>
        <w:spacing w:after="0" w:line="250" w:lineRule="auto"/>
        <w:tabs>
          <w:tab w:leader="none" w:pos="88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confer upon Employee or any other person or entity the right to continue in the employment or service of the Company or any Subsidiary.</w:t>
      </w:r>
    </w:p>
    <w:p>
      <w:pPr>
        <w:spacing w:after="0" w:line="175" w:lineRule="exact"/>
        <w:rPr>
          <w:sz w:val="20"/>
          <w:szCs w:val="20"/>
          <w:color w:val="auto"/>
        </w:rPr>
      </w:pPr>
    </w:p>
    <w:p>
      <w:pPr>
        <w:ind w:left="908" w:hanging="908"/>
        <w:spacing w:after="0"/>
        <w:tabs>
          <w:tab w:leader="none" w:pos="908"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888" w:hanging="888"/>
        <w:spacing w:after="0"/>
        <w:tabs>
          <w:tab w:leader="none" w:pos="888"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1"/>
          <w:numId w:val="134"/>
        </w:numPr>
        <w:rPr>
          <w:rFonts w:ascii="Arial" w:cs="Arial" w:eastAsia="Arial" w:hAnsi="Arial"/>
          <w:sz w:val="22"/>
          <w:szCs w:val="22"/>
          <w:color w:val="auto"/>
        </w:rPr>
      </w:pPr>
      <w:r>
        <w:rPr>
          <w:rFonts w:ascii="Arial" w:cs="Arial" w:eastAsia="Arial" w:hAnsi="Arial"/>
          <w:sz w:val="22"/>
          <w:szCs w:val="22"/>
          <w:color w:val="auto"/>
        </w:rPr>
        <w:t>“Clawback Policy” is defined in Section 14.</w:t>
      </w:r>
    </w:p>
    <w:p>
      <w:pPr>
        <w:spacing w:after="0" w:line="206" w:lineRule="exact"/>
        <w:rPr>
          <w:rFonts w:ascii="Arial" w:cs="Arial" w:eastAsia="Arial" w:hAnsi="Arial"/>
          <w:sz w:val="22"/>
          <w:szCs w:val="22"/>
          <w:color w:val="auto"/>
        </w:rPr>
      </w:pPr>
    </w:p>
    <w:p>
      <w:pPr>
        <w:ind w:left="888" w:hanging="888"/>
        <w:spacing w:after="0"/>
        <w:tabs>
          <w:tab w:leader="none" w:pos="888" w:val="left"/>
        </w:tabs>
        <w:numPr>
          <w:ilvl w:val="1"/>
          <w:numId w:val="134"/>
        </w:numPr>
        <w:rPr>
          <w:rFonts w:ascii="Arial" w:cs="Arial" w:eastAsia="Arial" w:hAnsi="Arial"/>
          <w:sz w:val="22"/>
          <w:szCs w:val="22"/>
          <w:color w:val="auto"/>
        </w:rPr>
      </w:pPr>
      <w:r>
        <w:rPr>
          <w:rFonts w:ascii="Arial" w:cs="Arial" w:eastAsia="Arial" w:hAnsi="Arial"/>
          <w:sz w:val="22"/>
          <w:szCs w:val="22"/>
          <w:color w:val="auto"/>
        </w:rPr>
        <w:t>“Committee” is defined in Section 2(a).</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1"/>
          <w:numId w:val="134"/>
        </w:numPr>
        <w:rPr>
          <w:rFonts w:ascii="Arial" w:cs="Arial" w:eastAsia="Arial" w:hAnsi="Arial"/>
          <w:sz w:val="22"/>
          <w:szCs w:val="22"/>
          <w:color w:val="auto"/>
        </w:rPr>
      </w:pPr>
      <w:r>
        <w:rPr>
          <w:rFonts w:ascii="Arial" w:cs="Arial" w:eastAsia="Arial" w:hAnsi="Arial"/>
          <w:sz w:val="22"/>
          <w:szCs w:val="22"/>
          <w:color w:val="auto"/>
        </w:rPr>
        <w:t>“Common Stock” is defined in Section 1.</w:t>
      </w:r>
    </w:p>
    <w:p>
      <w:pPr>
        <w:spacing w:after="0" w:line="206" w:lineRule="exact"/>
        <w:rPr>
          <w:rFonts w:ascii="Arial" w:cs="Arial" w:eastAsia="Arial" w:hAnsi="Arial"/>
          <w:sz w:val="22"/>
          <w:szCs w:val="22"/>
          <w:color w:val="auto"/>
        </w:rPr>
      </w:pPr>
    </w:p>
    <w:p>
      <w:pPr>
        <w:ind w:left="888" w:hanging="888"/>
        <w:spacing w:after="0"/>
        <w:tabs>
          <w:tab w:leader="none" w:pos="888" w:val="left"/>
        </w:tabs>
        <w:numPr>
          <w:ilvl w:val="1"/>
          <w:numId w:val="134"/>
        </w:numPr>
        <w:rPr>
          <w:rFonts w:ascii="Arial" w:cs="Arial" w:eastAsia="Arial" w:hAnsi="Arial"/>
          <w:sz w:val="22"/>
          <w:szCs w:val="22"/>
          <w:color w:val="auto"/>
        </w:rPr>
      </w:pPr>
      <w:r>
        <w:rPr>
          <w:rFonts w:ascii="Arial" w:cs="Arial" w:eastAsia="Arial" w:hAnsi="Arial"/>
          <w:sz w:val="22"/>
          <w:szCs w:val="22"/>
          <w:color w:val="auto"/>
        </w:rPr>
        <w:t>“Company” is defined in the introduction.</w:t>
      </w:r>
    </w:p>
    <w:p>
      <w:pPr>
        <w:spacing w:after="0" w:line="206" w:lineRule="exact"/>
        <w:rPr>
          <w:rFonts w:ascii="Arial" w:cs="Arial" w:eastAsia="Arial" w:hAnsi="Arial"/>
          <w:sz w:val="22"/>
          <w:szCs w:val="22"/>
          <w:color w:val="auto"/>
        </w:rPr>
      </w:pPr>
    </w:p>
    <w:p>
      <w:pPr>
        <w:jc w:val="both"/>
        <w:ind w:left="-872" w:firstLine="872"/>
        <w:spacing w:after="0" w:line="271" w:lineRule="auto"/>
        <w:tabs>
          <w:tab w:leader="none" w:pos="856" w:val="left"/>
        </w:tabs>
        <w:numPr>
          <w:ilvl w:val="1"/>
          <w:numId w:val="134"/>
        </w:numPr>
        <w:rPr>
          <w:rFonts w:ascii="Arial" w:cs="Arial" w:eastAsia="Arial" w:hAnsi="Arial"/>
          <w:sz w:val="19"/>
          <w:szCs w:val="19"/>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any Direct Competitor (as defined in Section 12(g) below); (iii) engages or employs, or solicits or contacts with a view to the engagement or employment of, any employee of the Company or its Subsidiaries; (iv) canvasses, solicits, approaches or entices away or causes to be canvassed, solicited, approached or enticed away from the Company or its Subsidiaries any customer of any of such entities during the Performance Period and up to and including the Vesting Date; (v) is determined to have engaged (whether or not prior to Termination of Employment) in either gross misconduct or criminal activity that is, or that could reasonably be expected to be, harmful to the Company or a Subsidiary; or (vi)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872" w:firstLine="872"/>
        <w:spacing w:after="0" w:line="238" w:lineRule="auto"/>
        <w:tabs>
          <w:tab w:leader="none" w:pos="892" w:val="left"/>
        </w:tabs>
        <w:numPr>
          <w:ilvl w:val="1"/>
          <w:numId w:val="134"/>
        </w:numPr>
        <w:rPr>
          <w:rFonts w:ascii="Arial" w:cs="Arial" w:eastAsia="Arial" w:hAnsi="Arial"/>
          <w:sz w:val="22"/>
          <w:szCs w:val="22"/>
          <w:color w:val="auto"/>
        </w:rPr>
      </w:pPr>
      <w:r>
        <w:rPr>
          <w:rFonts w:ascii="Arial" w:cs="Arial" w:eastAsia="Arial" w:hAnsi="Arial"/>
          <w:sz w:val="22"/>
          <w:szCs w:val="22"/>
          <w:color w:val="auto"/>
        </w:rPr>
        <w:t>“Direct Competitor” means any of the following: (i) Halliburton Company, Weatherford International plc, Baker Hughes Company, TechnipFMC plc, NOV Inc., and any other oilfield equipment and services entity; and (ii) any entity engaged in seismic processing and reservoir geosciences services to the oil and natural gas industry, including in all cases in clause</w:t>
      </w:r>
    </w:p>
    <w:p>
      <w:pPr>
        <w:spacing w:after="0" w:line="183" w:lineRule="exact"/>
        <w:rPr>
          <w:sz w:val="20"/>
          <w:szCs w:val="20"/>
          <w:color w:val="auto"/>
        </w:rPr>
      </w:pPr>
    </w:p>
    <w:p>
      <w:pPr>
        <w:ind w:left="9648"/>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5</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171450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67" w:name="page68"/>
    <w:bookmarkEnd w:id="67"/>
    <w:p>
      <w:pPr>
        <w:ind w:left="252" w:hanging="252"/>
        <w:spacing w:after="0"/>
        <w:tabs>
          <w:tab w:leader="none" w:pos="25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and this clause (ii), any and all of their parents, subsidiaries, affiliates, joint ventures, divisions, successors, or assigns.</w:t>
      </w:r>
    </w:p>
    <w:p>
      <w:pPr>
        <w:spacing w:after="0" w:line="240" w:lineRule="exact"/>
        <w:rPr>
          <w:rFonts w:ascii="Arial" w:cs="Arial" w:eastAsia="Arial" w:hAnsi="Arial"/>
          <w:sz w:val="19"/>
          <w:szCs w:val="19"/>
          <w:color w:val="auto"/>
        </w:rPr>
      </w:pPr>
    </w:p>
    <w:p>
      <w:pPr>
        <w:jc w:val="both"/>
        <w:ind w:left="-8" w:firstLine="872"/>
        <w:spacing w:after="0"/>
        <w:tabs>
          <w:tab w:leader="none" w:pos="175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86" w:lineRule="exact"/>
        <w:rPr>
          <w:rFonts w:ascii="Arial" w:cs="Arial" w:eastAsia="Arial" w:hAnsi="Arial"/>
          <w:sz w:val="22"/>
          <w:szCs w:val="22"/>
          <w:color w:val="auto"/>
        </w:rPr>
      </w:pPr>
    </w:p>
    <w:p>
      <w:pPr>
        <w:ind w:left="-8" w:firstLine="872"/>
        <w:spacing w:after="0" w:line="250" w:lineRule="auto"/>
        <w:tabs>
          <w:tab w:leader="none" w:pos="1707" w:val="left"/>
        </w:tabs>
        <w:numPr>
          <w:ilvl w:val="1"/>
          <w:numId w:val="135"/>
        </w:numPr>
        <w:rPr>
          <w:rFonts w:ascii="Arial" w:cs="Arial" w:eastAsia="Arial" w:hAnsi="Arial"/>
          <w:sz w:val="22"/>
          <w:szCs w:val="22"/>
          <w:color w:val="auto"/>
        </w:rPr>
      </w:pPr>
      <w:r>
        <w:rPr>
          <w:rFonts w:ascii="Arial" w:cs="Arial" w:eastAsia="Arial" w:hAnsi="Arial"/>
          <w:sz w:val="22"/>
          <w:szCs w:val="22"/>
          <w:color w:val="auto"/>
        </w:rPr>
        <w:t>“Early Retirement” means Employee’s voluntary election to retire from employment with the Company and its Subsidiaries at any time after Employee has reached both the age of 55 and 20 years of service.</w:t>
      </w:r>
    </w:p>
    <w:p>
      <w:pPr>
        <w:spacing w:after="0" w:line="174" w:lineRule="exact"/>
        <w:rPr>
          <w:rFonts w:ascii="Arial" w:cs="Arial" w:eastAsia="Arial" w:hAnsi="Arial"/>
          <w:sz w:val="22"/>
          <w:szCs w:val="22"/>
          <w:color w:val="auto"/>
        </w:rPr>
      </w:pPr>
    </w:p>
    <w:p>
      <w:pPr>
        <w:ind w:left="1712" w:hanging="848"/>
        <w:spacing w:after="0"/>
        <w:tabs>
          <w:tab w:leader="none" w:pos="171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“Employee” is defined in the introduction.</w:t>
      </w:r>
    </w:p>
    <w:p>
      <w:pPr>
        <w:spacing w:after="0" w:line="206" w:lineRule="exact"/>
        <w:rPr>
          <w:rFonts w:ascii="Arial" w:cs="Arial" w:eastAsia="Arial" w:hAnsi="Arial"/>
          <w:sz w:val="22"/>
          <w:szCs w:val="22"/>
          <w:color w:val="auto"/>
        </w:rPr>
      </w:pPr>
    </w:p>
    <w:p>
      <w:pPr>
        <w:jc w:val="both"/>
        <w:ind w:left="-8" w:firstLine="872"/>
        <w:spacing w:after="0" w:line="249" w:lineRule="auto"/>
        <w:tabs>
          <w:tab w:leader="none" w:pos="1755" w:val="left"/>
        </w:tabs>
        <w:numPr>
          <w:ilvl w:val="1"/>
          <w:numId w:val="135"/>
        </w:numPr>
        <w:rPr>
          <w:rFonts w:ascii="Arial" w:cs="Arial" w:eastAsia="Arial" w:hAnsi="Arial"/>
          <w:sz w:val="21"/>
          <w:szCs w:val="21"/>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8" w:lineRule="exact"/>
        <w:rPr>
          <w:rFonts w:ascii="Arial" w:cs="Arial" w:eastAsia="Arial" w:hAnsi="Arial"/>
          <w:sz w:val="21"/>
          <w:szCs w:val="21"/>
          <w:color w:val="auto"/>
        </w:rPr>
      </w:pPr>
    </w:p>
    <w:p>
      <w:pPr>
        <w:ind w:left="1712" w:hanging="848"/>
        <w:spacing w:after="0"/>
        <w:tabs>
          <w:tab w:leader="none" w:pos="171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“Grant Date” is defined in the introduction.</w:t>
      </w:r>
    </w:p>
    <w:p>
      <w:pPr>
        <w:spacing w:after="0" w:line="206" w:lineRule="exact"/>
        <w:rPr>
          <w:rFonts w:ascii="Arial" w:cs="Arial" w:eastAsia="Arial" w:hAnsi="Arial"/>
          <w:sz w:val="22"/>
          <w:szCs w:val="22"/>
          <w:color w:val="auto"/>
        </w:rPr>
      </w:pPr>
    </w:p>
    <w:p>
      <w:pPr>
        <w:ind w:left="1832" w:hanging="968"/>
        <w:spacing w:after="0"/>
        <w:tabs>
          <w:tab w:leader="none" w:pos="183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“Performance Period” is defined in Section 2.</w:t>
      </w:r>
    </w:p>
    <w:p>
      <w:pPr>
        <w:spacing w:after="0" w:line="206" w:lineRule="exact"/>
        <w:rPr>
          <w:rFonts w:ascii="Arial" w:cs="Arial" w:eastAsia="Arial" w:hAnsi="Arial"/>
          <w:sz w:val="22"/>
          <w:szCs w:val="22"/>
          <w:color w:val="auto"/>
        </w:rPr>
      </w:pPr>
    </w:p>
    <w:p>
      <w:pPr>
        <w:ind w:left="1772" w:hanging="908"/>
        <w:spacing w:after="0"/>
        <w:tabs>
          <w:tab w:leader="none" w:pos="177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“Performance Share Units” is defined in Section 1.</w:t>
      </w:r>
    </w:p>
    <w:p>
      <w:pPr>
        <w:spacing w:after="0" w:line="206" w:lineRule="exact"/>
        <w:rPr>
          <w:rFonts w:ascii="Arial" w:cs="Arial" w:eastAsia="Arial" w:hAnsi="Arial"/>
          <w:sz w:val="22"/>
          <w:szCs w:val="22"/>
          <w:color w:val="auto"/>
        </w:rPr>
      </w:pPr>
    </w:p>
    <w:p>
      <w:pPr>
        <w:ind w:left="1772" w:hanging="908"/>
        <w:spacing w:after="0"/>
        <w:tabs>
          <w:tab w:leader="none" w:pos="177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ind w:left="-8" w:firstLine="872"/>
        <w:spacing w:after="0" w:line="250" w:lineRule="auto"/>
        <w:tabs>
          <w:tab w:leader="none" w:pos="175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“Retirement” means Employee’s voluntary election to retire from employment with the Company and its Subsidiaries at any time after Employee has reached both the age of 60 and 25 years of service.</w:t>
      </w:r>
    </w:p>
    <w:p>
      <w:pPr>
        <w:spacing w:after="0" w:line="174" w:lineRule="exact"/>
        <w:rPr>
          <w:rFonts w:ascii="Arial" w:cs="Arial" w:eastAsia="Arial" w:hAnsi="Arial"/>
          <w:sz w:val="22"/>
          <w:szCs w:val="22"/>
          <w:color w:val="auto"/>
        </w:rPr>
      </w:pPr>
    </w:p>
    <w:p>
      <w:pPr>
        <w:ind w:left="-8" w:firstLine="872"/>
        <w:spacing w:after="0" w:line="250" w:lineRule="auto"/>
        <w:tabs>
          <w:tab w:leader="none" w:pos="175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“Retirement Committee” means a committee consisting of the Company’s Vice President of Human Resources, the HR Director Total Talent Management and the Executive Compensation Manager.</w:t>
      </w:r>
    </w:p>
    <w:p>
      <w:pPr>
        <w:spacing w:after="0" w:line="174" w:lineRule="exact"/>
        <w:rPr>
          <w:rFonts w:ascii="Arial" w:cs="Arial" w:eastAsia="Arial" w:hAnsi="Arial"/>
          <w:sz w:val="22"/>
          <w:szCs w:val="22"/>
          <w:color w:val="auto"/>
        </w:rPr>
      </w:pPr>
    </w:p>
    <w:p>
      <w:pPr>
        <w:ind w:left="1732" w:hanging="868"/>
        <w:spacing w:after="0"/>
        <w:tabs>
          <w:tab w:leader="none" w:pos="173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“Settlement Date” is defined in Section 3.</w:t>
      </w:r>
    </w:p>
    <w:p>
      <w:pPr>
        <w:spacing w:after="0" w:line="206" w:lineRule="exact"/>
        <w:rPr>
          <w:rFonts w:ascii="Arial" w:cs="Arial" w:eastAsia="Arial" w:hAnsi="Arial"/>
          <w:sz w:val="22"/>
          <w:szCs w:val="22"/>
          <w:color w:val="auto"/>
        </w:rPr>
      </w:pPr>
    </w:p>
    <w:p>
      <w:pPr>
        <w:ind w:left="-8" w:right="20" w:firstLine="872"/>
        <w:spacing w:after="0" w:line="250" w:lineRule="auto"/>
        <w:tabs>
          <w:tab w:leader="none" w:pos="1731" w:val="left"/>
        </w:tabs>
        <w:numPr>
          <w:ilvl w:val="1"/>
          <w:numId w:val="135"/>
        </w:numPr>
        <w:rPr>
          <w:rFonts w:ascii="Arial" w:cs="Arial" w:eastAsia="Arial" w:hAnsi="Arial"/>
          <w:sz w:val="22"/>
          <w:szCs w:val="22"/>
          <w:color w:val="auto"/>
        </w:rPr>
      </w:pPr>
      <w:r>
        <w:rPr>
          <w:rFonts w:ascii="Arial" w:cs="Arial" w:eastAsia="Arial" w:hAnsi="Arial"/>
          <w:sz w:val="22"/>
          <w:szCs w:val="22"/>
          <w:color w:val="auto"/>
        </w:rPr>
        <w:t>“Special Retirement” means Employee’s voluntary election to retire from employment with the Company and its Subsidiaries at any time after Employee has reached both the age of 50 and 10 years of service.</w:t>
      </w:r>
    </w:p>
    <w:p>
      <w:pPr>
        <w:spacing w:after="0" w:line="174" w:lineRule="exact"/>
        <w:rPr>
          <w:rFonts w:ascii="Arial" w:cs="Arial" w:eastAsia="Arial" w:hAnsi="Arial"/>
          <w:sz w:val="22"/>
          <w:szCs w:val="22"/>
          <w:color w:val="auto"/>
        </w:rPr>
      </w:pPr>
    </w:p>
    <w:p>
      <w:pPr>
        <w:jc w:val="both"/>
        <w:ind w:left="-8" w:firstLine="872"/>
        <w:spacing w:after="0" w:line="252" w:lineRule="auto"/>
        <w:tabs>
          <w:tab w:leader="none" w:pos="1707" w:val="left"/>
        </w:tabs>
        <w:numPr>
          <w:ilvl w:val="1"/>
          <w:numId w:val="135"/>
        </w:numPr>
        <w:rPr>
          <w:rFonts w:ascii="Arial" w:cs="Arial" w:eastAsia="Arial" w:hAnsi="Arial"/>
          <w:sz w:val="21"/>
          <w:szCs w:val="21"/>
          <w:color w:val="auto"/>
        </w:rPr>
      </w:pPr>
      <w:r>
        <w:rPr>
          <w:rFonts w:ascii="Arial" w:cs="Arial" w:eastAsia="Arial" w:hAnsi="Arial"/>
          <w:sz w:val="21"/>
          <w:szCs w:val="21"/>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3" w:lineRule="exact"/>
        <w:rPr>
          <w:sz w:val="20"/>
          <w:szCs w:val="20"/>
          <w:color w:val="auto"/>
        </w:rPr>
      </w:pPr>
    </w:p>
    <w:p>
      <w:pPr>
        <w:ind w:left="10512"/>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6</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34" w:right="339" w:bottom="1440" w:gutter="0" w:footer="0" w:header="0"/>
        </w:sectPr>
      </w:pPr>
    </w:p>
    <w:bookmarkStart w:id="68" w:name="page69"/>
    <w:bookmarkEnd w:id="68"/>
    <w:p>
      <w:pPr>
        <w:ind w:left="908" w:hanging="908"/>
        <w:spacing w:after="0"/>
        <w:tabs>
          <w:tab w:leader="none" w:pos="90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“Tax Date” is defined in Section 7(b).</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“Tax-Related Items” is defined in Section 7(a).</w:t>
      </w:r>
    </w:p>
    <w:p>
      <w:pPr>
        <w:spacing w:after="0" w:line="206" w:lineRule="exact"/>
        <w:rPr>
          <w:rFonts w:ascii="Arial" w:cs="Arial" w:eastAsia="Arial" w:hAnsi="Arial"/>
          <w:sz w:val="22"/>
          <w:szCs w:val="22"/>
          <w:color w:val="auto"/>
        </w:rPr>
      </w:pPr>
    </w:p>
    <w:p>
      <w:pPr>
        <w:jc w:val="both"/>
        <w:ind w:left="-872" w:firstLine="872"/>
        <w:spacing w:after="0" w:line="238" w:lineRule="auto"/>
        <w:tabs>
          <w:tab w:leader="none" w:pos="94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“Termination of Employment” means the voluntary or involuntary termination of Employee’s employment 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84" w:lineRule="exact"/>
        <w:rPr>
          <w:rFonts w:ascii="Arial" w:cs="Arial" w:eastAsia="Arial" w:hAnsi="Arial"/>
          <w:sz w:val="22"/>
          <w:szCs w:val="22"/>
          <w:color w:val="auto"/>
        </w:rPr>
      </w:pPr>
    </w:p>
    <w:p>
      <w:pPr>
        <w:ind w:left="908" w:hanging="908"/>
        <w:spacing w:after="0"/>
        <w:tabs>
          <w:tab w:leader="none" w:pos="90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“Transfer” is defined in Section 5(a).</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“Vesting Date” is defined in Section 2(a).</w:t>
      </w:r>
    </w:p>
    <w:p>
      <w:pPr>
        <w:spacing w:after="0" w:line="206" w:lineRule="exact"/>
        <w:rPr>
          <w:sz w:val="20"/>
          <w:szCs w:val="20"/>
          <w:color w:val="auto"/>
        </w:rPr>
      </w:pPr>
    </w:p>
    <w:p>
      <w:pPr>
        <w:ind w:left="908" w:hanging="908"/>
        <w:spacing w:after="0"/>
        <w:tabs>
          <w:tab w:leader="none" w:pos="908"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872" w:firstLine="872"/>
        <w:spacing w:after="0" w:line="328" w:lineRule="auto"/>
        <w:tabs>
          <w:tab w:leader="none" w:pos="88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04" w:lineRule="exact"/>
        <w:rPr>
          <w:rFonts w:ascii="Arial" w:cs="Arial" w:eastAsia="Arial" w:hAnsi="Arial"/>
          <w:sz w:val="19"/>
          <w:szCs w:val="19"/>
          <w:color w:val="auto"/>
        </w:rPr>
      </w:pPr>
    </w:p>
    <w:p>
      <w:pPr>
        <w:jc w:val="both"/>
        <w:ind w:left="-872" w:firstLine="872"/>
        <w:spacing w:after="0" w:line="297" w:lineRule="auto"/>
        <w:tabs>
          <w:tab w:leader="none" w:pos="89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33" w:lineRule="exact"/>
        <w:rPr>
          <w:rFonts w:ascii="Arial" w:cs="Arial" w:eastAsia="Arial" w:hAnsi="Arial"/>
          <w:sz w:val="19"/>
          <w:szCs w:val="19"/>
          <w:color w:val="auto"/>
        </w:rPr>
      </w:pPr>
    </w:p>
    <w:p>
      <w:pPr>
        <w:ind w:left="-872" w:firstLine="872"/>
        <w:spacing w:after="0" w:line="250" w:lineRule="auto"/>
        <w:tabs>
          <w:tab w:leader="none" w:pos="88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of this Agreement will not affect the validity or enforceability of any other provision of this Agreement.</w:t>
      </w:r>
    </w:p>
    <w:p>
      <w:pPr>
        <w:spacing w:after="0" w:line="174" w:lineRule="exact"/>
        <w:rPr>
          <w:rFonts w:ascii="Arial" w:cs="Arial" w:eastAsia="Arial" w:hAnsi="Arial"/>
          <w:sz w:val="22"/>
          <w:szCs w:val="22"/>
          <w:color w:val="auto"/>
        </w:rPr>
      </w:pPr>
    </w:p>
    <w:p>
      <w:pPr>
        <w:jc w:val="both"/>
        <w:ind w:left="-872" w:firstLine="872"/>
        <w:spacing w:after="0"/>
        <w:tabs>
          <w:tab w:leader="none" w:pos="89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86" w:lineRule="exact"/>
        <w:rPr>
          <w:rFonts w:ascii="Arial" w:cs="Arial" w:eastAsia="Arial" w:hAnsi="Arial"/>
          <w:sz w:val="22"/>
          <w:szCs w:val="22"/>
          <w:color w:val="auto"/>
        </w:rPr>
      </w:pPr>
    </w:p>
    <w:p>
      <w:pPr>
        <w:jc w:val="both"/>
        <w:ind w:left="-872" w:firstLine="872"/>
        <w:spacing w:after="0"/>
        <w:tabs>
          <w:tab w:leader="none" w:pos="88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86" w:lineRule="exact"/>
        <w:rPr>
          <w:rFonts w:ascii="Arial" w:cs="Arial" w:eastAsia="Arial" w:hAnsi="Arial"/>
          <w:sz w:val="22"/>
          <w:szCs w:val="22"/>
          <w:color w:val="auto"/>
        </w:rPr>
      </w:pPr>
    </w:p>
    <w:p>
      <w:pPr>
        <w:ind w:left="-872" w:right="20" w:firstLine="872"/>
        <w:spacing w:after="0" w:line="250" w:lineRule="auto"/>
        <w:tabs>
          <w:tab w:leader="none" w:pos="85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Employee and the Company agree to execute such further instruments and to take such further action as may reasonably be necessary to carry out the intent of this Agreement.</w:t>
      </w:r>
    </w:p>
    <w:p>
      <w:pPr>
        <w:spacing w:after="0" w:line="174" w:lineRule="exact"/>
        <w:rPr>
          <w:rFonts w:ascii="Arial" w:cs="Arial" w:eastAsia="Arial" w:hAnsi="Arial"/>
          <w:sz w:val="22"/>
          <w:szCs w:val="22"/>
          <w:color w:val="auto"/>
        </w:rPr>
      </w:pPr>
    </w:p>
    <w:p>
      <w:pPr>
        <w:jc w:val="both"/>
        <w:ind w:left="-872" w:firstLine="872"/>
        <w:spacing w:after="0" w:line="246" w:lineRule="auto"/>
        <w:tabs>
          <w:tab w:leader="none" w:pos="892"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w:t>
      </w:r>
    </w:p>
    <w:p>
      <w:pPr>
        <w:spacing w:after="0" w:line="183" w:lineRule="exact"/>
        <w:rPr>
          <w:sz w:val="20"/>
          <w:szCs w:val="20"/>
          <w:color w:val="auto"/>
        </w:rPr>
      </w:pPr>
    </w:p>
    <w:p>
      <w:pPr>
        <w:ind w:left="9648"/>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7</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171450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69" w:name="page70"/>
    <w:bookmarkEnd w:id="69"/>
    <w:p>
      <w:pPr>
        <w:spacing w:after="0" w:line="250" w:lineRule="auto"/>
        <w:rPr>
          <w:sz w:val="20"/>
          <w:szCs w:val="20"/>
          <w:color w:val="auto"/>
        </w:rPr>
      </w:pPr>
      <w:r>
        <w:rPr>
          <w:rFonts w:ascii="Arial" w:cs="Arial" w:eastAsia="Arial" w:hAnsi="Arial"/>
          <w:sz w:val="22"/>
          <w:szCs w:val="22"/>
          <w:color w:val="auto"/>
        </w:rPr>
        <w:t>or agreement relating to the Performance Share Units, other than those referred to in clause (A) above. All references herein to “Agreement” will include all Attachments hereto.</w:t>
      </w:r>
    </w:p>
    <w:p>
      <w:pPr>
        <w:spacing w:after="0" w:line="175" w:lineRule="exact"/>
        <w:rPr>
          <w:sz w:val="20"/>
          <w:szCs w:val="20"/>
          <w:color w:val="auto"/>
        </w:rPr>
      </w:pPr>
    </w:p>
    <w:p>
      <w:pPr>
        <w:jc w:val="both"/>
        <w:ind w:firstLine="872"/>
        <w:spacing w:after="0" w:line="270" w:lineRule="auto"/>
        <w:tabs>
          <w:tab w:leader="none" w:pos="1763"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THE COMPANY HEREBY WAIVE, TO THE FULLEST EXTENT PERMITTED BY LAW, ANY RIGHT TO TRIAL BY JURY OF ANY CLAIM, DEMAND, ACTION, OR CAUSE OF ACTION ARISING OUT OF THIS AGREEMENT OR ANY ATTACHMENT THERETO.</w:t>
      </w:r>
    </w:p>
    <w:p>
      <w:pPr>
        <w:spacing w:after="0" w:line="163" w:lineRule="exact"/>
        <w:rPr>
          <w:sz w:val="20"/>
          <w:szCs w:val="20"/>
          <w:color w:val="auto"/>
        </w:rPr>
      </w:pPr>
    </w:p>
    <w:p>
      <w:pPr>
        <w:jc w:val="both"/>
        <w:ind w:firstLine="872"/>
        <w:spacing w:after="0" w:line="277" w:lineRule="auto"/>
        <w:tabs>
          <w:tab w:leader="none" w:pos="1782"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 addition, by acceptance of this award, you agree that any prior awards that have been issued to you pursuant to the Plan or any other incentive plan of the Company are subject to the Clawback Policy.</w:t>
      </w:r>
    </w:p>
    <w:p>
      <w:pPr>
        <w:spacing w:after="0" w:line="151" w:lineRule="exact"/>
        <w:rPr>
          <w:rFonts w:ascii="Arial" w:cs="Arial" w:eastAsia="Arial" w:hAnsi="Arial"/>
          <w:sz w:val="19"/>
          <w:szCs w:val="19"/>
          <w:color w:val="auto"/>
        </w:rPr>
      </w:pPr>
    </w:p>
    <w:p>
      <w:pPr>
        <w:jc w:val="both"/>
        <w:ind w:firstLine="872"/>
        <w:spacing w:after="0" w:line="235" w:lineRule="auto"/>
        <w:tabs>
          <w:tab w:leader="none" w:pos="1782"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Acceptance of Award</w:t>
      </w:r>
      <w:r>
        <w:rPr>
          <w:rFonts w:ascii="Arial" w:cs="Arial" w:eastAsia="Arial" w:hAnsi="Arial"/>
          <w:sz w:val="22"/>
          <w:szCs w:val="22"/>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0" w:name="page71"/>
    <w:bookmarkEnd w:id="70"/>
    <w:p>
      <w:pPr>
        <w:ind w:right="20"/>
        <w:spacing w:after="0" w:line="250" w:lineRule="auto"/>
        <w:rPr>
          <w:sz w:val="20"/>
          <w:szCs w:val="20"/>
          <w:color w:val="auto"/>
        </w:rPr>
      </w:pPr>
      <w:r>
        <w:rPr>
          <w:rFonts w:ascii="Arial" w:cs="Arial" w:eastAsia="Arial" w:hAnsi="Arial"/>
          <w:sz w:val="22"/>
          <w:szCs w:val="22"/>
          <w:color w:val="auto"/>
        </w:rPr>
        <w:t>interpretations thereof. Employee further agrees that such terms and conditions will control this Agreement, notwithstanding any provisions in any employment agreement or in any prior awards.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b w:val="1"/>
          <w:bCs w:val="1"/>
          <w:color w:val="auto"/>
        </w:rPr>
        <w:t>ATTACHMENT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Conditions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Subject to the provisions of the Agreement and this Attachment I, vesting of the Performance Share Units is conditioned upon the Company’s achievement of certain performance conditions as set forth herein. At the conclusion of the Performance Period, the Committee will certify the Company’s cumulative TSR (as defined below) over the Performance Period and determine the Company’s Relative TSR Percentile Rank (as defined below).</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Definitions</w:t>
      </w:r>
    </w:p>
    <w:p>
      <w:pPr>
        <w:spacing w:after="0" w:line="20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“Total Shareholder Return” or “TSR” means the cumulative rate of return reflecting price appreciation plus reinvestment of dividends and the compounding effect of dividends paid on reinvested dividends. The Committee will utilize Standard &amp; Poor’s Compustat Database (or any successor database), or such other database or method as the Committee determines is appropriate in its discretion, to calculate any company’s TSR. The share price appreciation will be measured by the difference between the share price at the beginning of the Performance Period, which is calculated as the 20-trading day average closing price ending on the last trading day of December 2020, and the share price at the end of the Performance Period, which is calculated as the 20-trading day average closing price ending on the last trading day of the Performance Period.</w:t>
      </w:r>
    </w:p>
    <w:p>
      <w:pPr>
        <w:spacing w:after="0" w:line="15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“Relative TSR Percentile Rank” means the percentile rank of the TSRs among the Peer Group Members (as defined below) for the Performance Period. The Company’s Relative TSR Percentile Rank will be calculated by first determining the percentile rank of the Peer Group Members, excluding the Company, ranked from highest to lowest according to each such company’s cumulative TSR over the Performance Period. Then, if the Company’s TSR is equal to or exceeds the highest TSR among the Peer Group Members, the Company’s percentile will be equal to 100</w:t>
      </w:r>
      <w:r>
        <w:rPr>
          <w:rFonts w:ascii="Arial" w:cs="Arial" w:eastAsia="Arial" w:hAnsi="Arial"/>
          <w:sz w:val="16"/>
          <w:szCs w:val="16"/>
          <w:color w:val="auto"/>
        </w:rPr>
        <w:t>th</w:t>
      </w:r>
      <w:r>
        <w:rPr>
          <w:rFonts w:ascii="Arial" w:cs="Arial" w:eastAsia="Arial" w:hAnsi="Arial"/>
          <w:sz w:val="19"/>
          <w:szCs w:val="19"/>
          <w:color w:val="auto"/>
        </w:rPr>
        <w:t>. If the Company’s TSR is equal to or below the lowest TSR among the Peer Group Members, the Company’s percentile will be equal to zero. Otherwise, the Company’s Relative TSR Percentile Rank will be determined based on interpolation as set forth below.</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“Peer Group Members” means the following companies:</w:t>
      </w:r>
    </w:p>
    <w:p>
      <w:pPr>
        <w:spacing w:after="0" w:line="207" w:lineRule="exact"/>
        <w:rPr>
          <w:sz w:val="20"/>
          <w:szCs w:val="20"/>
          <w:color w:val="auto"/>
        </w:rPr>
      </w:pPr>
    </w:p>
    <w:tbl>
      <w:tblPr>
        <w:tblLayout w:type="fixed"/>
        <w:tblInd w:w="1430" w:type="dxa"/>
        <w:tblCellMar>
          <w:top w:w="0" w:type="dxa"/>
          <w:left w:w="0" w:type="dxa"/>
          <w:bottom w:w="0" w:type="dxa"/>
          <w:right w:w="0" w:type="dxa"/>
        </w:tblCellMar>
      </w:tblPr>
      <w:tr>
        <w:trPr>
          <w:trHeight w:val="321"/>
        </w:trPr>
        <w:tc>
          <w:tcPr>
            <w:tcW w:w="1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4060" w:type="dxa"/>
            <w:vAlign w:val="bottom"/>
            <w:tcBorders>
              <w:top w:val="single" w:sz="8" w:color="auto"/>
              <w:right w:val="single" w:sz="8" w:color="auto"/>
            </w:tcBorders>
          </w:tcPr>
          <w:p>
            <w:pPr>
              <w:jc w:val="right"/>
              <w:ind w:right="3792"/>
              <w:spacing w:after="0"/>
              <w:rPr>
                <w:sz w:val="20"/>
                <w:szCs w:val="20"/>
                <w:color w:val="auto"/>
              </w:rPr>
            </w:pPr>
            <w:r>
              <w:rPr>
                <w:rFonts w:ascii="Arial" w:cs="Arial" w:eastAsia="Arial" w:hAnsi="Arial"/>
                <w:sz w:val="22"/>
                <w:szCs w:val="22"/>
                <w:color w:val="auto"/>
              </w:rPr>
              <w:t>]</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9"/>
                <w:szCs w:val="19"/>
                <w:color w:val="auto"/>
                <w:w w:val="74"/>
              </w:rPr>
              <w:t>[</w:t>
            </w:r>
          </w:p>
        </w:tc>
        <w:tc>
          <w:tcPr>
            <w:tcW w:w="4040" w:type="dxa"/>
            <w:vAlign w:val="bottom"/>
            <w:tcBorders>
              <w:top w:val="single" w:sz="8" w:color="auto"/>
              <w:right w:val="single" w:sz="8" w:color="auto"/>
            </w:tcBorders>
          </w:tcPr>
          <w:p>
            <w:pPr>
              <w:jc w:val="right"/>
              <w:ind w:right="3792"/>
              <w:spacing w:after="0"/>
              <w:rPr>
                <w:sz w:val="20"/>
                <w:szCs w:val="20"/>
                <w:color w:val="auto"/>
              </w:rPr>
            </w:pPr>
            <w:r>
              <w:rPr>
                <w:rFonts w:ascii="Arial" w:cs="Arial" w:eastAsia="Arial" w:hAnsi="Arial"/>
                <w:sz w:val="22"/>
                <w:szCs w:val="22"/>
                <w:color w:val="auto"/>
              </w:rPr>
              <w:t>]</w:t>
            </w:r>
          </w:p>
        </w:tc>
      </w:tr>
      <w:tr>
        <w:trPr>
          <w:trHeight w:val="44"/>
        </w:trPr>
        <w:tc>
          <w:tcPr>
            <w:tcW w:w="160" w:type="dxa"/>
            <w:vAlign w:val="bottom"/>
            <w:tcBorders>
              <w:left w:val="single" w:sz="8" w:color="auto"/>
              <w:bottom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300"/>
        </w:trPr>
        <w:tc>
          <w:tcPr>
            <w:tcW w:w="16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4060" w:type="dxa"/>
            <w:vAlign w:val="bottom"/>
            <w:tcBorders>
              <w:right w:val="single" w:sz="8" w:color="auto"/>
            </w:tcBorders>
          </w:tcPr>
          <w:p>
            <w:pPr>
              <w:jc w:val="right"/>
              <w:ind w:right="3792"/>
              <w:spacing w:after="0"/>
              <w:rPr>
                <w:sz w:val="20"/>
                <w:szCs w:val="20"/>
                <w:color w:val="auto"/>
              </w:rPr>
            </w:pPr>
            <w:r>
              <w:rPr>
                <w:rFonts w:ascii="Arial" w:cs="Arial" w:eastAsia="Arial" w:hAnsi="Arial"/>
                <w:sz w:val="22"/>
                <w:szCs w:val="22"/>
                <w:color w:val="auto"/>
              </w:rPr>
              <w:t>]</w:t>
            </w:r>
          </w:p>
        </w:tc>
        <w:tc>
          <w:tcPr>
            <w:tcW w:w="160" w:type="dxa"/>
            <w:vAlign w:val="bottom"/>
          </w:tcPr>
          <w:p>
            <w:pPr>
              <w:jc w:val="right"/>
              <w:ind w:right="3"/>
              <w:spacing w:after="0"/>
              <w:rPr>
                <w:sz w:val="20"/>
                <w:szCs w:val="20"/>
                <w:color w:val="auto"/>
              </w:rPr>
            </w:pPr>
            <w:r>
              <w:rPr>
                <w:rFonts w:ascii="Arial" w:cs="Arial" w:eastAsia="Arial" w:hAnsi="Arial"/>
                <w:sz w:val="19"/>
                <w:szCs w:val="19"/>
                <w:color w:val="auto"/>
                <w:w w:val="74"/>
              </w:rPr>
              <w:t>[</w:t>
            </w:r>
          </w:p>
        </w:tc>
        <w:tc>
          <w:tcPr>
            <w:tcW w:w="4040" w:type="dxa"/>
            <w:vAlign w:val="bottom"/>
            <w:tcBorders>
              <w:right w:val="single" w:sz="8" w:color="auto"/>
            </w:tcBorders>
          </w:tcPr>
          <w:p>
            <w:pPr>
              <w:jc w:val="right"/>
              <w:ind w:right="3792"/>
              <w:spacing w:after="0"/>
              <w:rPr>
                <w:sz w:val="20"/>
                <w:szCs w:val="20"/>
                <w:color w:val="auto"/>
              </w:rPr>
            </w:pPr>
            <w:r>
              <w:rPr>
                <w:rFonts w:ascii="Arial" w:cs="Arial" w:eastAsia="Arial" w:hAnsi="Arial"/>
                <w:sz w:val="22"/>
                <w:szCs w:val="22"/>
                <w:color w:val="auto"/>
              </w:rPr>
              <w:t>]</w:t>
            </w:r>
          </w:p>
        </w:tc>
      </w:tr>
      <w:tr>
        <w:trPr>
          <w:trHeight w:val="44"/>
        </w:trPr>
        <w:tc>
          <w:tcPr>
            <w:tcW w:w="160" w:type="dxa"/>
            <w:vAlign w:val="bottom"/>
            <w:tcBorders>
              <w:left w:val="single" w:sz="8" w:color="auto"/>
              <w:bottom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300"/>
        </w:trPr>
        <w:tc>
          <w:tcPr>
            <w:tcW w:w="16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4060" w:type="dxa"/>
            <w:vAlign w:val="bottom"/>
            <w:tcBorders>
              <w:right w:val="single" w:sz="8" w:color="auto"/>
            </w:tcBorders>
          </w:tcPr>
          <w:p>
            <w:pPr>
              <w:jc w:val="right"/>
              <w:ind w:right="3792"/>
              <w:spacing w:after="0"/>
              <w:rPr>
                <w:sz w:val="20"/>
                <w:szCs w:val="20"/>
                <w:color w:val="auto"/>
              </w:rPr>
            </w:pPr>
            <w:r>
              <w:rPr>
                <w:rFonts w:ascii="Arial" w:cs="Arial" w:eastAsia="Arial" w:hAnsi="Arial"/>
                <w:sz w:val="22"/>
                <w:szCs w:val="22"/>
                <w:color w:val="auto"/>
              </w:rPr>
              <w:t>]</w:t>
            </w:r>
          </w:p>
        </w:tc>
        <w:tc>
          <w:tcPr>
            <w:tcW w:w="160" w:type="dxa"/>
            <w:vAlign w:val="bottom"/>
          </w:tcPr>
          <w:p>
            <w:pPr>
              <w:jc w:val="right"/>
              <w:ind w:right="3"/>
              <w:spacing w:after="0"/>
              <w:rPr>
                <w:sz w:val="20"/>
                <w:szCs w:val="20"/>
                <w:color w:val="auto"/>
              </w:rPr>
            </w:pPr>
            <w:r>
              <w:rPr>
                <w:rFonts w:ascii="Arial" w:cs="Arial" w:eastAsia="Arial" w:hAnsi="Arial"/>
                <w:sz w:val="19"/>
                <w:szCs w:val="19"/>
                <w:color w:val="auto"/>
                <w:w w:val="74"/>
              </w:rPr>
              <w:t>[</w:t>
            </w:r>
          </w:p>
        </w:tc>
        <w:tc>
          <w:tcPr>
            <w:tcW w:w="4040" w:type="dxa"/>
            <w:vAlign w:val="bottom"/>
            <w:tcBorders>
              <w:right w:val="single" w:sz="8" w:color="auto"/>
            </w:tcBorders>
          </w:tcPr>
          <w:p>
            <w:pPr>
              <w:jc w:val="right"/>
              <w:ind w:right="3792"/>
              <w:spacing w:after="0"/>
              <w:rPr>
                <w:sz w:val="20"/>
                <w:szCs w:val="20"/>
                <w:color w:val="auto"/>
              </w:rPr>
            </w:pPr>
            <w:r>
              <w:rPr>
                <w:rFonts w:ascii="Arial" w:cs="Arial" w:eastAsia="Arial" w:hAnsi="Arial"/>
                <w:sz w:val="22"/>
                <w:szCs w:val="22"/>
                <w:color w:val="auto"/>
              </w:rPr>
              <w:t>]</w:t>
            </w:r>
          </w:p>
        </w:tc>
      </w:tr>
      <w:tr>
        <w:trPr>
          <w:trHeight w:val="44"/>
        </w:trPr>
        <w:tc>
          <w:tcPr>
            <w:tcW w:w="160" w:type="dxa"/>
            <w:vAlign w:val="bottom"/>
            <w:tcBorders>
              <w:left w:val="single" w:sz="8" w:color="auto"/>
              <w:bottom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301"/>
        </w:trPr>
        <w:tc>
          <w:tcPr>
            <w:tcW w:w="16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4060" w:type="dxa"/>
            <w:vAlign w:val="bottom"/>
            <w:tcBorders>
              <w:right w:val="single" w:sz="8" w:color="auto"/>
            </w:tcBorders>
          </w:tcPr>
          <w:p>
            <w:pPr>
              <w:jc w:val="right"/>
              <w:ind w:right="3792"/>
              <w:spacing w:after="0"/>
              <w:rPr>
                <w:sz w:val="20"/>
                <w:szCs w:val="20"/>
                <w:color w:val="auto"/>
              </w:rPr>
            </w:pPr>
            <w:r>
              <w:rPr>
                <w:rFonts w:ascii="Arial" w:cs="Arial" w:eastAsia="Arial" w:hAnsi="Arial"/>
                <w:sz w:val="22"/>
                <w:szCs w:val="22"/>
                <w:color w:val="auto"/>
              </w:rPr>
              <w:t>]</w:t>
            </w:r>
          </w:p>
        </w:tc>
        <w:tc>
          <w:tcPr>
            <w:tcW w:w="160" w:type="dxa"/>
            <w:vAlign w:val="bottom"/>
          </w:tcPr>
          <w:p>
            <w:pPr>
              <w:jc w:val="right"/>
              <w:ind w:right="3"/>
              <w:spacing w:after="0"/>
              <w:rPr>
                <w:sz w:val="20"/>
                <w:szCs w:val="20"/>
                <w:color w:val="auto"/>
              </w:rPr>
            </w:pPr>
            <w:r>
              <w:rPr>
                <w:rFonts w:ascii="Arial" w:cs="Arial" w:eastAsia="Arial" w:hAnsi="Arial"/>
                <w:sz w:val="19"/>
                <w:szCs w:val="19"/>
                <w:color w:val="auto"/>
                <w:w w:val="74"/>
              </w:rPr>
              <w:t>[</w:t>
            </w:r>
          </w:p>
        </w:tc>
        <w:tc>
          <w:tcPr>
            <w:tcW w:w="4040" w:type="dxa"/>
            <w:vAlign w:val="bottom"/>
            <w:tcBorders>
              <w:right w:val="single" w:sz="8" w:color="auto"/>
            </w:tcBorders>
          </w:tcPr>
          <w:p>
            <w:pPr>
              <w:jc w:val="right"/>
              <w:ind w:right="3792"/>
              <w:spacing w:after="0"/>
              <w:rPr>
                <w:sz w:val="20"/>
                <w:szCs w:val="20"/>
                <w:color w:val="auto"/>
              </w:rPr>
            </w:pPr>
            <w:r>
              <w:rPr>
                <w:rFonts w:ascii="Arial" w:cs="Arial" w:eastAsia="Arial" w:hAnsi="Arial"/>
                <w:sz w:val="22"/>
                <w:szCs w:val="22"/>
                <w:color w:val="auto"/>
              </w:rPr>
              <w:t>]</w:t>
            </w:r>
          </w:p>
        </w:tc>
      </w:tr>
      <w:tr>
        <w:trPr>
          <w:trHeight w:val="44"/>
        </w:trPr>
        <w:tc>
          <w:tcPr>
            <w:tcW w:w="160" w:type="dxa"/>
            <w:vAlign w:val="bottom"/>
            <w:tcBorders>
              <w:left w:val="single" w:sz="8" w:color="auto"/>
              <w:bottom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i w:val="1"/>
          <w:iCs w:val="1"/>
          <w:color w:val="auto"/>
        </w:rPr>
        <w:t>Performance/Payout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number of Performance Share Units that will vest on the Vesting Date will be equal to the product of (i) the target Performance Share Units and (ii) the Payout Factor for the Performance Period, determined using the performance/payout matrix below.</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3760" w:type="dxa"/>
            <w:vAlign w:val="bottom"/>
            <w:tcBorders>
              <w:top w:val="single" w:sz="8" w:color="auto"/>
              <w:left w:val="single" w:sz="8" w:color="auto"/>
              <w:right w:val="single" w:sz="8" w:color="auto"/>
            </w:tcBorders>
            <w:shd w:val="clear" w:color="auto" w:fill="D9D9D9"/>
          </w:tcPr>
          <w:p>
            <w:pPr>
              <w:ind w:left="1000"/>
              <w:spacing w:after="0"/>
              <w:rPr>
                <w:sz w:val="20"/>
                <w:szCs w:val="20"/>
                <w:color w:val="auto"/>
              </w:rPr>
            </w:pPr>
            <w:r>
              <w:rPr>
                <w:rFonts w:ascii="Arial" w:cs="Arial" w:eastAsia="Arial" w:hAnsi="Arial"/>
                <w:sz w:val="22"/>
                <w:szCs w:val="22"/>
                <w:b w:val="1"/>
                <w:bCs w:val="1"/>
                <w:color w:val="auto"/>
              </w:rPr>
              <w:t>Performance Level</w:t>
            </w:r>
          </w:p>
        </w:tc>
        <w:tc>
          <w:tcPr>
            <w:tcW w:w="160" w:type="dxa"/>
            <w:vAlign w:val="bottom"/>
            <w:tcBorders>
              <w:top w:val="single" w:sz="8" w:color="auto"/>
            </w:tcBorders>
            <w:shd w:val="clear" w:color="auto" w:fill="D9D9D9"/>
          </w:tcPr>
          <w:p>
            <w:pPr>
              <w:spacing w:after="0"/>
              <w:rPr>
                <w:sz w:val="24"/>
                <w:szCs w:val="24"/>
                <w:color w:val="auto"/>
              </w:rPr>
            </w:pPr>
          </w:p>
        </w:tc>
        <w:tc>
          <w:tcPr>
            <w:tcW w:w="3580" w:type="dxa"/>
            <w:vAlign w:val="bottom"/>
            <w:tcBorders>
              <w:top w:val="single" w:sz="8" w:color="auto"/>
              <w:right w:val="single" w:sz="8" w:color="auto"/>
            </w:tcBorders>
            <w:shd w:val="clear" w:color="auto" w:fill="D9D9D9"/>
          </w:tcPr>
          <w:p>
            <w:pPr>
              <w:ind w:left="320"/>
              <w:spacing w:after="0"/>
              <w:rPr>
                <w:sz w:val="20"/>
                <w:szCs w:val="20"/>
                <w:color w:val="auto"/>
              </w:rPr>
            </w:pPr>
            <w:r>
              <w:rPr>
                <w:rFonts w:ascii="Arial" w:cs="Arial" w:eastAsia="Arial" w:hAnsi="Arial"/>
                <w:sz w:val="22"/>
                <w:szCs w:val="22"/>
                <w:b w:val="1"/>
                <w:bCs w:val="1"/>
                <w:color w:val="auto"/>
              </w:rPr>
              <w:t>Relative TSR Percentile Rank</w:t>
            </w:r>
          </w:p>
        </w:tc>
        <w:tc>
          <w:tcPr>
            <w:tcW w:w="160" w:type="dxa"/>
            <w:vAlign w:val="bottom"/>
            <w:tcBorders>
              <w:top w:val="single" w:sz="8" w:color="auto"/>
            </w:tcBorders>
            <w:shd w:val="clear" w:color="auto" w:fill="D9D9D9"/>
          </w:tcPr>
          <w:p>
            <w:pPr>
              <w:spacing w:after="0"/>
              <w:rPr>
                <w:sz w:val="24"/>
                <w:szCs w:val="24"/>
                <w:color w:val="auto"/>
              </w:rPr>
            </w:pPr>
          </w:p>
        </w:tc>
        <w:tc>
          <w:tcPr>
            <w:tcW w:w="3580" w:type="dxa"/>
            <w:vAlign w:val="bottom"/>
            <w:tcBorders>
              <w:top w:val="single" w:sz="8" w:color="auto"/>
              <w:right w:val="single" w:sz="8" w:color="auto"/>
            </w:tcBorders>
            <w:shd w:val="clear" w:color="auto" w:fill="D9D9D9"/>
          </w:tcPr>
          <w:p>
            <w:pPr>
              <w:jc w:val="right"/>
              <w:ind w:right="1112"/>
              <w:spacing w:after="0"/>
              <w:rPr>
                <w:sz w:val="20"/>
                <w:szCs w:val="20"/>
                <w:color w:val="auto"/>
              </w:rPr>
            </w:pPr>
            <w:r>
              <w:rPr>
                <w:rFonts w:ascii="Arial" w:cs="Arial" w:eastAsia="Arial" w:hAnsi="Arial"/>
                <w:sz w:val="22"/>
                <w:szCs w:val="22"/>
                <w:b w:val="1"/>
                <w:bCs w:val="1"/>
                <w:color w:val="auto"/>
              </w:rPr>
              <w:t>Payout Factor</w:t>
            </w:r>
          </w:p>
        </w:tc>
      </w:tr>
      <w:tr>
        <w:trPr>
          <w:trHeight w:val="179"/>
        </w:trPr>
        <w:tc>
          <w:tcPr>
            <w:tcW w:w="376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60" w:type="dxa"/>
            <w:vAlign w:val="bottom"/>
            <w:tcBorders>
              <w:bottom w:val="single" w:sz="8" w:color="auto"/>
            </w:tcBorders>
            <w:shd w:val="clear" w:color="auto" w:fill="D9D9D9"/>
          </w:tcPr>
          <w:p>
            <w:pPr>
              <w:spacing w:after="0"/>
              <w:rPr>
                <w:sz w:val="15"/>
                <w:szCs w:val="15"/>
                <w:color w:val="auto"/>
              </w:rPr>
            </w:pPr>
          </w:p>
        </w:tc>
        <w:tc>
          <w:tcPr>
            <w:tcW w:w="3580" w:type="dxa"/>
            <w:vAlign w:val="bottom"/>
            <w:tcBorders>
              <w:bottom w:val="single" w:sz="8" w:color="auto"/>
              <w:right w:val="single" w:sz="8" w:color="auto"/>
            </w:tcBorders>
            <w:shd w:val="clear" w:color="auto" w:fill="D9D9D9"/>
          </w:tcPr>
          <w:p>
            <w:pPr>
              <w:spacing w:after="0"/>
              <w:rPr>
                <w:sz w:val="15"/>
                <w:szCs w:val="15"/>
                <w:color w:val="auto"/>
              </w:rPr>
            </w:pPr>
          </w:p>
        </w:tc>
        <w:tc>
          <w:tcPr>
            <w:tcW w:w="160" w:type="dxa"/>
            <w:vAlign w:val="bottom"/>
            <w:tcBorders>
              <w:bottom w:val="single" w:sz="8" w:color="auto"/>
            </w:tcBorders>
            <w:shd w:val="clear" w:color="auto" w:fill="D9D9D9"/>
          </w:tcPr>
          <w:p>
            <w:pPr>
              <w:spacing w:after="0"/>
              <w:rPr>
                <w:sz w:val="15"/>
                <w:szCs w:val="15"/>
                <w:color w:val="auto"/>
              </w:rPr>
            </w:pPr>
          </w:p>
        </w:tc>
        <w:tc>
          <w:tcPr>
            <w:tcW w:w="358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68"/>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Maximum</w:t>
            </w:r>
          </w:p>
        </w:tc>
        <w:tc>
          <w:tcPr>
            <w:tcW w:w="160" w:type="dxa"/>
            <w:vAlign w:val="bottom"/>
          </w:tcPr>
          <w:p>
            <w:pPr>
              <w:spacing w:after="0"/>
              <w:rPr>
                <w:sz w:val="20"/>
                <w:szCs w:val="20"/>
                <w:color w:val="auto"/>
              </w:rPr>
            </w:pPr>
            <w:r>
              <w:rPr>
                <w:rFonts w:ascii="Arial" w:cs="Arial" w:eastAsia="Arial" w:hAnsi="Arial"/>
                <w:sz w:val="22"/>
                <w:szCs w:val="22"/>
                <w:color w:val="auto"/>
              </w:rPr>
              <w:t>[</w:t>
            </w:r>
          </w:p>
        </w:tc>
        <w:tc>
          <w:tcPr>
            <w:tcW w:w="3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 percentile</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3580" w:type="dxa"/>
            <w:vAlign w:val="bottom"/>
            <w:tcBorders>
              <w:right w:val="single" w:sz="8" w:color="auto"/>
            </w:tcBorders>
          </w:tcPr>
          <w:p>
            <w:pPr>
              <w:jc w:val="right"/>
              <w:ind w:right="3152"/>
              <w:spacing w:after="0"/>
              <w:rPr>
                <w:sz w:val="20"/>
                <w:szCs w:val="20"/>
                <w:color w:val="auto"/>
              </w:rPr>
            </w:pPr>
            <w:r>
              <w:rPr>
                <w:rFonts w:ascii="Arial" w:cs="Arial" w:eastAsia="Arial" w:hAnsi="Arial"/>
                <w:sz w:val="22"/>
                <w:szCs w:val="22"/>
                <w:color w:val="auto"/>
              </w:rPr>
              <w:t>]%</w:t>
            </w:r>
          </w:p>
        </w:tc>
      </w:tr>
      <w:tr>
        <w:trPr>
          <w:trHeight w:val="185"/>
        </w:trPr>
        <w:tc>
          <w:tcPr>
            <w:tcW w:w="3760" w:type="dxa"/>
            <w:vAlign w:val="bottom"/>
            <w:tcBorders>
              <w:left w:val="single" w:sz="8" w:color="auto"/>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Target</w:t>
            </w:r>
          </w:p>
        </w:tc>
        <w:tc>
          <w:tcPr>
            <w:tcW w:w="160" w:type="dxa"/>
            <w:vAlign w:val="bottom"/>
          </w:tcPr>
          <w:p>
            <w:pPr>
              <w:spacing w:after="0"/>
              <w:rPr>
                <w:sz w:val="20"/>
                <w:szCs w:val="20"/>
                <w:color w:val="auto"/>
              </w:rPr>
            </w:pPr>
            <w:r>
              <w:rPr>
                <w:rFonts w:ascii="Arial" w:cs="Arial" w:eastAsia="Arial" w:hAnsi="Arial"/>
                <w:sz w:val="22"/>
                <w:szCs w:val="22"/>
                <w:color w:val="auto"/>
              </w:rPr>
              <w:t>[</w:t>
            </w:r>
          </w:p>
        </w:tc>
        <w:tc>
          <w:tcPr>
            <w:tcW w:w="3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 percentile</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3580" w:type="dxa"/>
            <w:vAlign w:val="bottom"/>
            <w:tcBorders>
              <w:right w:val="single" w:sz="8" w:color="auto"/>
            </w:tcBorders>
          </w:tcPr>
          <w:p>
            <w:pPr>
              <w:jc w:val="right"/>
              <w:ind w:right="3152"/>
              <w:spacing w:after="0"/>
              <w:rPr>
                <w:sz w:val="20"/>
                <w:szCs w:val="20"/>
                <w:color w:val="auto"/>
              </w:rPr>
            </w:pPr>
            <w:r>
              <w:rPr>
                <w:rFonts w:ascii="Arial" w:cs="Arial" w:eastAsia="Arial" w:hAnsi="Arial"/>
                <w:sz w:val="22"/>
                <w:szCs w:val="22"/>
                <w:color w:val="auto"/>
              </w:rPr>
              <w:t>]%</w:t>
            </w:r>
          </w:p>
        </w:tc>
      </w:tr>
      <w:tr>
        <w:trPr>
          <w:trHeight w:val="185"/>
        </w:trPr>
        <w:tc>
          <w:tcPr>
            <w:tcW w:w="3760" w:type="dxa"/>
            <w:vAlign w:val="bottom"/>
            <w:tcBorders>
              <w:left w:val="single" w:sz="8" w:color="auto"/>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Threshold</w:t>
            </w:r>
          </w:p>
        </w:tc>
        <w:tc>
          <w:tcPr>
            <w:tcW w:w="160" w:type="dxa"/>
            <w:vAlign w:val="bottom"/>
          </w:tcPr>
          <w:p>
            <w:pPr>
              <w:spacing w:after="0"/>
              <w:rPr>
                <w:sz w:val="20"/>
                <w:szCs w:val="20"/>
                <w:color w:val="auto"/>
              </w:rPr>
            </w:pPr>
            <w:r>
              <w:rPr>
                <w:rFonts w:ascii="Arial" w:cs="Arial" w:eastAsia="Arial" w:hAnsi="Arial"/>
                <w:sz w:val="22"/>
                <w:szCs w:val="22"/>
                <w:color w:val="auto"/>
              </w:rPr>
              <w:t>[</w:t>
            </w:r>
          </w:p>
        </w:tc>
        <w:tc>
          <w:tcPr>
            <w:tcW w:w="35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 percentile</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3580" w:type="dxa"/>
            <w:vAlign w:val="bottom"/>
            <w:tcBorders>
              <w:right w:val="single" w:sz="8" w:color="auto"/>
            </w:tcBorders>
          </w:tcPr>
          <w:p>
            <w:pPr>
              <w:jc w:val="right"/>
              <w:ind w:right="3152"/>
              <w:spacing w:after="0"/>
              <w:rPr>
                <w:sz w:val="20"/>
                <w:szCs w:val="20"/>
                <w:color w:val="auto"/>
              </w:rPr>
            </w:pPr>
            <w:r>
              <w:rPr>
                <w:rFonts w:ascii="Arial" w:cs="Arial" w:eastAsia="Arial" w:hAnsi="Arial"/>
                <w:sz w:val="22"/>
                <w:szCs w:val="22"/>
                <w:color w:val="auto"/>
              </w:rPr>
              <w:t>]%</w:t>
            </w:r>
          </w:p>
        </w:tc>
      </w:tr>
      <w:tr>
        <w:trPr>
          <w:trHeight w:val="185"/>
        </w:trPr>
        <w:tc>
          <w:tcPr>
            <w:tcW w:w="3760" w:type="dxa"/>
            <w:vAlign w:val="bottom"/>
            <w:tcBorders>
              <w:left w:val="single" w:sz="8" w:color="auto"/>
              <w:bottom w:val="single" w:sz="8" w:color="auto"/>
              <w:right w:val="single" w:sz="8" w:color="auto"/>
            </w:tcBorders>
          </w:tcPr>
          <w:p>
            <w:pPr>
              <w:spacing w:after="0"/>
              <w:rPr>
                <w:sz w:val="16"/>
                <w:szCs w:val="16"/>
                <w:color w:val="auto"/>
              </w:rPr>
            </w:pPr>
          </w:p>
        </w:tc>
        <w:tc>
          <w:tcPr>
            <w:tcW w:w="3740" w:type="dxa"/>
            <w:vAlign w:val="bottom"/>
            <w:tcBorders>
              <w:bottom w:val="single" w:sz="8" w:color="auto"/>
              <w:right w:val="single" w:sz="8" w:color="auto"/>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Below Threshold</w:t>
            </w:r>
          </w:p>
        </w:tc>
        <w:tc>
          <w:tcPr>
            <w:tcW w:w="374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Below [  ]th percentile</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3580" w:type="dxa"/>
            <w:vAlign w:val="bottom"/>
            <w:tcBorders>
              <w:right w:val="single" w:sz="8" w:color="auto"/>
            </w:tcBorders>
          </w:tcPr>
          <w:p>
            <w:pPr>
              <w:jc w:val="right"/>
              <w:ind w:right="3152"/>
              <w:spacing w:after="0"/>
              <w:rPr>
                <w:sz w:val="20"/>
                <w:szCs w:val="20"/>
                <w:color w:val="auto"/>
              </w:rPr>
            </w:pPr>
            <w:r>
              <w:rPr>
                <w:rFonts w:ascii="Arial" w:cs="Arial" w:eastAsia="Arial" w:hAnsi="Arial"/>
                <w:sz w:val="22"/>
                <w:szCs w:val="22"/>
                <w:color w:val="auto"/>
              </w:rPr>
              <w:t>]%</w:t>
            </w:r>
          </w:p>
        </w:tc>
      </w:tr>
      <w:tr>
        <w:trPr>
          <w:trHeight w:val="185"/>
        </w:trPr>
        <w:tc>
          <w:tcPr>
            <w:tcW w:w="3760" w:type="dxa"/>
            <w:vAlign w:val="bottom"/>
            <w:tcBorders>
              <w:left w:val="single" w:sz="8" w:color="auto"/>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As demonstrated in the chart below, to the extent the Relative TSR Percentile Rank for the Performance Period is between specified performance levels, the portion of the target Performance Share Units that will vest will be determined using straight line interpolation; </w:t>
      </w:r>
      <w:r>
        <w:rPr>
          <w:rFonts w:ascii="Arial" w:cs="Arial" w:eastAsia="Arial" w:hAnsi="Arial"/>
          <w:sz w:val="22"/>
          <w:szCs w:val="22"/>
          <w:u w:val="single" w:color="auto"/>
          <w:color w:val="auto"/>
        </w:rPr>
        <w:t>provided</w:t>
      </w:r>
      <w:r>
        <w:rPr>
          <w:rFonts w:ascii="Arial" w:cs="Arial" w:eastAsia="Arial" w:hAnsi="Arial"/>
          <w:sz w:val="22"/>
          <w:szCs w:val="22"/>
          <w:color w:val="auto"/>
        </w:rPr>
        <w:t>, that the maximum number of Performance Share Units that may become vested for the Performance Period will not exceed [ ]% of the target Performance Share Units.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[redacted]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Changes in Peer Group Companies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Unless the Committee determines otherwise in its discretion, then if, at any time during the Performance Period:</w:t>
      </w:r>
    </w:p>
    <w:p>
      <w:pPr>
        <w:spacing w:after="0" w:line="241" w:lineRule="exact"/>
        <w:rPr>
          <w:sz w:val="20"/>
          <w:szCs w:val="20"/>
          <w:color w:val="auto"/>
        </w:rPr>
      </w:pPr>
    </w:p>
    <w:p>
      <w:pPr>
        <w:jc w:val="both"/>
        <w:ind w:left="1300" w:hanging="442"/>
        <w:spacing w:after="0" w:line="236" w:lineRule="auto"/>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 Peer Group Member files for bankruptcy protection or ceases to be listed on a U.S. national exchange due to the failure to meet applicable listing requirements, then such member will be treated as having achieved the lowest possible Total Shareholder Return and Relative TSR Percentile Rank;</w:t>
      </w:r>
    </w:p>
    <w:p>
      <w:pPr>
        <w:jc w:val="both"/>
        <w:ind w:left="1300" w:hanging="442"/>
        <w:spacing w:after="0" w:line="266" w:lineRule="auto"/>
        <w:tabs>
          <w:tab w:leader="none" w:pos="13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any Peer Group Member is acquired by, or completes a merger or other combination with, or has sold all or substantially all of its assets to, another Peer Group Member, the acquiring or surviving member, as applicable, will be included in the Relative TSR Percentile Rank, and the acquired or non-surviving member, as applicable, will not be included in the Relative TSR Percentile Rank for any of the Performance Period; or</w:t>
      </w:r>
    </w:p>
    <w:p>
      <w:pPr>
        <w:spacing w:after="0" w:line="3" w:lineRule="exact"/>
        <w:rPr>
          <w:rFonts w:ascii="Arial" w:cs="Arial" w:eastAsia="Arial" w:hAnsi="Arial"/>
          <w:sz w:val="19"/>
          <w:szCs w:val="19"/>
          <w:color w:val="auto"/>
        </w:rPr>
      </w:pPr>
    </w:p>
    <w:p>
      <w:pPr>
        <w:jc w:val="both"/>
        <w:ind w:left="1300" w:hanging="442"/>
        <w:spacing w:after="0" w:line="233" w:lineRule="auto"/>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 Peer Group Member is acquired by, or completes a merger or other combination with, or has sold all or substantially all of its assets to, an entity that is not a Peer Group Member, and the Peer Group Member is not the surviving publicly-traded entity following the transaction, then neither (i) the acquirer or surviving entity, as applicable,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3" w:name="page74"/>
    <w:bookmarkEnd w:id="73"/>
    <w:p>
      <w:pPr>
        <w:ind w:left="1300"/>
        <w:spacing w:after="0"/>
        <w:rPr>
          <w:sz w:val="20"/>
          <w:szCs w:val="20"/>
          <w:color w:val="auto"/>
        </w:rPr>
      </w:pPr>
      <w:r>
        <w:rPr>
          <w:rFonts w:ascii="Arial" w:cs="Arial" w:eastAsia="Arial" w:hAnsi="Arial"/>
          <w:sz w:val="19"/>
          <w:szCs w:val="19"/>
          <w:color w:val="auto"/>
        </w:rPr>
        <w:t>nor (ii) the acquired or non-surviving member, as applicable, will be included in the Relative TSR Percentile Rank.</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Interpretation</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In the event of any ambiguity or discrepancy in this Agreement (including this Attachment I), the determination of the Committee shall be final and binding.</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148590</wp:posOffset>
            </wp:positionV>
            <wp:extent cx="1114425"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11144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60"/>
        <w:spacing w:after="0"/>
        <w:rPr>
          <w:sz w:val="20"/>
          <w:szCs w:val="20"/>
          <w:color w:val="auto"/>
        </w:rPr>
      </w:pPr>
      <w:r>
        <w:rPr>
          <w:rFonts w:ascii="Arial" w:cs="Arial" w:eastAsia="Arial" w:hAnsi="Arial"/>
          <w:sz w:val="22"/>
          <w:szCs w:val="22"/>
          <w:b w:val="1"/>
          <w:bCs w:val="1"/>
          <w:color w:val="auto"/>
        </w:rPr>
        <w:t>ATTACHMENT II</w:t>
      </w:r>
    </w:p>
    <w:p>
      <w:pPr>
        <w:spacing w:after="0" w:line="4" w:lineRule="exact"/>
        <w:rPr>
          <w:sz w:val="20"/>
          <w:szCs w:val="20"/>
          <w:color w:val="auto"/>
        </w:rPr>
      </w:pPr>
    </w:p>
    <w:p>
      <w:pPr>
        <w:jc w:val="center"/>
        <w:ind w:right="760"/>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ind w:right="760"/>
        <w:spacing w:after="0"/>
        <w:rPr>
          <w:sz w:val="20"/>
          <w:szCs w:val="20"/>
          <w:color w:val="auto"/>
        </w:rPr>
      </w:pPr>
      <w:r>
        <w:rPr>
          <w:rFonts w:ascii="Arial" w:cs="Arial" w:eastAsia="Arial" w:hAnsi="Arial"/>
          <w:sz w:val="22"/>
          <w:szCs w:val="22"/>
          <w:b w:val="1"/>
          <w:bCs w:val="1"/>
          <w:color w:val="auto"/>
        </w:rPr>
        <w:t>Non-Compete and Non-Solicitation Agreement</w:t>
      </w:r>
    </w:p>
    <w:p>
      <w:pPr>
        <w:spacing w:after="0" w:line="188" w:lineRule="exact"/>
        <w:rPr>
          <w:sz w:val="20"/>
          <w:szCs w:val="20"/>
          <w:color w:val="auto"/>
        </w:rPr>
      </w:pPr>
    </w:p>
    <w:p>
      <w:pPr>
        <w:ind w:left="1120" w:hanging="809"/>
        <w:spacing w:after="0"/>
        <w:tabs>
          <w:tab w:leader="none" w:pos="112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09"/>
        <w:spacing w:after="0"/>
        <w:tabs>
          <w:tab w:leader="none" w:pos="1693"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86" w:lineRule="exact"/>
        <w:rPr>
          <w:rFonts w:ascii="Arial" w:cs="Arial" w:eastAsia="Arial" w:hAnsi="Arial"/>
          <w:sz w:val="22"/>
          <w:szCs w:val="22"/>
          <w:color w:val="auto"/>
        </w:rPr>
      </w:pPr>
    </w:p>
    <w:p>
      <w:pPr>
        <w:jc w:val="both"/>
        <w:ind w:firstLine="809"/>
        <w:spacing w:after="0" w:line="271" w:lineRule="auto"/>
        <w:tabs>
          <w:tab w:leader="none" w:pos="1705" w:val="left"/>
        </w:tabs>
        <w:numPr>
          <w:ilvl w:val="1"/>
          <w:numId w:val="142"/>
        </w:numPr>
        <w:rPr>
          <w:rFonts w:ascii="Arial" w:cs="Arial" w:eastAsia="Arial" w:hAnsi="Arial"/>
          <w:sz w:val="19"/>
          <w:szCs w:val="19"/>
          <w:color w:val="auto"/>
        </w:rPr>
      </w:pPr>
      <w:r>
        <w:rPr>
          <w:rFonts w:ascii="Arial" w:cs="Arial" w:eastAsia="Arial" w:hAnsi="Arial"/>
          <w:sz w:val="19"/>
          <w:szCs w:val="19"/>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64" w:lineRule="exact"/>
        <w:rPr>
          <w:rFonts w:ascii="Arial" w:cs="Arial" w:eastAsia="Arial" w:hAnsi="Arial"/>
          <w:sz w:val="19"/>
          <w:szCs w:val="19"/>
          <w:color w:val="auto"/>
        </w:rPr>
      </w:pPr>
    </w:p>
    <w:p>
      <w:pPr>
        <w:jc w:val="both"/>
        <w:ind w:firstLine="809"/>
        <w:spacing w:after="0" w:line="245" w:lineRule="auto"/>
        <w:tabs>
          <w:tab w:leader="none" w:pos="1693" w:val="left"/>
        </w:tabs>
        <w:numPr>
          <w:ilvl w:val="1"/>
          <w:numId w:val="142"/>
        </w:numPr>
        <w:rPr>
          <w:rFonts w:ascii="Arial" w:cs="Arial" w:eastAsia="Arial" w:hAnsi="Arial"/>
          <w:sz w:val="21"/>
          <w:szCs w:val="21"/>
          <w:color w:val="auto"/>
        </w:rPr>
      </w:pPr>
      <w:r>
        <w:rPr>
          <w:rFonts w:ascii="Arial" w:cs="Arial" w:eastAsia="Arial" w:hAnsi="Arial"/>
          <w:sz w:val="21"/>
          <w:szCs w:val="21"/>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13</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156845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80"/>
          </w:cols>
          <w:pgMar w:left="1080" w:top="112" w:right="339" w:bottom="1440" w:gutter="0" w:footer="0" w:header="0"/>
        </w:sectPr>
      </w:pPr>
    </w:p>
    <w:bookmarkStart w:id="75" w:name="page76"/>
    <w:bookmarkEnd w:id="75"/>
    <w:p>
      <w:pPr>
        <w:jc w:val="both"/>
        <w:ind w:left="540" w:firstLine="809"/>
        <w:spacing w:after="0" w:line="279" w:lineRule="auto"/>
        <w:tabs>
          <w:tab w:leader="none" w:pos="2245" w:val="left"/>
        </w:tabs>
        <w:numPr>
          <w:ilvl w:val="1"/>
          <w:numId w:val="143"/>
        </w:numPr>
        <w:rPr>
          <w:rFonts w:ascii="Arial" w:cs="Arial" w:eastAsia="Arial" w:hAnsi="Arial"/>
          <w:sz w:val="19"/>
          <w:szCs w:val="19"/>
          <w:color w:val="auto"/>
        </w:rPr>
      </w:pPr>
      <w:r>
        <w:rPr>
          <w:rFonts w:ascii="Arial" w:cs="Arial" w:eastAsia="Arial" w:hAnsi="Arial"/>
          <w:sz w:val="19"/>
          <w:szCs w:val="19"/>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50" w:lineRule="exact"/>
        <w:rPr>
          <w:rFonts w:ascii="Arial" w:cs="Arial" w:eastAsia="Arial" w:hAnsi="Arial"/>
          <w:sz w:val="19"/>
          <w:szCs w:val="19"/>
          <w:color w:val="auto"/>
        </w:rPr>
      </w:pPr>
    </w:p>
    <w:p>
      <w:pPr>
        <w:jc w:val="both"/>
        <w:ind w:left="540" w:firstLine="809"/>
        <w:spacing w:after="0"/>
        <w:tabs>
          <w:tab w:leader="none" w:pos="2233" w:val="left"/>
        </w:tabs>
        <w:numPr>
          <w:ilvl w:val="1"/>
          <w:numId w:val="143"/>
        </w:numPr>
        <w:rPr>
          <w:rFonts w:ascii="Arial" w:cs="Arial" w:eastAsia="Arial" w:hAnsi="Arial"/>
          <w:sz w:val="22"/>
          <w:szCs w:val="22"/>
          <w:color w:val="auto"/>
        </w:rPr>
      </w:pPr>
      <w:r>
        <w:rPr>
          <w:rFonts w:ascii="Arial" w:cs="Arial" w:eastAsia="Arial" w:hAnsi="Arial"/>
          <w:sz w:val="22"/>
          <w:szCs w:val="22"/>
          <w:color w:val="auto"/>
        </w:rPr>
        <w:t>“Pre-existing Intellectual Property” is all Intellectual Property that was authored, conceived, developed, or reduced to practice by Employee before the term of Employee’s employment with the Company or any Affiliate began.</w:t>
      </w:r>
    </w:p>
    <w:p>
      <w:pPr>
        <w:spacing w:after="0" w:line="186" w:lineRule="exact"/>
        <w:rPr>
          <w:rFonts w:ascii="Arial" w:cs="Arial" w:eastAsia="Arial" w:hAnsi="Arial"/>
          <w:sz w:val="22"/>
          <w:szCs w:val="22"/>
          <w:color w:val="auto"/>
        </w:rPr>
      </w:pPr>
    </w:p>
    <w:p>
      <w:pPr>
        <w:jc w:val="both"/>
        <w:ind w:firstLine="851"/>
        <w:spacing w:after="0" w:line="238" w:lineRule="auto"/>
        <w:tabs>
          <w:tab w:leader="none" w:pos="1657"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Codes of Conduct</w:t>
      </w:r>
      <w:r>
        <w:rPr>
          <w:rFonts w:ascii="Arial" w:cs="Arial" w:eastAsia="Arial" w:hAnsi="Arial"/>
          <w:sz w:val="22"/>
          <w:szCs w:val="22"/>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84" w:lineRule="exact"/>
        <w:rPr>
          <w:rFonts w:ascii="Arial" w:cs="Arial" w:eastAsia="Arial" w:hAnsi="Arial"/>
          <w:sz w:val="22"/>
          <w:szCs w:val="22"/>
          <w:color w:val="auto"/>
        </w:rPr>
      </w:pPr>
    </w:p>
    <w:p>
      <w:pPr>
        <w:ind w:left="1660" w:hanging="809"/>
        <w:spacing w:after="0"/>
        <w:tabs>
          <w:tab w:leader="none" w:pos="1660"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540" w:firstLine="809"/>
        <w:spacing w:after="0" w:line="246" w:lineRule="auto"/>
        <w:tabs>
          <w:tab w:leader="none" w:pos="2233" w:val="left"/>
        </w:tabs>
        <w:numPr>
          <w:ilvl w:val="1"/>
          <w:numId w:val="144"/>
        </w:numPr>
        <w:rPr>
          <w:rFonts w:ascii="Arial" w:cs="Arial" w:eastAsia="Arial" w:hAnsi="Arial"/>
          <w:sz w:val="21"/>
          <w:szCs w:val="21"/>
          <w:color w:val="auto"/>
        </w:rPr>
      </w:pPr>
      <w:r>
        <w:rPr>
          <w:rFonts w:ascii="Arial" w:cs="Arial" w:eastAsia="Arial" w:hAnsi="Arial"/>
          <w:sz w:val="21"/>
          <w:szCs w:val="21"/>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84" w:lineRule="exact"/>
        <w:rPr>
          <w:rFonts w:ascii="Arial" w:cs="Arial" w:eastAsia="Arial" w:hAnsi="Arial"/>
          <w:sz w:val="21"/>
          <w:szCs w:val="21"/>
          <w:color w:val="auto"/>
        </w:rPr>
      </w:pPr>
    </w:p>
    <w:p>
      <w:pPr>
        <w:jc w:val="both"/>
        <w:ind w:left="540" w:firstLine="809"/>
        <w:spacing w:after="0"/>
        <w:tabs>
          <w:tab w:leader="none" w:pos="2245" w:val="left"/>
        </w:tabs>
        <w:numPr>
          <w:ilvl w:val="1"/>
          <w:numId w:val="144"/>
        </w:numPr>
        <w:rPr>
          <w:rFonts w:ascii="Arial" w:cs="Arial" w:eastAsia="Arial" w:hAnsi="Arial"/>
          <w:sz w:val="22"/>
          <w:szCs w:val="22"/>
          <w:color w:val="auto"/>
        </w:rPr>
      </w:pPr>
      <w:r>
        <w:rPr>
          <w:rFonts w:ascii="Arial" w:cs="Arial" w:eastAsia="Arial" w:hAnsi="Arial"/>
          <w:sz w:val="22"/>
          <w:szCs w:val="22"/>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86" w:lineRule="exact"/>
        <w:rPr>
          <w:rFonts w:ascii="Arial" w:cs="Arial" w:eastAsia="Arial" w:hAnsi="Arial"/>
          <w:sz w:val="22"/>
          <w:szCs w:val="22"/>
          <w:color w:val="auto"/>
        </w:rPr>
      </w:pPr>
    </w:p>
    <w:p>
      <w:pPr>
        <w:jc w:val="both"/>
        <w:ind w:left="540" w:firstLine="809"/>
        <w:spacing w:after="0" w:line="236" w:lineRule="auto"/>
        <w:tabs>
          <w:tab w:leader="none" w:pos="2233" w:val="left"/>
        </w:tabs>
        <w:numPr>
          <w:ilvl w:val="1"/>
          <w:numId w:val="144"/>
        </w:numPr>
        <w:rPr>
          <w:rFonts w:ascii="Arial" w:cs="Arial" w:eastAsia="Arial" w:hAnsi="Arial"/>
          <w:sz w:val="22"/>
          <w:szCs w:val="22"/>
          <w:color w:val="auto"/>
        </w:rPr>
      </w:pPr>
      <w:r>
        <w:rPr>
          <w:rFonts w:ascii="Arial" w:cs="Arial" w:eastAsia="Arial" w:hAnsi="Arial"/>
          <w:sz w:val="22"/>
          <w:szCs w:val="22"/>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87" w:lineRule="exact"/>
        <w:rPr>
          <w:rFonts w:ascii="Arial" w:cs="Arial" w:eastAsia="Arial" w:hAnsi="Arial"/>
          <w:sz w:val="22"/>
          <w:szCs w:val="22"/>
          <w:color w:val="auto"/>
        </w:rPr>
      </w:pPr>
    </w:p>
    <w:p>
      <w:pPr>
        <w:jc w:val="both"/>
        <w:ind w:left="540" w:firstLine="809"/>
        <w:spacing w:after="0" w:line="236" w:lineRule="auto"/>
        <w:tabs>
          <w:tab w:leader="none" w:pos="2245" w:val="left"/>
        </w:tabs>
        <w:numPr>
          <w:ilvl w:val="1"/>
          <w:numId w:val="144"/>
        </w:numPr>
        <w:rPr>
          <w:rFonts w:ascii="Arial" w:cs="Arial" w:eastAsia="Arial" w:hAnsi="Arial"/>
          <w:sz w:val="22"/>
          <w:szCs w:val="22"/>
          <w:color w:val="auto"/>
        </w:rPr>
      </w:pPr>
      <w:r>
        <w:rPr>
          <w:rFonts w:ascii="Arial" w:cs="Arial" w:eastAsia="Arial" w:hAnsi="Arial"/>
          <w:sz w:val="22"/>
          <w:szCs w:val="22"/>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14</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156845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540" w:top="334" w:right="339" w:bottom="1440" w:gutter="0" w:footer="0" w:header="0"/>
        </w:sectPr>
      </w:pPr>
    </w:p>
    <w:bookmarkStart w:id="76" w:name="page77"/>
    <w:bookmarkEnd w:id="76"/>
    <w:p>
      <w:pPr>
        <w:jc w:val="both"/>
        <w:spacing w:after="0" w:line="252" w:lineRule="auto"/>
        <w:rPr>
          <w:sz w:val="20"/>
          <w:szCs w:val="20"/>
          <w:color w:val="auto"/>
        </w:rPr>
      </w:pPr>
      <w:r>
        <w:rPr>
          <w:rFonts w:ascii="Arial" w:cs="Arial" w:eastAsia="Arial" w:hAnsi="Arial"/>
          <w:sz w:val="21"/>
          <w:szCs w:val="21"/>
          <w:color w:val="auto"/>
        </w:rPr>
        <w:t>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74" w:lineRule="exact"/>
        <w:rPr>
          <w:sz w:val="20"/>
          <w:szCs w:val="20"/>
          <w:color w:val="auto"/>
        </w:rPr>
      </w:pPr>
    </w:p>
    <w:p>
      <w:pPr>
        <w:jc w:val="both"/>
        <w:ind w:firstLine="809"/>
        <w:spacing w:after="0" w:line="282" w:lineRule="auto"/>
        <w:tabs>
          <w:tab w:leader="none" w:pos="1693" w:val="left"/>
        </w:tabs>
        <w:numPr>
          <w:ilvl w:val="1"/>
          <w:numId w:val="145"/>
        </w:numPr>
        <w:rPr>
          <w:rFonts w:ascii="Arial" w:cs="Arial" w:eastAsia="Arial" w:hAnsi="Arial"/>
          <w:sz w:val="19"/>
          <w:szCs w:val="19"/>
          <w:color w:val="auto"/>
        </w:rPr>
      </w:pPr>
      <w:r>
        <w:rPr>
          <w:rFonts w:ascii="Arial" w:cs="Arial" w:eastAsia="Arial" w:hAnsi="Arial"/>
          <w:sz w:val="19"/>
          <w:szCs w:val="19"/>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47" w:lineRule="exact"/>
        <w:rPr>
          <w:rFonts w:ascii="Arial" w:cs="Arial" w:eastAsia="Arial" w:hAnsi="Arial"/>
          <w:sz w:val="19"/>
          <w:szCs w:val="19"/>
          <w:color w:val="auto"/>
        </w:rPr>
      </w:pPr>
    </w:p>
    <w:p>
      <w:pPr>
        <w:jc w:val="both"/>
        <w:ind w:firstLine="809"/>
        <w:spacing w:after="0"/>
        <w:tabs>
          <w:tab w:leader="none" w:pos="1669" w:val="left"/>
        </w:tabs>
        <w:numPr>
          <w:ilvl w:val="1"/>
          <w:numId w:val="145"/>
        </w:numPr>
        <w:rPr>
          <w:rFonts w:ascii="Arial" w:cs="Arial" w:eastAsia="Arial" w:hAnsi="Arial"/>
          <w:sz w:val="22"/>
          <w:szCs w:val="22"/>
          <w:color w:val="auto"/>
        </w:rPr>
      </w:pPr>
      <w:r>
        <w:rPr>
          <w:rFonts w:ascii="Arial" w:cs="Arial" w:eastAsia="Arial" w:hAnsi="Arial"/>
          <w:sz w:val="22"/>
          <w:szCs w:val="22"/>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86" w:lineRule="exact"/>
        <w:rPr>
          <w:rFonts w:ascii="Arial" w:cs="Arial" w:eastAsia="Arial" w:hAnsi="Arial"/>
          <w:sz w:val="22"/>
          <w:szCs w:val="22"/>
          <w:color w:val="auto"/>
        </w:rPr>
      </w:pPr>
    </w:p>
    <w:p>
      <w:pPr>
        <w:ind w:left="1120" w:hanging="809"/>
        <w:spacing w:after="0"/>
        <w:tabs>
          <w:tab w:leader="none" w:pos="112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Disclosure of Intellectual Property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09"/>
        <w:spacing w:after="0" w:line="275" w:lineRule="auto"/>
        <w:tabs>
          <w:tab w:leader="none" w:pos="1693" w:val="left"/>
        </w:tabs>
        <w:numPr>
          <w:ilvl w:val="1"/>
          <w:numId w:val="146"/>
        </w:numPr>
        <w:rPr>
          <w:rFonts w:ascii="Arial" w:cs="Arial" w:eastAsia="Arial" w:hAnsi="Arial"/>
          <w:sz w:val="19"/>
          <w:szCs w:val="19"/>
          <w:color w:val="auto"/>
        </w:rPr>
      </w:pPr>
      <w:r>
        <w:rPr>
          <w:rFonts w:ascii="Arial" w:cs="Arial" w:eastAsia="Arial" w:hAnsi="Arial"/>
          <w:sz w:val="19"/>
          <w:szCs w:val="19"/>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57" w:lineRule="exact"/>
        <w:rPr>
          <w:rFonts w:ascii="Arial" w:cs="Arial" w:eastAsia="Arial" w:hAnsi="Arial"/>
          <w:sz w:val="19"/>
          <w:szCs w:val="19"/>
          <w:color w:val="auto"/>
        </w:rPr>
      </w:pPr>
    </w:p>
    <w:p>
      <w:pPr>
        <w:jc w:val="both"/>
        <w:ind w:firstLine="809"/>
        <w:spacing w:after="0" w:line="246" w:lineRule="auto"/>
        <w:tabs>
          <w:tab w:leader="none" w:pos="1705" w:val="left"/>
        </w:tabs>
        <w:numPr>
          <w:ilvl w:val="1"/>
          <w:numId w:val="146"/>
        </w:numPr>
        <w:rPr>
          <w:rFonts w:ascii="Arial" w:cs="Arial" w:eastAsia="Arial" w:hAnsi="Arial"/>
          <w:sz w:val="21"/>
          <w:szCs w:val="21"/>
          <w:color w:val="auto"/>
        </w:rPr>
      </w:pPr>
      <w:r>
        <w:rPr>
          <w:rFonts w:ascii="Arial" w:cs="Arial" w:eastAsia="Arial" w:hAnsi="Arial"/>
          <w:sz w:val="21"/>
          <w:szCs w:val="21"/>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79" w:lineRule="exact"/>
        <w:rPr>
          <w:rFonts w:ascii="Arial" w:cs="Arial" w:eastAsia="Arial" w:hAnsi="Arial"/>
          <w:sz w:val="21"/>
          <w:szCs w:val="21"/>
          <w:color w:val="auto"/>
        </w:rPr>
      </w:pPr>
    </w:p>
    <w:p>
      <w:pPr>
        <w:jc w:val="both"/>
        <w:ind w:firstLine="809"/>
        <w:spacing w:after="0"/>
        <w:tabs>
          <w:tab w:leader="none" w:pos="1693"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15</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156845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80"/>
          </w:cols>
          <w:pgMar w:left="1080" w:top="334" w:right="339" w:bottom="1440" w:gutter="0" w:footer="0" w:header="0"/>
        </w:sectPr>
      </w:pPr>
    </w:p>
    <w:bookmarkStart w:id="77" w:name="page78"/>
    <w:bookmarkEnd w:id="77"/>
    <w:p>
      <w:pPr>
        <w:jc w:val="both"/>
        <w:ind w:firstLine="809"/>
        <w:spacing w:after="0" w:line="246" w:lineRule="auto"/>
        <w:tabs>
          <w:tab w:leader="none" w:pos="1705" w:val="left"/>
        </w:tabs>
        <w:numPr>
          <w:ilvl w:val="1"/>
          <w:numId w:val="147"/>
        </w:numPr>
        <w:rPr>
          <w:rFonts w:ascii="Arial" w:cs="Arial" w:eastAsia="Arial" w:hAnsi="Arial"/>
          <w:sz w:val="21"/>
          <w:szCs w:val="21"/>
          <w:color w:val="auto"/>
        </w:rPr>
      </w:pPr>
      <w:r>
        <w:rPr>
          <w:rFonts w:ascii="Arial" w:cs="Arial" w:eastAsia="Arial" w:hAnsi="Arial"/>
          <w:sz w:val="21"/>
          <w:szCs w:val="21"/>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84" w:lineRule="exact"/>
        <w:rPr>
          <w:rFonts w:ascii="Arial" w:cs="Arial" w:eastAsia="Arial" w:hAnsi="Arial"/>
          <w:sz w:val="21"/>
          <w:szCs w:val="21"/>
          <w:color w:val="auto"/>
        </w:rPr>
      </w:pPr>
    </w:p>
    <w:p>
      <w:pPr>
        <w:jc w:val="both"/>
        <w:ind w:firstLine="809"/>
        <w:spacing w:after="0" w:line="279" w:lineRule="auto"/>
        <w:tabs>
          <w:tab w:leader="none" w:pos="1693" w:val="left"/>
        </w:tabs>
        <w:numPr>
          <w:ilvl w:val="1"/>
          <w:numId w:val="147"/>
        </w:numPr>
        <w:rPr>
          <w:rFonts w:ascii="Arial" w:cs="Arial" w:eastAsia="Arial" w:hAnsi="Arial"/>
          <w:sz w:val="19"/>
          <w:szCs w:val="19"/>
          <w:color w:val="auto"/>
        </w:rPr>
      </w:pPr>
      <w:r>
        <w:rPr>
          <w:rFonts w:ascii="Arial" w:cs="Arial" w:eastAsia="Arial" w:hAnsi="Arial"/>
          <w:sz w:val="19"/>
          <w:szCs w:val="19"/>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50" w:lineRule="exact"/>
        <w:rPr>
          <w:rFonts w:ascii="Arial" w:cs="Arial" w:eastAsia="Arial" w:hAnsi="Arial"/>
          <w:sz w:val="19"/>
          <w:szCs w:val="19"/>
          <w:color w:val="auto"/>
        </w:rPr>
      </w:pPr>
    </w:p>
    <w:p>
      <w:pPr>
        <w:ind w:left="1120" w:hanging="801"/>
        <w:spacing w:after="0"/>
        <w:tabs>
          <w:tab w:leader="none" w:pos="112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Assignment of Intellectual Property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09"/>
        <w:spacing w:after="0" w:line="275" w:lineRule="auto"/>
        <w:tabs>
          <w:tab w:leader="none" w:pos="1693" w:val="left"/>
        </w:tabs>
        <w:numPr>
          <w:ilvl w:val="1"/>
          <w:numId w:val="148"/>
        </w:numPr>
        <w:rPr>
          <w:rFonts w:ascii="Arial" w:cs="Arial" w:eastAsia="Arial" w:hAnsi="Arial"/>
          <w:sz w:val="19"/>
          <w:szCs w:val="19"/>
          <w:color w:val="auto"/>
        </w:rPr>
      </w:pPr>
      <w:r>
        <w:rPr>
          <w:rFonts w:ascii="Arial" w:cs="Arial" w:eastAsia="Arial" w:hAnsi="Arial"/>
          <w:sz w:val="19"/>
          <w:szCs w:val="19"/>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57" w:lineRule="exact"/>
        <w:rPr>
          <w:rFonts w:ascii="Arial" w:cs="Arial" w:eastAsia="Arial" w:hAnsi="Arial"/>
          <w:sz w:val="19"/>
          <w:szCs w:val="19"/>
          <w:color w:val="auto"/>
        </w:rPr>
      </w:pPr>
    </w:p>
    <w:p>
      <w:pPr>
        <w:jc w:val="both"/>
        <w:ind w:firstLine="809"/>
        <w:spacing w:after="0" w:line="234" w:lineRule="auto"/>
        <w:tabs>
          <w:tab w:leader="none" w:pos="1705" w:val="left"/>
        </w:tabs>
        <w:numPr>
          <w:ilvl w:val="1"/>
          <w:numId w:val="148"/>
        </w:numPr>
        <w:rPr>
          <w:rFonts w:ascii="Arial" w:cs="Arial" w:eastAsia="Arial" w:hAnsi="Arial"/>
          <w:sz w:val="22"/>
          <w:szCs w:val="22"/>
          <w:color w:val="auto"/>
        </w:rPr>
      </w:pPr>
      <w:r>
        <w:rPr>
          <w:rFonts w:ascii="Arial" w:cs="Arial" w:eastAsia="Arial" w:hAnsi="Arial"/>
          <w:sz w:val="22"/>
          <w:szCs w:val="22"/>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90" w:lineRule="exact"/>
        <w:rPr>
          <w:rFonts w:ascii="Arial" w:cs="Arial" w:eastAsia="Arial" w:hAnsi="Arial"/>
          <w:sz w:val="22"/>
          <w:szCs w:val="22"/>
          <w:color w:val="auto"/>
        </w:rPr>
      </w:pPr>
    </w:p>
    <w:p>
      <w:pPr>
        <w:jc w:val="both"/>
        <w:ind w:firstLine="809"/>
        <w:spacing w:after="0" w:line="257" w:lineRule="auto"/>
        <w:tabs>
          <w:tab w:leader="none" w:pos="1693" w:val="left"/>
        </w:tabs>
        <w:numPr>
          <w:ilvl w:val="1"/>
          <w:numId w:val="148"/>
        </w:numPr>
        <w:rPr>
          <w:rFonts w:ascii="Arial" w:cs="Arial" w:eastAsia="Arial" w:hAnsi="Arial"/>
          <w:sz w:val="21"/>
          <w:szCs w:val="21"/>
          <w:color w:val="auto"/>
        </w:rPr>
      </w:pPr>
      <w:r>
        <w:rPr>
          <w:rFonts w:ascii="Arial" w:cs="Arial" w:eastAsia="Arial" w:hAnsi="Arial"/>
          <w:sz w:val="21"/>
          <w:szCs w:val="21"/>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69" w:lineRule="exact"/>
        <w:rPr>
          <w:rFonts w:ascii="Arial" w:cs="Arial" w:eastAsia="Arial" w:hAnsi="Arial"/>
          <w:sz w:val="21"/>
          <w:szCs w:val="21"/>
          <w:color w:val="auto"/>
        </w:rPr>
      </w:pPr>
    </w:p>
    <w:p>
      <w:pPr>
        <w:ind w:firstLine="809"/>
        <w:spacing w:after="0" w:line="250" w:lineRule="auto"/>
        <w:tabs>
          <w:tab w:leader="none" w:pos="1705" w:val="left"/>
        </w:tabs>
        <w:numPr>
          <w:ilvl w:val="1"/>
          <w:numId w:val="148"/>
        </w:numPr>
        <w:rPr>
          <w:rFonts w:ascii="Arial" w:cs="Arial" w:eastAsia="Arial" w:hAnsi="Arial"/>
          <w:sz w:val="22"/>
          <w:szCs w:val="22"/>
          <w:color w:val="auto"/>
        </w:rPr>
      </w:pPr>
      <w:r>
        <w:rPr>
          <w:rFonts w:ascii="Arial" w:cs="Arial" w:eastAsia="Arial" w:hAnsi="Arial"/>
          <w:sz w:val="22"/>
          <w:szCs w:val="22"/>
          <w:color w:val="auto"/>
        </w:rPr>
        <w:t>No waiver of the automatic assignment provision of any Company Intellectual Property relating to the business of the Company or arising out of Employee’s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16</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156845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80"/>
          </w:cols>
          <w:pgMar w:left="1080" w:top="334" w:right="339" w:bottom="1440" w:gutter="0" w:footer="0" w:header="0"/>
        </w:sectPr>
      </w:pPr>
    </w:p>
    <w:bookmarkStart w:id="78" w:name="page79"/>
    <w:bookmarkEnd w:id="78"/>
    <w:p>
      <w:pPr>
        <w:jc w:val="both"/>
        <w:spacing w:after="0" w:line="282" w:lineRule="auto"/>
        <w:rPr>
          <w:sz w:val="20"/>
          <w:szCs w:val="20"/>
          <w:color w:val="auto"/>
        </w:rPr>
      </w:pPr>
      <w:r>
        <w:rPr>
          <w:rFonts w:ascii="Arial" w:cs="Arial" w:eastAsia="Arial" w:hAnsi="Arial"/>
          <w:sz w:val="19"/>
          <w:szCs w:val="19"/>
          <w:color w:val="auto"/>
        </w:rPr>
        <w:t>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II, or obtained through fraud, negligence, failure to disclose, or incorrect, incomplete, or defective information on an IP Disclosure Form.</w:t>
      </w:r>
    </w:p>
    <w:p>
      <w:pPr>
        <w:spacing w:after="0" w:line="147" w:lineRule="exact"/>
        <w:rPr>
          <w:sz w:val="20"/>
          <w:szCs w:val="20"/>
          <w:color w:val="auto"/>
        </w:rPr>
      </w:pPr>
    </w:p>
    <w:p>
      <w:pPr>
        <w:ind w:left="1120" w:hanging="809"/>
        <w:spacing w:after="0"/>
        <w:tabs>
          <w:tab w:leader="none" w:pos="1120"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09"/>
        <w:spacing w:after="0"/>
        <w:tabs>
          <w:tab w:leader="none" w:pos="1693" w:val="left"/>
        </w:tabs>
        <w:numPr>
          <w:ilvl w:val="1"/>
          <w:numId w:val="149"/>
        </w:numPr>
        <w:rPr>
          <w:rFonts w:ascii="Arial" w:cs="Arial" w:eastAsia="Arial" w:hAnsi="Arial"/>
          <w:sz w:val="22"/>
          <w:szCs w:val="22"/>
          <w:color w:val="auto"/>
        </w:rPr>
      </w:pPr>
      <w:r>
        <w:rPr>
          <w:rFonts w:ascii="Arial" w:cs="Arial" w:eastAsia="Arial" w:hAnsi="Arial"/>
          <w:sz w:val="22"/>
          <w:szCs w:val="22"/>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86" w:lineRule="exact"/>
        <w:rPr>
          <w:rFonts w:ascii="Arial" w:cs="Arial" w:eastAsia="Arial" w:hAnsi="Arial"/>
          <w:sz w:val="22"/>
          <w:szCs w:val="22"/>
          <w:color w:val="auto"/>
        </w:rPr>
      </w:pPr>
    </w:p>
    <w:p>
      <w:pPr>
        <w:jc w:val="both"/>
        <w:ind w:firstLine="809"/>
        <w:spacing w:after="0" w:line="272" w:lineRule="auto"/>
        <w:tabs>
          <w:tab w:leader="none" w:pos="1705" w:val="left"/>
        </w:tabs>
        <w:numPr>
          <w:ilvl w:val="1"/>
          <w:numId w:val="149"/>
        </w:numPr>
        <w:rPr>
          <w:rFonts w:ascii="Arial" w:cs="Arial" w:eastAsia="Arial" w:hAnsi="Arial"/>
          <w:sz w:val="19"/>
          <w:szCs w:val="19"/>
          <w:color w:val="auto"/>
        </w:rPr>
      </w:pPr>
      <w:r>
        <w:rPr>
          <w:rFonts w:ascii="Arial" w:cs="Arial" w:eastAsia="Arial" w:hAnsi="Arial"/>
          <w:sz w:val="19"/>
          <w:szCs w:val="19"/>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17</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156845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80"/>
          </w:cols>
          <w:pgMar w:left="1080" w:top="334" w:right="339" w:bottom="1440" w:gutter="0" w:footer="0" w:header="0"/>
        </w:sectPr>
      </w:pPr>
    </w:p>
    <w:bookmarkStart w:id="79" w:name="page80"/>
    <w:bookmarkEnd w:id="79"/>
    <w:p>
      <w:pPr>
        <w:jc w:val="both"/>
        <w:ind w:firstLine="809"/>
        <w:spacing w:after="0" w:line="272" w:lineRule="auto"/>
        <w:tabs>
          <w:tab w:leader="none" w:pos="1693"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60" w:lineRule="exact"/>
        <w:rPr>
          <w:rFonts w:ascii="Arial" w:cs="Arial" w:eastAsia="Arial" w:hAnsi="Arial"/>
          <w:sz w:val="19"/>
          <w:szCs w:val="19"/>
          <w:color w:val="auto"/>
        </w:rPr>
      </w:pPr>
    </w:p>
    <w:p>
      <w:pPr>
        <w:ind w:left="1120" w:hanging="809"/>
        <w:spacing w:after="0"/>
        <w:tabs>
          <w:tab w:leader="none" w:pos="112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09"/>
        <w:spacing w:after="0" w:line="245" w:lineRule="auto"/>
        <w:tabs>
          <w:tab w:leader="none" w:pos="1693" w:val="left"/>
        </w:tabs>
        <w:numPr>
          <w:ilvl w:val="1"/>
          <w:numId w:val="151"/>
        </w:numPr>
        <w:rPr>
          <w:rFonts w:ascii="Arial" w:cs="Arial" w:eastAsia="Arial" w:hAnsi="Arial"/>
          <w:sz w:val="21"/>
          <w:szCs w:val="21"/>
          <w:color w:val="auto"/>
        </w:rPr>
      </w:pPr>
      <w:r>
        <w:rPr>
          <w:rFonts w:ascii="Arial" w:cs="Arial" w:eastAsia="Arial" w:hAnsi="Arial"/>
          <w:sz w:val="21"/>
          <w:szCs w:val="21"/>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84" w:lineRule="exact"/>
        <w:rPr>
          <w:rFonts w:ascii="Arial" w:cs="Arial" w:eastAsia="Arial" w:hAnsi="Arial"/>
          <w:sz w:val="21"/>
          <w:szCs w:val="21"/>
          <w:color w:val="auto"/>
        </w:rPr>
      </w:pPr>
    </w:p>
    <w:p>
      <w:pPr>
        <w:jc w:val="both"/>
        <w:ind w:firstLine="809"/>
        <w:spacing w:after="0" w:line="275" w:lineRule="auto"/>
        <w:tabs>
          <w:tab w:leader="none" w:pos="1705" w:val="left"/>
        </w:tabs>
        <w:numPr>
          <w:ilvl w:val="1"/>
          <w:numId w:val="151"/>
        </w:numPr>
        <w:rPr>
          <w:rFonts w:ascii="Arial" w:cs="Arial" w:eastAsia="Arial" w:hAnsi="Arial"/>
          <w:sz w:val="19"/>
          <w:szCs w:val="19"/>
          <w:color w:val="auto"/>
        </w:rPr>
      </w:pPr>
      <w:r>
        <w:rPr>
          <w:rFonts w:ascii="Arial" w:cs="Arial" w:eastAsia="Arial" w:hAnsi="Arial"/>
          <w:sz w:val="19"/>
          <w:szCs w:val="19"/>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57" w:lineRule="exact"/>
        <w:rPr>
          <w:rFonts w:ascii="Arial" w:cs="Arial" w:eastAsia="Arial" w:hAnsi="Arial"/>
          <w:sz w:val="19"/>
          <w:szCs w:val="19"/>
          <w:color w:val="auto"/>
        </w:rPr>
      </w:pPr>
    </w:p>
    <w:p>
      <w:pPr>
        <w:ind w:left="1120" w:hanging="809"/>
        <w:spacing w:after="0"/>
        <w:tabs>
          <w:tab w:leader="none" w:pos="112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Remedies for Employee’s Breach</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809"/>
        <w:spacing w:after="0" w:line="250" w:lineRule="auto"/>
        <w:tabs>
          <w:tab w:leader="none" w:pos="1693" w:val="left"/>
        </w:tabs>
        <w:numPr>
          <w:ilvl w:val="1"/>
          <w:numId w:val="151"/>
        </w:numPr>
        <w:rPr>
          <w:rFonts w:ascii="Arial" w:cs="Arial" w:eastAsia="Arial" w:hAnsi="Arial"/>
          <w:sz w:val="22"/>
          <w:szCs w:val="22"/>
          <w:color w:val="auto"/>
        </w:rPr>
      </w:pPr>
      <w:r>
        <w:rPr>
          <w:rFonts w:ascii="Arial" w:cs="Arial" w:eastAsia="Arial" w:hAnsi="Arial"/>
          <w:sz w:val="22"/>
          <w:szCs w:val="22"/>
          <w:color w:val="auto"/>
        </w:rPr>
        <w:t>Employee acknowledges that the Company has agreed to provide Employee with Company Confidential Information during Employee's employment with the Company</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18</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156845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80"/>
          </w:cols>
          <w:pgMar w:left="1080" w:top="334" w:right="339" w:bottom="1440" w:gutter="0" w:footer="0" w:header="0"/>
        </w:sectPr>
      </w:pPr>
    </w:p>
    <w:bookmarkStart w:id="80" w:name="page81"/>
    <w:bookmarkEnd w:id="80"/>
    <w:p>
      <w:pPr>
        <w:jc w:val="both"/>
        <w:ind w:left="540"/>
        <w:spacing w:after="0" w:line="274" w:lineRule="auto"/>
        <w:rPr>
          <w:sz w:val="20"/>
          <w:szCs w:val="20"/>
          <w:color w:val="auto"/>
        </w:rPr>
      </w:pPr>
      <w:r>
        <w:rPr>
          <w:rFonts w:ascii="Arial" w:cs="Arial" w:eastAsia="Arial" w:hAnsi="Arial"/>
          <w:sz w:val="19"/>
          <w:szCs w:val="19"/>
          <w:color w:val="auto"/>
        </w:rPr>
        <w:t xml:space="preserve">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Arial" w:cs="Arial" w:eastAsia="Arial" w:hAnsi="Arial"/>
          <w:sz w:val="19"/>
          <w:szCs w:val="19"/>
          <w:b w:val="1"/>
          <w:bCs w:val="1"/>
          <w:color w:val="auto"/>
        </w:rPr>
        <w:t>(i) recover from Employee the value of any portion of the Award that has been paid or</w:t>
      </w:r>
      <w:r>
        <w:rPr>
          <w:rFonts w:ascii="Arial" w:cs="Arial" w:eastAsia="Arial" w:hAnsi="Arial"/>
          <w:sz w:val="19"/>
          <w:szCs w:val="19"/>
          <w:color w:val="auto"/>
        </w:rPr>
        <w:t xml:space="preserve"> </w:t>
      </w:r>
      <w:r>
        <w:rPr>
          <w:rFonts w:ascii="Arial" w:cs="Arial" w:eastAsia="Arial" w:hAnsi="Arial"/>
          <w:sz w:val="19"/>
          <w:szCs w:val="19"/>
          <w:b w:val="1"/>
          <w:bCs w:val="1"/>
          <w:color w:val="auto"/>
        </w:rPr>
        <w:t>delivered; (ii) seek injunctive relief against Employee pursuant to the provisions of 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58" w:lineRule="exact"/>
        <w:rPr>
          <w:sz w:val="20"/>
          <w:szCs w:val="20"/>
          <w:color w:val="auto"/>
        </w:rPr>
      </w:pPr>
    </w:p>
    <w:p>
      <w:pPr>
        <w:jc w:val="both"/>
        <w:ind w:left="540" w:firstLine="809"/>
        <w:spacing w:after="0" w:line="234" w:lineRule="auto"/>
        <w:tabs>
          <w:tab w:leader="none" w:pos="2245" w:val="left"/>
        </w:tabs>
        <w:numPr>
          <w:ilvl w:val="1"/>
          <w:numId w:val="152"/>
        </w:numPr>
        <w:rPr>
          <w:rFonts w:ascii="Arial" w:cs="Arial" w:eastAsia="Arial" w:hAnsi="Arial"/>
          <w:sz w:val="22"/>
          <w:szCs w:val="22"/>
          <w:color w:val="auto"/>
        </w:rPr>
      </w:pPr>
      <w:r>
        <w:rPr>
          <w:rFonts w:ascii="Arial" w:cs="Arial" w:eastAsia="Arial" w:hAnsi="Arial"/>
          <w:sz w:val="22"/>
          <w:szCs w:val="22"/>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90" w:lineRule="exact"/>
        <w:rPr>
          <w:rFonts w:ascii="Arial" w:cs="Arial" w:eastAsia="Arial" w:hAnsi="Arial"/>
          <w:sz w:val="22"/>
          <w:szCs w:val="22"/>
          <w:color w:val="auto"/>
        </w:rPr>
      </w:pPr>
    </w:p>
    <w:p>
      <w:pPr>
        <w:jc w:val="both"/>
        <w:ind w:left="540" w:firstLine="809"/>
        <w:spacing w:after="0" w:line="252" w:lineRule="auto"/>
        <w:tabs>
          <w:tab w:leader="none" w:pos="2233" w:val="left"/>
        </w:tabs>
        <w:numPr>
          <w:ilvl w:val="1"/>
          <w:numId w:val="152"/>
        </w:numPr>
        <w:rPr>
          <w:rFonts w:ascii="Arial" w:cs="Arial" w:eastAsia="Arial" w:hAnsi="Arial"/>
          <w:sz w:val="21"/>
          <w:szCs w:val="21"/>
          <w:color w:val="auto"/>
        </w:rPr>
      </w:pPr>
      <w:r>
        <w:rPr>
          <w:rFonts w:ascii="Arial" w:cs="Arial" w:eastAsia="Arial" w:hAnsi="Arial"/>
          <w:sz w:val="21"/>
          <w:szCs w:val="21"/>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73" w:lineRule="exact"/>
        <w:rPr>
          <w:rFonts w:ascii="Arial" w:cs="Arial" w:eastAsia="Arial" w:hAnsi="Arial"/>
          <w:sz w:val="21"/>
          <w:szCs w:val="21"/>
          <w:color w:val="auto"/>
        </w:rPr>
      </w:pPr>
    </w:p>
    <w:p>
      <w:pPr>
        <w:ind w:left="540" w:firstLine="809"/>
        <w:spacing w:after="0" w:line="250" w:lineRule="auto"/>
        <w:tabs>
          <w:tab w:leader="none" w:pos="2245" w:val="left"/>
        </w:tabs>
        <w:numPr>
          <w:ilvl w:val="1"/>
          <w:numId w:val="152"/>
        </w:numPr>
        <w:rPr>
          <w:rFonts w:ascii="Arial" w:cs="Arial" w:eastAsia="Arial" w:hAnsi="Arial"/>
          <w:sz w:val="22"/>
          <w:szCs w:val="22"/>
          <w:color w:val="auto"/>
        </w:rPr>
      </w:pPr>
      <w:r>
        <w:rPr>
          <w:rFonts w:ascii="Arial" w:cs="Arial" w:eastAsia="Arial" w:hAnsi="Arial"/>
          <w:sz w:val="22"/>
          <w:szCs w:val="22"/>
          <w:color w:val="auto"/>
        </w:rPr>
        <w:t>Employee acknowledges that the remedies contained in the Attachment II for violation of this Attachment II are not the exclusive remedies that the Company or an Affiliate may pursue.</w:t>
      </w:r>
    </w:p>
    <w:p>
      <w:pPr>
        <w:spacing w:after="0" w:line="174" w:lineRule="exact"/>
        <w:rPr>
          <w:rFonts w:ascii="Arial" w:cs="Arial" w:eastAsia="Arial" w:hAnsi="Arial"/>
          <w:sz w:val="22"/>
          <w:szCs w:val="22"/>
          <w:color w:val="auto"/>
        </w:rPr>
      </w:pPr>
    </w:p>
    <w:p>
      <w:pPr>
        <w:jc w:val="both"/>
        <w:ind w:firstLine="851"/>
        <w:spacing w:after="0"/>
        <w:tabs>
          <w:tab w:leader="none" w:pos="1657"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186" w:lineRule="exact"/>
        <w:rPr>
          <w:rFonts w:ascii="Arial" w:cs="Arial" w:eastAsia="Arial" w:hAnsi="Arial"/>
          <w:sz w:val="22"/>
          <w:szCs w:val="22"/>
          <w:color w:val="auto"/>
        </w:rPr>
      </w:pPr>
    </w:p>
    <w:p>
      <w:pPr>
        <w:ind w:left="1760" w:hanging="909"/>
        <w:spacing w:after="0"/>
        <w:tabs>
          <w:tab w:leader="none" w:pos="1760"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540" w:firstLine="809"/>
        <w:spacing w:after="0" w:line="287" w:lineRule="auto"/>
        <w:tabs>
          <w:tab w:leader="none" w:pos="2233" w:val="left"/>
        </w:tabs>
        <w:numPr>
          <w:ilvl w:val="1"/>
          <w:numId w:val="153"/>
        </w:numPr>
        <w:rPr>
          <w:rFonts w:ascii="Arial" w:cs="Arial" w:eastAsia="Arial" w:hAnsi="Arial"/>
          <w:sz w:val="19"/>
          <w:szCs w:val="19"/>
          <w:color w:val="auto"/>
        </w:rPr>
      </w:pPr>
      <w:r>
        <w:rPr>
          <w:rFonts w:ascii="Arial" w:cs="Arial" w:eastAsia="Arial" w:hAnsi="Arial"/>
          <w:sz w:val="19"/>
          <w:szCs w:val="19"/>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142" w:lineRule="exact"/>
        <w:rPr>
          <w:rFonts w:ascii="Arial" w:cs="Arial" w:eastAsia="Arial" w:hAnsi="Arial"/>
          <w:sz w:val="19"/>
          <w:szCs w:val="19"/>
          <w:color w:val="auto"/>
        </w:rPr>
      </w:pPr>
    </w:p>
    <w:p>
      <w:pPr>
        <w:ind w:left="540" w:firstLine="809"/>
        <w:spacing w:after="0" w:line="250" w:lineRule="auto"/>
        <w:tabs>
          <w:tab w:leader="none" w:pos="2245" w:val="left"/>
        </w:tabs>
        <w:numPr>
          <w:ilvl w:val="1"/>
          <w:numId w:val="153"/>
        </w:numPr>
        <w:rPr>
          <w:rFonts w:ascii="Arial" w:cs="Arial" w:eastAsia="Arial" w:hAnsi="Arial"/>
          <w:sz w:val="22"/>
          <w:szCs w:val="22"/>
          <w:color w:val="auto"/>
        </w:rPr>
      </w:pPr>
      <w:r>
        <w:rPr>
          <w:rFonts w:ascii="Arial" w:cs="Arial" w:eastAsia="Arial" w:hAnsi="Arial"/>
          <w:sz w:val="22"/>
          <w:szCs w:val="22"/>
          <w:color w:val="auto"/>
        </w:rPr>
        <w:t>This Attachment II may be enforced by, will inure to the benefit of, and be binding upon the Company, its successors, and assigns. This Agreement will also inure to</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19</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156845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540" w:top="334" w:right="339" w:bottom="1440" w:gutter="0" w:footer="0" w:header="0"/>
        </w:sectPr>
      </w:pPr>
    </w:p>
    <w:bookmarkStart w:id="81" w:name="page82"/>
    <w:bookmarkEnd w:id="81"/>
    <w:p>
      <w:pPr>
        <w:spacing w:after="0" w:line="250" w:lineRule="auto"/>
        <w:rPr>
          <w:sz w:val="20"/>
          <w:szCs w:val="20"/>
          <w:color w:val="auto"/>
        </w:rPr>
      </w:pPr>
      <w:r>
        <w:rPr>
          <w:rFonts w:ascii="Arial" w:cs="Arial" w:eastAsia="Arial" w:hAnsi="Arial"/>
          <w:sz w:val="22"/>
          <w:szCs w:val="22"/>
          <w:color w:val="auto"/>
        </w:rPr>
        <w:t>the benefit of, and may be enforced by, the Company’s Affiliates. This Attachment II is binding upon Employee’s heirs and legal representatives.</w:t>
      </w:r>
    </w:p>
    <w:p>
      <w:pPr>
        <w:spacing w:after="0" w:line="175" w:lineRule="exact"/>
        <w:rPr>
          <w:sz w:val="20"/>
          <w:szCs w:val="20"/>
          <w:color w:val="auto"/>
        </w:rPr>
      </w:pPr>
    </w:p>
    <w:p>
      <w:pPr>
        <w:jc w:val="both"/>
        <w:ind w:firstLine="809"/>
        <w:spacing w:after="0"/>
        <w:tabs>
          <w:tab w:leader="none" w:pos="1693" w:val="left"/>
        </w:tabs>
        <w:numPr>
          <w:ilvl w:val="0"/>
          <w:numId w:val="154"/>
        </w:numPr>
        <w:rPr>
          <w:rFonts w:ascii="Arial" w:cs="Arial" w:eastAsia="Arial" w:hAnsi="Arial"/>
          <w:sz w:val="22"/>
          <w:szCs w:val="22"/>
          <w:color w:val="auto"/>
        </w:rPr>
      </w:pPr>
      <w:r>
        <w:rPr>
          <w:rFonts w:ascii="Arial" w:cs="Arial" w:eastAsia="Arial" w:hAnsi="Arial"/>
          <w:sz w:val="22"/>
          <w:szCs w:val="22"/>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86" w:lineRule="exact"/>
        <w:rPr>
          <w:rFonts w:ascii="Arial" w:cs="Arial" w:eastAsia="Arial" w:hAnsi="Arial"/>
          <w:sz w:val="22"/>
          <w:szCs w:val="22"/>
          <w:color w:val="auto"/>
        </w:rPr>
      </w:pPr>
    </w:p>
    <w:p>
      <w:pPr>
        <w:jc w:val="both"/>
        <w:ind w:firstLine="809"/>
        <w:spacing w:after="0" w:line="287" w:lineRule="auto"/>
        <w:tabs>
          <w:tab w:leader="none" w:pos="1705"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If Employee is employed by an Affiliate of the Company or by accepting a transfer to an Affiliate of the Company, Employee agrees to the automatic application of all of the terms 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42" w:lineRule="exact"/>
        <w:rPr>
          <w:rFonts w:ascii="Arial" w:cs="Arial" w:eastAsia="Arial" w:hAnsi="Arial"/>
          <w:sz w:val="19"/>
          <w:szCs w:val="19"/>
          <w:color w:val="auto"/>
        </w:rPr>
      </w:pPr>
    </w:p>
    <w:p>
      <w:pPr>
        <w:jc w:val="both"/>
        <w:ind w:firstLine="809"/>
        <w:spacing w:after="0" w:line="234" w:lineRule="auto"/>
        <w:tabs>
          <w:tab w:leader="none" w:pos="1693" w:val="left"/>
        </w:tabs>
        <w:numPr>
          <w:ilvl w:val="0"/>
          <w:numId w:val="154"/>
        </w:numPr>
        <w:rPr>
          <w:rFonts w:ascii="Arial" w:cs="Arial" w:eastAsia="Arial" w:hAnsi="Arial"/>
          <w:sz w:val="22"/>
          <w:szCs w:val="22"/>
          <w:color w:val="auto"/>
        </w:rPr>
      </w:pPr>
      <w:r>
        <w:rPr>
          <w:rFonts w:ascii="Arial" w:cs="Arial" w:eastAsia="Arial" w:hAnsi="Arial"/>
          <w:sz w:val="22"/>
          <w:szCs w:val="22"/>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86" w:lineRule="exact"/>
        <w:rPr>
          <w:rFonts w:ascii="Arial" w:cs="Arial" w:eastAsia="Arial" w:hAnsi="Arial"/>
          <w:sz w:val="22"/>
          <w:szCs w:val="22"/>
          <w:color w:val="auto"/>
        </w:rPr>
      </w:pPr>
    </w:p>
    <w:p>
      <w:pPr>
        <w:jc w:val="both"/>
        <w:ind w:firstLine="809"/>
        <w:spacing w:after="0" w:line="238" w:lineRule="auto"/>
        <w:tabs>
          <w:tab w:leader="none" w:pos="1669"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terms and conditions of this Attachment II supersede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8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20</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ectPr>
          <w:pgSz w:w="11900" w:h="16838" w:orient="portrait"/>
          <w:cols w:equalWidth="0" w:num="1">
            <w:col w:w="10480"/>
          </w:cols>
          <w:pgMar w:left="1080" w:top="33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u w:val="single" w:color="auto"/>
          <w:color w:val="auto"/>
        </w:rPr>
        <w:t>Exhibit 22</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u w:val="single" w:color="auto"/>
          <w:color w:val="auto"/>
        </w:rPr>
        <w:t>Issuers of Registered Guaranteed Debt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(i) SISA was the issuer of its 3.650% Senior Notes due 2023 and 2.650% Senior Notes due 2030 (together, the “SISA Notes”), and (ii) SFCL was the issuer of its 1.400% Senior Notes due 2025 (the “SFCL Notes”). The Guarantor fully and unconditionally guarantees the SISA Notes and the SFCL Notes on a senior unsecured basis.</w:t>
      </w:r>
    </w:p>
    <w:p>
      <w:pPr>
        <w:sectPr>
          <w:pgSz w:w="11900" w:h="16838" w:orient="portrait"/>
          <w:cols w:equalWidth="0" w:num="1">
            <w:col w:w="10380"/>
          </w:cols>
          <w:pgMar w:left="320" w:top="337" w:right="119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Olivier Le Peuch, certify that:</w:t>
      </w:r>
    </w:p>
    <w:p>
      <w:pPr>
        <w:spacing w:after="0" w:line="117" w:lineRule="exact"/>
        <w:rPr>
          <w:sz w:val="20"/>
          <w:szCs w:val="20"/>
          <w:color w:val="auto"/>
        </w:rPr>
      </w:pPr>
    </w:p>
    <w:p>
      <w:pPr>
        <w:ind w:left="560" w:hanging="178"/>
        <w:spacing w:after="0"/>
        <w:tabs>
          <w:tab w:leader="none" w:pos="5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498"/>
        <w:spacing w:after="0" w:line="342" w:lineRule="auto"/>
        <w:tabs>
          <w:tab w:leader="none" w:pos="11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498"/>
        <w:spacing w:after="0" w:line="263" w:lineRule="auto"/>
        <w:tabs>
          <w:tab w:leader="none" w:pos="11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498"/>
        <w:spacing w:after="0" w:line="308" w:lineRule="auto"/>
        <w:tabs>
          <w:tab w:leader="none" w:pos="11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498"/>
        <w:spacing w:after="0" w:line="277" w:lineRule="auto"/>
        <w:tabs>
          <w:tab w:leader="none" w:pos="11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Date: April 28, 2021</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674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67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53"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Stephane Biguet, certify that:</w:t>
      </w:r>
    </w:p>
    <w:p>
      <w:pPr>
        <w:spacing w:after="0" w:line="117" w:lineRule="exact"/>
        <w:rPr>
          <w:sz w:val="20"/>
          <w:szCs w:val="20"/>
          <w:color w:val="auto"/>
        </w:rPr>
      </w:pPr>
    </w:p>
    <w:p>
      <w:pPr>
        <w:ind w:left="560" w:hanging="178"/>
        <w:spacing w:after="0"/>
        <w:tabs>
          <w:tab w:leader="none" w:pos="5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498"/>
        <w:spacing w:after="0" w:line="342" w:lineRule="auto"/>
        <w:tabs>
          <w:tab w:leader="none" w:pos="110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498"/>
        <w:spacing w:after="0" w:line="263" w:lineRule="auto"/>
        <w:tabs>
          <w:tab w:leader="none" w:pos="11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498"/>
        <w:spacing w:after="0" w:line="308" w:lineRule="auto"/>
        <w:tabs>
          <w:tab w:leader="none" w:pos="110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498"/>
        <w:spacing w:after="0" w:line="277" w:lineRule="auto"/>
        <w:tabs>
          <w:tab w:leader="none" w:pos="11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April 28,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553"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March 31, 2021 as filed with the Securities and Exchange Commission on the date hereof (the “Report”), I, Olivier Le Peuch, Chief Executive Officer of the Company, certify, pursuant to 18 U.S.C. § 1350, as adopted pursuant to § 906 of the Sarbanes-Oxley Act of 2002, that:</w:t>
      </w:r>
    </w:p>
    <w:p>
      <w:pPr>
        <w:spacing w:after="0" w:line="57" w:lineRule="exact"/>
        <w:rPr>
          <w:sz w:val="20"/>
          <w:szCs w:val="20"/>
          <w:color w:val="auto"/>
        </w:rPr>
      </w:pPr>
    </w:p>
    <w:p>
      <w:pPr>
        <w:ind w:left="1000" w:hanging="493"/>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April 28,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53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2021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41" w:lineRule="exact"/>
        <w:rPr>
          <w:sz w:val="20"/>
          <w:szCs w:val="20"/>
          <w:color w:val="auto"/>
        </w:rPr>
      </w:pPr>
    </w:p>
    <w:p>
      <w:pPr>
        <w:ind w:left="1000" w:hanging="493"/>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April 28,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53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3"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5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indirect subsidiaries of Schlumberger. The disclosure is with respect to the three months ended March 31, 2021. Due to timing and other factors, the data may not agree with the mine data retrieval system maintained by the MSHA at www.MSHA.gov.</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March 31,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4"/>
              </w:rPr>
              <w:t>Received</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4"/>
              </w:rPr>
              <w:t>Received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3"/>
              </w:rPr>
              <w:t>Notice of</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Potential to</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8"/>
              </w:rPr>
              <w:t>Pattern of</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Have</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Total</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Violations</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Pattern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0"/>
              </w:rPr>
              <w:t>Total Dollar</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0"/>
              </w:rPr>
              <w:t>Number</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Under</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4"/>
              </w:rPr>
              <w:t>Under</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Pending as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9"/>
              </w:rPr>
              <w:t>Legal Actions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Arial" w:cs="Arial" w:eastAsia="Arial" w:hAnsi="Arial"/>
                <w:sz w:val="13"/>
                <w:szCs w:val="13"/>
                <w:color w:val="auto"/>
              </w:rPr>
              <w:t>Section</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104(d)</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80" w:type="dxa"/>
            <w:vAlign w:val="bottom"/>
          </w:tcPr>
          <w:p>
            <w:pPr>
              <w:ind w:left="160"/>
              <w:spacing w:after="0" w:line="135" w:lineRule="exact"/>
              <w:rPr>
                <w:sz w:val="20"/>
                <w:szCs w:val="20"/>
                <w:color w:val="auto"/>
              </w:rPr>
            </w:pPr>
            <w:r>
              <w:rPr>
                <w:rFonts w:ascii="Arial" w:cs="Arial" w:eastAsia="Arial" w:hAnsi="Arial"/>
                <w:sz w:val="13"/>
                <w:szCs w:val="13"/>
                <w:color w:val="auto"/>
              </w:rPr>
              <w:t>Section</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2"/>
              </w:rPr>
              <w:t>Value of MSHA</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4"/>
              </w:rPr>
              <w:t>of Mining</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of Last</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2"/>
              </w:rPr>
              <w:t>Initiated</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4"/>
              </w:rPr>
              <w:t>Resolved</w:t>
            </w:r>
          </w:p>
        </w:tc>
        <w:tc>
          <w:tcPr>
            <w:tcW w:w="0" w:type="dxa"/>
            <w:vAlign w:val="bottom"/>
          </w:tcPr>
          <w:p>
            <w:pPr>
              <w:spacing w:after="0"/>
              <w:rPr>
                <w:sz w:val="1"/>
                <w:szCs w:val="1"/>
                <w:color w:val="auto"/>
              </w:rPr>
            </w:pPr>
          </w:p>
        </w:tc>
      </w:tr>
      <w:tr>
        <w:trPr>
          <w:trHeight w:val="135"/>
        </w:trPr>
        <w:tc>
          <w:tcPr>
            <w:tcW w:w="1920" w:type="dxa"/>
            <w:vAlign w:val="bottom"/>
          </w:tcPr>
          <w:p>
            <w:pPr>
              <w:spacing w:after="0" w:line="135" w:lineRule="exact"/>
              <w:rPr>
                <w:sz w:val="20"/>
                <w:szCs w:val="20"/>
                <w:color w:val="auto"/>
              </w:rPr>
            </w:pPr>
            <w:r>
              <w:rPr>
                <w:rFonts w:ascii="Arial" w:cs="Arial" w:eastAsia="Arial" w:hAnsi="Arial"/>
                <w:sz w:val="13"/>
                <w:szCs w:val="13"/>
                <w:color w:val="auto"/>
              </w:rPr>
              <w:t>Mine or Operating Name/MSHA</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 104</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104(b)</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Citations</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9"/>
              </w:rPr>
              <w:t>110(b)(2)</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5"/>
              </w:rPr>
              <w:t>107(a)</w:t>
            </w:r>
          </w:p>
        </w:tc>
        <w:tc>
          <w:tcPr>
            <w:tcW w:w="10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2"/>
              </w:rPr>
              <w:t>Assessments</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4"/>
              </w:rPr>
              <w:t>Related</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5"/>
              </w:rPr>
              <w:t>104(e)</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104(e)</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Day</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0" w:type="dxa"/>
            <w:vAlign w:val="bottom"/>
          </w:tcPr>
          <w:p>
            <w:pPr>
              <w:spacing w:after="0"/>
              <w:rPr>
                <w:sz w:val="1"/>
                <w:szCs w:val="1"/>
                <w:color w:val="auto"/>
              </w:rPr>
            </w:pPr>
          </w:p>
        </w:tc>
      </w:tr>
      <w:tr>
        <w:trPr>
          <w:trHeight w:val="149"/>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Identification Number</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S&amp;S Citations</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Orders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and 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Violations</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Orders</w:t>
            </w:r>
          </w:p>
        </w:tc>
        <w:tc>
          <w:tcPr>
            <w:tcW w:w="104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color w:val="auto"/>
                <w:w w:val="85"/>
              </w:rPr>
              <w:t>Proposed (1)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Fatalities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of Period</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Period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Period</w:t>
            </w:r>
          </w:p>
        </w:tc>
        <w:tc>
          <w:tcPr>
            <w:tcW w:w="0" w:type="dxa"/>
            <w:vAlign w:val="bottom"/>
          </w:tcPr>
          <w:p>
            <w:pPr>
              <w:spacing w:after="0"/>
              <w:rPr>
                <w:sz w:val="1"/>
                <w:szCs w:val="1"/>
                <w:color w:val="auto"/>
              </w:rPr>
            </w:pPr>
          </w:p>
        </w:tc>
      </w:tr>
      <w:tr>
        <w:trPr>
          <w:trHeight w:val="275"/>
        </w:trPr>
        <w:tc>
          <w:tcPr>
            <w:tcW w:w="192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5"/>
        </w:trPr>
        <w:tc>
          <w:tcPr>
            <w:tcW w:w="1920" w:type="dxa"/>
            <w:vAlign w:val="bottom"/>
          </w:tcPr>
          <w:p>
            <w:pPr>
              <w:spacing w:after="0"/>
              <w:rPr>
                <w:sz w:val="20"/>
                <w:szCs w:val="20"/>
                <w:color w:val="auto"/>
              </w:rPr>
            </w:pPr>
            <w:r>
              <w:rPr>
                <w:rFonts w:ascii="Arial" w:cs="Arial" w:eastAsia="Arial" w:hAnsi="Arial"/>
                <w:sz w:val="13"/>
                <w:szCs w:val="13"/>
                <w:color w:val="auto"/>
              </w:rPr>
              <w:t>Battle Mountain Grinding</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Plant/2600828</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1920" w:type="dxa"/>
            <w:vAlign w:val="bottom"/>
          </w:tcPr>
          <w:p>
            <w:pPr>
              <w:spacing w:after="0"/>
              <w:rPr>
                <w:sz w:val="20"/>
                <w:szCs w:val="20"/>
                <w:color w:val="auto"/>
              </w:rPr>
            </w:pPr>
            <w:r>
              <w:rPr>
                <w:rFonts w:ascii="Arial" w:cs="Arial" w:eastAsia="Arial" w:hAnsi="Arial"/>
                <w:sz w:val="13"/>
                <w:szCs w:val="13"/>
                <w:color w:val="auto"/>
              </w:rPr>
              <w:t>Galveston GBT Barite Grinding</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Plant/4104675</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1920" w:type="dxa"/>
            <w:vAlign w:val="bottom"/>
          </w:tcPr>
          <w:p>
            <w:pPr>
              <w:spacing w:after="0"/>
              <w:rPr>
                <w:sz w:val="20"/>
                <w:szCs w:val="20"/>
                <w:color w:val="auto"/>
              </w:rPr>
            </w:pPr>
            <w:r>
              <w:rPr>
                <w:rFonts w:ascii="Arial" w:cs="Arial" w:eastAsia="Arial" w:hAnsi="Arial"/>
                <w:sz w:val="13"/>
                <w:szCs w:val="13"/>
                <w:color w:val="auto"/>
                <w:w w:val="93"/>
              </w:rPr>
              <w:t>Greybull Milling Operation/4800602</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5"/>
        </w:trPr>
        <w:tc>
          <w:tcPr>
            <w:tcW w:w="1920" w:type="dxa"/>
            <w:vAlign w:val="bottom"/>
          </w:tcPr>
          <w:p>
            <w:pPr>
              <w:spacing w:after="0"/>
              <w:rPr>
                <w:sz w:val="20"/>
                <w:szCs w:val="20"/>
                <w:color w:val="auto"/>
              </w:rPr>
            </w:pPr>
            <w:r>
              <w:rPr>
                <w:rFonts w:ascii="Arial" w:cs="Arial" w:eastAsia="Arial" w:hAnsi="Arial"/>
                <w:sz w:val="13"/>
                <w:szCs w:val="13"/>
                <w:color w:val="auto"/>
                <w:w w:val="92"/>
              </w:rPr>
              <w:t>Greybull Mining Operation/4800603</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8"/>
        </w:trPr>
        <w:tc>
          <w:tcPr>
            <w:tcW w:w="1920" w:type="dxa"/>
            <w:vAlign w:val="bottom"/>
          </w:tcPr>
          <w:p>
            <w:pPr>
              <w:spacing w:after="0"/>
              <w:rPr>
                <w:sz w:val="20"/>
                <w:szCs w:val="20"/>
                <w:color w:val="auto"/>
              </w:rPr>
            </w:pPr>
            <w:r>
              <w:rPr>
                <w:rFonts w:ascii="Arial" w:cs="Arial" w:eastAsia="Arial" w:hAnsi="Arial"/>
                <w:sz w:val="13"/>
                <w:szCs w:val="13"/>
                <w:color w:val="auto"/>
              </w:rPr>
              <w:t>Greystone Mine/2600411</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2"/>
              </w:rPr>
              <w:t>$125</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1920" w:type="dxa"/>
            <w:vAlign w:val="bottom"/>
          </w:tcPr>
          <w:p>
            <w:pPr>
              <w:spacing w:after="0"/>
              <w:rPr>
                <w:sz w:val="20"/>
                <w:szCs w:val="20"/>
                <w:color w:val="auto"/>
              </w:rPr>
            </w:pPr>
            <w:r>
              <w:rPr>
                <w:rFonts w:ascii="Arial" w:cs="Arial" w:eastAsia="Arial" w:hAnsi="Arial"/>
                <w:sz w:val="13"/>
                <w:szCs w:val="13"/>
                <w:color w:val="auto"/>
              </w:rPr>
              <w:t>Mountain Springs Beneficiation</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2"/>
              </w:rPr>
              <w:t>$125</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Plant/2601390</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20" w:type="dxa"/>
            <w:vAlign w:val="bottom"/>
          </w:tcPr>
          <w:p>
            <w:pPr>
              <w:spacing w:after="0"/>
              <w:rPr>
                <w:sz w:val="20"/>
                <w:szCs w:val="20"/>
                <w:color w:val="auto"/>
              </w:rPr>
            </w:pPr>
            <w:r>
              <w:rPr>
                <w:rFonts w:ascii="Arial" w:cs="Arial" w:eastAsia="Arial" w:hAnsi="Arial"/>
                <w:sz w:val="13"/>
                <w:szCs w:val="13"/>
                <w:color w:val="auto"/>
              </w:rPr>
              <w:t>Wisconsin Proppants Hixton</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2"/>
              </w:rPr>
              <w:t>$125</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Mine/4703742</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20" w:type="dxa"/>
            <w:vAlign w:val="bottom"/>
          </w:tcPr>
          <w:p>
            <w:pPr>
              <w:spacing w:after="0"/>
              <w:rPr>
                <w:sz w:val="20"/>
                <w:szCs w:val="20"/>
                <w:color w:val="auto"/>
              </w:rPr>
            </w:pPr>
            <w:r>
              <w:rPr>
                <w:rFonts w:ascii="Arial" w:cs="Arial" w:eastAsia="Arial" w:hAnsi="Arial"/>
                <w:sz w:val="13"/>
                <w:szCs w:val="13"/>
                <w:color w:val="auto"/>
              </w:rPr>
              <w:t>Wisconsin Proppants Alma</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Mine/4703823</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20" w:type="dxa"/>
            <w:vAlign w:val="bottom"/>
          </w:tcPr>
          <w:p>
            <w:pPr>
              <w:spacing w:after="0"/>
              <w:rPr>
                <w:sz w:val="20"/>
                <w:szCs w:val="20"/>
                <w:color w:val="auto"/>
              </w:rPr>
            </w:pPr>
            <w:r>
              <w:rPr>
                <w:rFonts w:ascii="Arial" w:cs="Arial" w:eastAsia="Arial" w:hAnsi="Arial"/>
                <w:sz w:val="13"/>
                <w:szCs w:val="13"/>
                <w:color w:val="auto"/>
              </w:rPr>
              <w:t>Wisconsin Proppants Monahans</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Mine/4105336</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20" w:type="dxa"/>
            <w:vAlign w:val="bottom"/>
          </w:tcPr>
          <w:p>
            <w:pPr>
              <w:spacing w:after="0"/>
              <w:rPr>
                <w:sz w:val="20"/>
                <w:szCs w:val="20"/>
                <w:color w:val="auto"/>
              </w:rPr>
            </w:pPr>
            <w:r>
              <w:rPr>
                <w:rFonts w:ascii="Arial" w:cs="Arial" w:eastAsia="Arial" w:hAnsi="Arial"/>
                <w:sz w:val="13"/>
                <w:szCs w:val="13"/>
                <w:color w:val="auto"/>
                <w:w w:val="99"/>
              </w:rPr>
              <w:t>Wisconsin Proppants High Roller</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Sand Mine/4105321</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380" w:right="160" w:hanging="372"/>
        <w:spacing w:after="0" w:line="262" w:lineRule="auto"/>
        <w:tabs>
          <w:tab w:leader="none" w:pos="380" w:val="left"/>
        </w:tabs>
        <w:numPr>
          <w:ilvl w:val="0"/>
          <w:numId w:val="159"/>
        </w:numPr>
        <w:rPr>
          <w:rFonts w:ascii="Arial" w:cs="Arial" w:eastAsia="Arial" w:hAnsi="Arial"/>
          <w:sz w:val="18"/>
          <w:szCs w:val="18"/>
          <w:color w:val="auto"/>
        </w:rPr>
      </w:pPr>
      <w:r>
        <w:rPr>
          <w:rFonts w:ascii="Arial" w:cs="Arial" w:eastAsia="Arial" w:hAnsi="Arial"/>
          <w:sz w:val="16"/>
          <w:szCs w:val="16"/>
          <w:color w:val="auto"/>
        </w:rPr>
        <w:t>Amounts included are the total dollar value of proposed assessments received from MSHA on or before March 31, 2021, regardless of whether the assessment has been challenged or appealed, for citations and orders occurring during the quarter ended March 31, 2021.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21" w:lineRule="exact"/>
        <w:rPr>
          <w:rFonts w:ascii="Arial" w:cs="Arial" w:eastAsia="Arial" w:hAnsi="Arial"/>
          <w:sz w:val="18"/>
          <w:szCs w:val="18"/>
          <w:color w:val="auto"/>
        </w:rPr>
      </w:pPr>
    </w:p>
    <w:p>
      <w:pPr>
        <w:ind w:left="380" w:hanging="372"/>
        <w:spacing w:after="0"/>
        <w:tabs>
          <w:tab w:leader="none" w:pos="3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As of March 31, 2021, MSHA had not yet proposed an assessment for three non-S&amp;S citations at Greybull Milling Operation/4800602.</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1)"/>
      <w:numFmt w:val="decimal"/>
      <w:start w:val="1"/>
    </w:lvl>
  </w:abstractNum>
  <w:abstractNum w:abstractNumId="3">
    <w:nsid w:val="6A5EE64"/>
    <w:multiLevelType w:val="hybridMultilevel"/>
    <w:lvl w:ilvl="0">
      <w:lvlJc w:val="left"/>
      <w:lvlText w:val="%1."/>
      <w:numFmt w:val="decimal"/>
      <w:start w:val="1"/>
    </w:lvl>
  </w:abstractNum>
  <w:abstractNum w:abstractNumId="4">
    <w:nsid w:val="14330624"/>
    <w:multiLevelType w:val="hybridMultilevel"/>
    <w:lvl w:ilvl="0">
      <w:lvlJc w:val="left"/>
      <w:lvlText w:val="%1."/>
      <w:numFmt w:val="decimal"/>
      <w:start w:val="2"/>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7">
    <w:nsid w:val="71EA1109"/>
    <w:multiLevelType w:val="hybridMultilevel"/>
    <w:lvl w:ilvl="0">
      <w:lvlJc w:val="left"/>
      <w:lvlText w:val="%1."/>
      <w:numFmt w:val="decimal"/>
      <w:start w:val="4"/>
    </w:lvl>
  </w:abstractNum>
  <w:abstractNum w:abstractNumId="8">
    <w:nsid w:val="100F59DC"/>
    <w:multiLevelType w:val="hybridMultilevel"/>
    <w:lvl w:ilvl="0">
      <w:lvlJc w:val="left"/>
      <w:lvlText w:val="%1."/>
      <w:numFmt w:val="decimal"/>
      <w:start w:val="6"/>
    </w:lvl>
  </w:abstractNum>
  <w:abstractNum w:abstractNumId="9">
    <w:nsid w:val="7FB7E0AA"/>
    <w:multiLevelType w:val="hybridMultilevel"/>
    <w:lvl w:ilvl="0">
      <w:lvlJc w:val="left"/>
      <w:lvlText w:val="%1."/>
      <w:numFmt w:val="decimal"/>
      <w:start w:val="7"/>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1."/>
      <w:numFmt w:val="decimal"/>
      <w:start w:val="8"/>
    </w:lvl>
  </w:abstractNum>
  <w:abstractNum w:abstractNumId="13">
    <w:nsid w:val="885E1B"/>
    <w:multiLevelType w:val="hybridMultilevel"/>
    <w:lvl w:ilvl="0">
      <w:lvlJc w:val="left"/>
      <w:lvlText w:val="%1."/>
      <w:numFmt w:val="decimal"/>
      <w:start w:val="9"/>
    </w:lvl>
  </w:abstractNum>
  <w:abstractNum w:abstractNumId="14">
    <w:nsid w:val="76272110"/>
    <w:multiLevelType w:val="hybridMultilevel"/>
    <w:lvl w:ilvl="0">
      <w:lvlJc w:val="left"/>
      <w:lvlText w:val="%1."/>
      <w:numFmt w:val="decimal"/>
      <w:start w:val="10"/>
    </w:lvl>
  </w:abstractNum>
  <w:abstractNum w:abstractNumId="15">
    <w:nsid w:val="4C04A8AF"/>
    <w:multiLevelType w:val="hybridMultilevel"/>
    <w:lvl w:ilvl="0">
      <w:lvlJc w:val="left"/>
      <w:lvlText w:val="%1."/>
      <w:numFmt w:val="decimal"/>
      <w:start w:val="11"/>
    </w:lvl>
  </w:abstractNum>
  <w:abstractNum w:abstractNumId="16">
    <w:nsid w:val="1716703B"/>
    <w:multiLevelType w:val="hybridMultilevel"/>
    <w:lvl w:ilvl="0">
      <w:lvlJc w:val="left"/>
      <w:lvlText w:val="(%1)"/>
      <w:numFmt w:val="decimal"/>
      <w:start w:val="1"/>
    </w:lvl>
  </w:abstractNum>
  <w:abstractNum w:abstractNumId="17">
    <w:nsid w:val="14E17E33"/>
    <w:multiLevelType w:val="hybridMultilevel"/>
    <w:lvl w:ilvl="0">
      <w:lvlJc w:val="left"/>
      <w:lvlText w:val="%1."/>
      <w:numFmt w:val="decimal"/>
      <w:start w:val="12"/>
    </w:lvl>
  </w:abstractNum>
  <w:abstractNum w:abstractNumId="18">
    <w:nsid w:val="3222E7CD"/>
    <w:multiLevelType w:val="hybridMultilevel"/>
    <w:lvl w:ilvl="0">
      <w:lvlJc w:val="left"/>
      <w:lvlText w:val="(%1)"/>
      <w:numFmt w:val="decimal"/>
      <w:start w:val="1"/>
    </w:lvl>
  </w:abstractNum>
  <w:abstractNum w:abstractNumId="19">
    <w:nsid w:val="74DE0EE3"/>
    <w:multiLevelType w:val="hybridMultilevel"/>
    <w:lvl w:ilvl="0">
      <w:lvlJc w:val="left"/>
      <w:lvlText w:val="(%1)"/>
      <w:numFmt w:val="decimal"/>
      <w:start w:val="1"/>
    </w:lvl>
  </w:abstractNum>
  <w:abstractNum w:abstractNumId="20">
    <w:nsid w:val="68EBC550"/>
    <w:multiLevelType w:val="hybridMultilevel"/>
    <w:lvl w:ilvl="0">
      <w:lvlJc w:val="left"/>
      <w:lvlText w:val="(%1)"/>
      <w:numFmt w:val="decimal"/>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1."/>
      <w:numFmt w:val="decimal"/>
      <w:start w:val="1"/>
    </w:lvl>
  </w:abstractNum>
  <w:abstractNum w:abstractNumId="30">
    <w:nsid w:val="7F01579B"/>
    <w:multiLevelType w:val="hybridMultilevel"/>
    <w:lvl w:ilvl="0">
      <w:lvlJc w:val="left"/>
      <w:lvlText w:val="(%1)"/>
      <w:numFmt w:val="lowerLetter"/>
      <w:start w:val="1"/>
    </w:lvl>
  </w:abstractNum>
  <w:abstractNum w:abstractNumId="31">
    <w:nsid w:val="49DA307D"/>
    <w:multiLevelType w:val="hybridMultilevel"/>
    <w:lvl w:ilvl="0">
      <w:lvlJc w:val="left"/>
      <w:lvlText w:val="(%1)"/>
      <w:numFmt w:val="lowerLetter"/>
      <w:start w:val="2"/>
    </w:lvl>
    <w:lvl w:ilvl="1">
      <w:lvlJc w:val="left"/>
      <w:lvlText w:val="(%2)"/>
      <w:numFmt w:val="lowerLetter"/>
      <w:start w:val="35"/>
    </w:lvl>
  </w:abstractNum>
  <w:abstractNum w:abstractNumId="32">
    <w:nsid w:val="7055A5F5"/>
    <w:multiLevelType w:val="hybridMultilevel"/>
    <w:lvl w:ilvl="0">
      <w:lvlJc w:val="left"/>
      <w:lvlText w:val="%1."/>
      <w:numFmt w:val="decimal"/>
      <w:start w:val="3"/>
    </w:lvl>
  </w:abstractNum>
  <w:abstractNum w:abstractNumId="33">
    <w:nsid w:val="5FB8370B"/>
    <w:multiLevelType w:val="hybridMultilevel"/>
    <w:lvl w:ilvl="0">
      <w:lvlJc w:val="left"/>
      <w:lvlText w:val="(%1)"/>
      <w:numFmt w:val="lowerLetter"/>
      <w:start w:val="1"/>
    </w:lvl>
  </w:abstractNum>
  <w:abstractNum w:abstractNumId="34">
    <w:nsid w:val="50801EE1"/>
    <w:multiLevelType w:val="hybridMultilevel"/>
    <w:lvl w:ilvl="0">
      <w:lvlJc w:val="left"/>
      <w:lvlText w:val="(%1)"/>
      <w:numFmt w:val="lowerLetter"/>
      <w:start w:val="2"/>
    </w:lvl>
  </w:abstractNum>
  <w:abstractNum w:abstractNumId="35">
    <w:nsid w:val="488AC1A"/>
    <w:multiLevelType w:val="hybridMultilevel"/>
    <w:lvl w:ilvl="0">
      <w:lvlJc w:val="left"/>
      <w:lvlText w:val="%1."/>
      <w:numFmt w:val="decimal"/>
      <w:start w:val="5"/>
    </w:lvl>
  </w:abstractNum>
  <w:abstractNum w:abstractNumId="36">
    <w:nsid w:val="5FB8011C"/>
    <w:multiLevelType w:val="hybridMultilevel"/>
    <w:lvl w:ilvl="0">
      <w:lvlJc w:val="left"/>
      <w:lvlText w:val="(%1)"/>
      <w:numFmt w:val="lowerLetter"/>
      <w:start w:val="1"/>
    </w:lvl>
  </w:abstractNum>
  <w:abstractNum w:abstractNumId="37">
    <w:nsid w:val="6AA78F7F"/>
    <w:multiLevelType w:val="hybridMultilevel"/>
    <w:lvl w:ilvl="0">
      <w:lvlJc w:val="left"/>
      <w:lvlText w:val="%1."/>
      <w:numFmt w:val="decimal"/>
      <w:start w:val="6"/>
    </w:lvl>
  </w:abstractNum>
  <w:abstractNum w:abstractNumId="38">
    <w:nsid w:val="7672BD23"/>
    <w:multiLevelType w:val="hybridMultilevel"/>
    <w:lvl w:ilvl="0">
      <w:lvlJc w:val="left"/>
      <w:lvlText w:val="(%1)"/>
      <w:numFmt w:val="lowerLetter"/>
      <w:start w:val="1"/>
    </w:lvl>
  </w:abstractNum>
  <w:abstractNum w:abstractNumId="39">
    <w:nsid w:val="6FC75AF8"/>
    <w:multiLevelType w:val="hybridMultilevel"/>
    <w:lvl w:ilvl="0">
      <w:lvlJc w:val="left"/>
      <w:lvlText w:val="(%1)"/>
      <w:numFmt w:val="lowerLetter"/>
      <w:start w:val="2"/>
    </w:lvl>
  </w:abstractNum>
  <w:abstractNum w:abstractNumId="40">
    <w:nsid w:val="6A5F7029"/>
    <w:multiLevelType w:val="hybridMultilevel"/>
    <w:lvl w:ilvl="0">
      <w:lvlJc w:val="left"/>
      <w:lvlText w:val="%1."/>
      <w:numFmt w:val="decimal"/>
      <w:start w:val="8"/>
    </w:lvl>
  </w:abstractNum>
  <w:abstractNum w:abstractNumId="41">
    <w:nsid w:val="7D5E18F8"/>
    <w:multiLevelType w:val="hybridMultilevel"/>
    <w:lvl w:ilvl="0">
      <w:lvlJc w:val="left"/>
      <w:lvlText w:val="%1."/>
      <w:numFmt w:val="decimal"/>
      <w:start w:val="10"/>
    </w:lvl>
  </w:abstractNum>
  <w:abstractNum w:abstractNumId="42">
    <w:nsid w:val="5F3534A4"/>
    <w:multiLevelType w:val="hybridMultilevel"/>
    <w:lvl w:ilvl="0">
      <w:lvlJc w:val="left"/>
      <w:lvlText w:val="(%1)"/>
      <w:numFmt w:val="lowerLetter"/>
      <w:start w:val="1"/>
    </w:lvl>
  </w:abstractNum>
  <w:abstractNum w:abstractNumId="43">
    <w:nsid w:val="73A1821B"/>
    <w:multiLevelType w:val="hybridMultilevel"/>
    <w:lvl w:ilvl="0">
      <w:lvlJc w:val="left"/>
      <w:lvlText w:val="%1."/>
      <w:numFmt w:val="decimal"/>
      <w:start w:val="12"/>
    </w:lvl>
  </w:abstractNum>
  <w:abstractNum w:abstractNumId="44">
    <w:nsid w:val="7DE67713"/>
    <w:multiLevelType w:val="hybridMultilevel"/>
    <w:lvl w:ilvl="0">
      <w:lvlJc w:val="left"/>
      <w:lvlText w:val="%1"/>
      <w:numFmt w:val="upperLetter"/>
      <w:start w:val="1"/>
    </w:lvl>
    <w:lvl w:ilvl="1">
      <w:lvlJc w:val="left"/>
      <w:lvlText w:val="(%2)"/>
      <w:numFmt w:val="lowerLetter"/>
      <w:start w:val="1"/>
    </w:lvl>
  </w:abstractNum>
  <w:abstractNum w:abstractNumId="45">
    <w:nsid w:val="555C55B5"/>
    <w:multiLevelType w:val="hybridMultilevel"/>
    <w:lvl w:ilvl="0">
      <w:lvlJc w:val="left"/>
      <w:lvlText w:val="(%1)"/>
      <w:numFmt w:val="lowerLetter"/>
      <w:start w:val="7"/>
    </w:lvl>
  </w:abstractNum>
  <w:abstractNum w:abstractNumId="46">
    <w:nsid w:val="3FA62ACA"/>
    <w:multiLevelType w:val="hybridMultilevel"/>
    <w:lvl w:ilvl="0">
      <w:lvlJc w:val="left"/>
      <w:lvlText w:val="(%1)"/>
      <w:numFmt w:val="lowerLetter"/>
      <w:start w:val="20"/>
    </w:lvl>
  </w:abstractNum>
  <w:abstractNum w:abstractNumId="47">
    <w:nsid w:val="14FCE74E"/>
    <w:multiLevelType w:val="hybridMultilevel"/>
    <w:lvl w:ilvl="0">
      <w:lvlJc w:val="left"/>
      <w:lvlText w:val="%1."/>
      <w:numFmt w:val="decimal"/>
      <w:start w:val="13"/>
    </w:lvl>
  </w:abstractNum>
  <w:abstractNum w:abstractNumId="48">
    <w:nsid w:val="6A3DD3E8"/>
    <w:multiLevelType w:val="hybridMultilevel"/>
    <w:lvl w:ilvl="0">
      <w:lvlJc w:val="left"/>
      <w:lvlText w:val="(%1)"/>
      <w:numFmt w:val="lowerLetter"/>
      <w:start w:val="1"/>
    </w:lvl>
  </w:abstractNum>
  <w:abstractNum w:abstractNumId="49">
    <w:nsid w:val="71C91298"/>
    <w:multiLevelType w:val="hybridMultilevel"/>
    <w:lvl w:ilvl="0">
      <w:lvlJc w:val="left"/>
      <w:lvlText w:val="(%1)"/>
      <w:numFmt w:val="lowerLetter"/>
      <w:start w:val="6"/>
    </w:lvl>
  </w:abstractNum>
  <w:abstractNum w:abstractNumId="50">
    <w:nsid w:val="9DAF632"/>
    <w:multiLevelType w:val="hybridMultilevel"/>
    <w:lvl w:ilvl="0">
      <w:lvlJc w:val="left"/>
      <w:lvlText w:val="%1."/>
      <w:numFmt w:val="decimal"/>
      <w:start w:val="14"/>
    </w:lvl>
  </w:abstractNum>
  <w:abstractNum w:abstractNumId="51">
    <w:nsid w:val="53299938"/>
    <w:multiLevelType w:val="hybridMultilevel"/>
    <w:lvl w:ilvl="0">
      <w:lvlJc w:val="left"/>
      <w:lvlText w:val="%1."/>
      <w:numFmt w:val="decimal"/>
      <w:start w:val="15"/>
    </w:lvl>
  </w:abstractNum>
  <w:abstractNum w:abstractNumId="52">
    <w:nsid w:val="1FBFE8E0"/>
    <w:multiLevelType w:val="hybridMultilevel"/>
    <w:lvl w:ilvl="0">
      <w:lvlJc w:val="left"/>
      <w:lvlText w:val="(%1)"/>
      <w:numFmt w:val="lowerLetter"/>
      <w:start w:val="1"/>
    </w:lvl>
  </w:abstractNum>
  <w:abstractNum w:abstractNumId="53">
    <w:nsid w:val="5092CA79"/>
    <w:multiLevelType w:val="hybridMultilevel"/>
    <w:lvl w:ilvl="0">
      <w:lvlJc w:val="left"/>
      <w:lvlText w:val="(%1)"/>
      <w:numFmt w:val="lowerRoman"/>
      <w:start w:val="2"/>
    </w:lvl>
  </w:abstractNum>
  <w:abstractNum w:abstractNumId="54">
    <w:nsid w:val="1D545C4D"/>
    <w:multiLevelType w:val="hybridMultilevel"/>
    <w:lvl w:ilvl="0">
      <w:lvlJc w:val="left"/>
      <w:lvlText w:val="%1."/>
      <w:numFmt w:val="decimal"/>
      <w:start w:val="1"/>
    </w:lvl>
  </w:abstractNum>
  <w:abstractNum w:abstractNumId="55">
    <w:nsid w:val="59ADEA3D"/>
    <w:multiLevelType w:val="hybridMultilevel"/>
    <w:lvl w:ilvl="0">
      <w:lvlJc w:val="left"/>
      <w:lvlText w:val="(%1)"/>
      <w:numFmt w:val="lowerLetter"/>
      <w:start w:val="1"/>
    </w:lvl>
  </w:abstractNum>
  <w:abstractNum w:abstractNumId="56">
    <w:nsid w:val="288F1A34"/>
    <w:multiLevelType w:val="hybridMultilevel"/>
    <w:lvl w:ilvl="0">
      <w:lvlJc w:val="left"/>
      <w:lvlText w:val="%1"/>
      <w:numFmt w:val="decimal"/>
      <w:start w:val="1"/>
    </w:lvl>
    <w:lvl w:ilvl="1">
      <w:lvlJc w:val="left"/>
      <w:lvlText w:val="(%2)"/>
      <w:numFmt w:val="lowerLetter"/>
      <w:start w:val="5"/>
    </w:lvl>
  </w:abstractNum>
  <w:abstractNum w:abstractNumId="57">
    <w:nsid w:val="2A155DBC"/>
    <w:multiLevelType w:val="hybridMultilevel"/>
    <w:lvl w:ilvl="0">
      <w:lvlJc w:val="left"/>
      <w:lvlText w:val="%1."/>
      <w:numFmt w:val="decimal"/>
      <w:start w:val="2"/>
    </w:lvl>
    <w:lvl w:ilvl="1">
      <w:lvlJc w:val="left"/>
      <w:lvlText w:val="%2"/>
      <w:numFmt w:val="lowerLetter"/>
      <w:start w:val="1"/>
    </w:lvl>
  </w:abstractNum>
  <w:abstractNum w:abstractNumId="58">
    <w:nsid w:val="1D9F6E5F"/>
    <w:multiLevelType w:val="hybridMultilevel"/>
    <w:lvl w:ilvl="0">
      <w:lvlJc w:val="left"/>
      <w:lvlText w:val="%1."/>
      <w:numFmt w:val="decimal"/>
      <w:start w:val="3"/>
    </w:lvl>
  </w:abstractNum>
  <w:abstractNum w:abstractNumId="59">
    <w:nsid w:val="97E1B4E"/>
    <w:multiLevelType w:val="hybridMultilevel"/>
    <w:lvl w:ilvl="0">
      <w:lvlJc w:val="left"/>
      <w:lvlText w:val="(%1)"/>
      <w:numFmt w:val="lowerLetter"/>
      <w:start w:val="1"/>
    </w:lvl>
  </w:abstractNum>
  <w:abstractNum w:abstractNumId="60">
    <w:nsid w:val="51088277"/>
    <w:multiLevelType w:val="hybridMultilevel"/>
    <w:lvl w:ilvl="0">
      <w:lvlJc w:val="left"/>
      <w:lvlText w:val="(%1)"/>
      <w:numFmt w:val="lowerLetter"/>
      <w:start w:val="5"/>
    </w:lvl>
  </w:abstractNum>
  <w:abstractNum w:abstractNumId="61">
    <w:nsid w:val="1CA0C5FA"/>
    <w:multiLevelType w:val="hybridMultilevel"/>
    <w:lvl w:ilvl="0">
      <w:lvlJc w:val="left"/>
      <w:lvlText w:val="%1."/>
      <w:numFmt w:val="decimal"/>
      <w:start w:val="4"/>
    </w:lvl>
  </w:abstractNum>
  <w:abstractNum w:abstractNumId="62">
    <w:nsid w:val="53584BCB"/>
    <w:multiLevelType w:val="hybridMultilevel"/>
    <w:lvl w:ilvl="0">
      <w:lvlJc w:val="left"/>
      <w:lvlText w:val="(%1)"/>
      <w:numFmt w:val="lowerLetter"/>
      <w:start w:val="1"/>
    </w:lvl>
  </w:abstractNum>
  <w:abstractNum w:abstractNumId="63">
    <w:nsid w:val="415E286C"/>
    <w:multiLevelType w:val="hybridMultilevel"/>
    <w:lvl w:ilvl="0">
      <w:lvlJc w:val="left"/>
      <w:lvlText w:val="(%1)"/>
      <w:numFmt w:val="lowerLetter"/>
      <w:start w:val="5"/>
    </w:lvl>
  </w:abstractNum>
  <w:abstractNum w:abstractNumId="64">
    <w:nsid w:val="7C58FD05"/>
    <w:multiLevelType w:val="hybridMultilevel"/>
    <w:lvl w:ilvl="0">
      <w:lvlJc w:val="left"/>
      <w:lvlText w:val="%1."/>
      <w:numFmt w:val="decimal"/>
      <w:start w:val="5"/>
    </w:lvl>
  </w:abstractNum>
  <w:abstractNum w:abstractNumId="65">
    <w:nsid w:val="23D86AAC"/>
    <w:multiLevelType w:val="hybridMultilevel"/>
    <w:lvl w:ilvl="0">
      <w:lvlJc w:val="left"/>
      <w:lvlText w:val="(%1)"/>
      <w:numFmt w:val="lowerLetter"/>
      <w:start w:val="1"/>
    </w:lvl>
  </w:abstractNum>
  <w:abstractNum w:abstractNumId="66">
    <w:nsid w:val="45E6D486"/>
    <w:multiLevelType w:val="hybridMultilevel"/>
    <w:lvl w:ilvl="0">
      <w:lvlJc w:val="left"/>
      <w:lvlText w:val="%1."/>
      <w:numFmt w:val="decimal"/>
      <w:start w:val="6"/>
    </w:lvl>
  </w:abstractNum>
  <w:abstractNum w:abstractNumId="67">
    <w:nsid w:val="5C10FE21"/>
    <w:multiLevelType w:val="hybridMultilevel"/>
    <w:lvl w:ilvl="0">
      <w:lvlJc w:val="left"/>
      <w:lvlText w:val="(%1)"/>
      <w:numFmt w:val="lowerLetter"/>
      <w:start w:val="1"/>
    </w:lvl>
  </w:abstractNum>
  <w:abstractNum w:abstractNumId="68">
    <w:nsid w:val="E7FFA2B"/>
    <w:multiLevelType w:val="hybridMultilevel"/>
    <w:lvl w:ilvl="0">
      <w:lvlJc w:val="left"/>
      <w:lvlText w:val="(%1)"/>
      <w:numFmt w:val="lowerLetter"/>
      <w:start w:val="3"/>
    </w:lvl>
  </w:abstractNum>
  <w:abstractNum w:abstractNumId="69">
    <w:nsid w:val="3C5991AA"/>
    <w:multiLevelType w:val="hybridMultilevel"/>
    <w:lvl w:ilvl="0">
      <w:lvlJc w:val="left"/>
      <w:lvlText w:val="%1."/>
      <w:numFmt w:val="decimal"/>
      <w:start w:val="7"/>
    </w:lvl>
  </w:abstractNum>
  <w:abstractNum w:abstractNumId="70">
    <w:nsid w:val="4BD8591A"/>
    <w:multiLevelType w:val="hybridMultilevel"/>
    <w:lvl w:ilvl="0">
      <w:lvlJc w:val="left"/>
      <w:lvlText w:val="(%1)"/>
      <w:numFmt w:val="lowerLetter"/>
      <w:start w:val="1"/>
    </w:lvl>
  </w:abstractNum>
  <w:abstractNum w:abstractNumId="71">
    <w:nsid w:val="78DF6A55"/>
    <w:multiLevelType w:val="hybridMultilevel"/>
    <w:lvl w:ilvl="0">
      <w:lvlJc w:val="left"/>
      <w:lvlText w:val="%1."/>
      <w:numFmt w:val="decimal"/>
      <w:start w:val="8"/>
    </w:lvl>
  </w:abstractNum>
  <w:abstractNum w:abstractNumId="72">
    <w:nsid w:val="39B7AAA2"/>
    <w:multiLevelType w:val="hybridMultilevel"/>
    <w:lvl w:ilvl="0">
      <w:lvlJc w:val="left"/>
      <w:lvlText w:val="(%1)"/>
      <w:numFmt w:val="lowerLetter"/>
      <w:start w:val="1"/>
    </w:lvl>
  </w:abstractNum>
  <w:abstractNum w:abstractNumId="73">
    <w:nsid w:val="2B0D8DBE"/>
    <w:multiLevelType w:val="hybridMultilevel"/>
    <w:lvl w:ilvl="0">
      <w:lvlJc w:val="left"/>
      <w:lvlText w:val="(%1)"/>
      <w:numFmt w:val="lowerLetter"/>
      <w:start w:val="2"/>
    </w:lvl>
  </w:abstractNum>
  <w:abstractNum w:abstractNumId="74">
    <w:nsid w:val="6C80EC70"/>
    <w:multiLevelType w:val="hybridMultilevel"/>
    <w:lvl w:ilvl="0">
      <w:lvlJc w:val="left"/>
      <w:lvlText w:val="%1."/>
      <w:numFmt w:val="decimal"/>
      <w:start w:val="9"/>
    </w:lvl>
  </w:abstractNum>
  <w:abstractNum w:abstractNumId="75">
    <w:nsid w:val="379E21B5"/>
    <w:multiLevelType w:val="hybridMultilevel"/>
    <w:lvl w:ilvl="0">
      <w:lvlJc w:val="left"/>
      <w:lvlText w:val="(%1)"/>
      <w:numFmt w:val="lowerLetter"/>
      <w:start w:val="1"/>
    </w:lvl>
  </w:abstractNum>
  <w:abstractNum w:abstractNumId="76">
    <w:nsid w:val="69E373"/>
    <w:multiLevelType w:val="hybridMultilevel"/>
    <w:lvl w:ilvl="0">
      <w:lvlJc w:val="left"/>
      <w:lvlText w:val="(%1)"/>
      <w:numFmt w:val="lowerLetter"/>
      <w:start w:val="5"/>
    </w:lvl>
  </w:abstractNum>
  <w:abstractNum w:abstractNumId="77">
    <w:nsid w:val="2C27173B"/>
    <w:multiLevelType w:val="hybridMultilevel"/>
    <w:lvl w:ilvl="0">
      <w:lvlJc w:val="left"/>
      <w:lvlText w:val="%1."/>
      <w:numFmt w:val="decimal"/>
      <w:start w:val="1"/>
    </w:lvl>
  </w:abstractNum>
  <w:abstractNum w:abstractNumId="78">
    <w:nsid w:val="4C9B0904"/>
    <w:multiLevelType w:val="hybridMultilevel"/>
    <w:lvl w:ilvl="0">
      <w:lvlJc w:val="left"/>
      <w:lvlText w:val="(%1)"/>
      <w:numFmt w:val="lowerLetter"/>
      <w:start w:val="1"/>
    </w:lvl>
  </w:abstractNum>
  <w:abstractNum w:abstractNumId="79">
    <w:nsid w:val="6AA7B75C"/>
    <w:multiLevelType w:val="hybridMultilevel"/>
    <w:lvl w:ilvl="0">
      <w:lvlJc w:val="left"/>
      <w:lvlText w:val="(%1)"/>
      <w:numFmt w:val="lowerLetter"/>
      <w:start w:val="2"/>
    </w:lvl>
    <w:lvl w:ilvl="1">
      <w:lvlJc w:val="left"/>
      <w:lvlText w:val="(%2)"/>
      <w:numFmt w:val="lowerLetter"/>
      <w:start w:val="35"/>
    </w:lvl>
  </w:abstractNum>
  <w:abstractNum w:abstractNumId="80">
    <w:nsid w:val="1DF029D3"/>
    <w:multiLevelType w:val="hybridMultilevel"/>
    <w:lvl w:ilvl="0">
      <w:lvlJc w:val="left"/>
      <w:lvlText w:val="%1."/>
      <w:numFmt w:val="decimal"/>
      <w:start w:val="3"/>
    </w:lvl>
  </w:abstractNum>
  <w:abstractNum w:abstractNumId="81">
    <w:nsid w:val="5675FF36"/>
    <w:multiLevelType w:val="hybridMultilevel"/>
    <w:lvl w:ilvl="0">
      <w:lvlJc w:val="left"/>
      <w:lvlText w:val="(%1)"/>
      <w:numFmt w:val="lowerLetter"/>
      <w:start w:val="1"/>
    </w:lvl>
  </w:abstractNum>
  <w:abstractNum w:abstractNumId="82">
    <w:nsid w:val="3DD15094"/>
    <w:multiLevelType w:val="hybridMultilevel"/>
    <w:lvl w:ilvl="0">
      <w:lvlJc w:val="left"/>
      <w:lvlText w:val="%1."/>
      <w:numFmt w:val="decimal"/>
      <w:start w:val="5"/>
    </w:lvl>
  </w:abstractNum>
  <w:abstractNum w:abstractNumId="83">
    <w:nsid w:val="3DB012B3"/>
    <w:multiLevelType w:val="hybridMultilevel"/>
    <w:lvl w:ilvl="0">
      <w:lvlJc w:val="left"/>
      <w:lvlText w:val="(%1)"/>
      <w:numFmt w:val="lowerLetter"/>
      <w:start w:val="1"/>
    </w:lvl>
  </w:abstractNum>
  <w:abstractNum w:abstractNumId="84">
    <w:nsid w:val="2708C9AF"/>
    <w:multiLevelType w:val="hybridMultilevel"/>
    <w:lvl w:ilvl="0">
      <w:lvlJc w:val="left"/>
      <w:lvlText w:val="%1."/>
      <w:numFmt w:val="decimal"/>
      <w:start w:val="6"/>
    </w:lvl>
  </w:abstractNum>
  <w:abstractNum w:abstractNumId="85">
    <w:nsid w:val="5B25ACE2"/>
    <w:multiLevelType w:val="hybridMultilevel"/>
    <w:lvl w:ilvl="0">
      <w:lvlJc w:val="left"/>
      <w:lvlText w:val="(%1)"/>
      <w:numFmt w:val="lowerLetter"/>
      <w:start w:val="1"/>
    </w:lvl>
  </w:abstractNum>
  <w:abstractNum w:abstractNumId="86">
    <w:nsid w:val="175DFCF0"/>
    <w:multiLevelType w:val="hybridMultilevel"/>
    <w:lvl w:ilvl="0">
      <w:lvlJc w:val="left"/>
      <w:lvlText w:val="(%1)"/>
      <w:numFmt w:val="lowerLetter"/>
      <w:start w:val="3"/>
    </w:lvl>
  </w:abstractNum>
  <w:abstractNum w:abstractNumId="87">
    <w:nsid w:val="4F97E3E4"/>
    <w:multiLevelType w:val="hybridMultilevel"/>
    <w:lvl w:ilvl="0">
      <w:lvlJc w:val="left"/>
      <w:lvlText w:val="%1."/>
      <w:numFmt w:val="decimal"/>
      <w:start w:val="8"/>
    </w:lvl>
  </w:abstractNum>
  <w:abstractNum w:abstractNumId="88">
    <w:nsid w:val="53B0A9E"/>
    <w:multiLevelType w:val="hybridMultilevel"/>
    <w:lvl w:ilvl="0">
      <w:lvlJc w:val="left"/>
      <w:lvlText w:val="(%1)"/>
      <w:numFmt w:val="lowerLetter"/>
      <w:start w:val="1"/>
    </w:lvl>
  </w:abstractNum>
  <w:abstractNum w:abstractNumId="89">
    <w:nsid w:val="34FD6B4F"/>
    <w:multiLevelType w:val="hybridMultilevel"/>
    <w:lvl w:ilvl="0">
      <w:lvlJc w:val="left"/>
      <w:lvlText w:val="(%1)"/>
      <w:numFmt w:val="lowerLetter"/>
      <w:start w:val="2"/>
    </w:lvl>
  </w:abstractNum>
  <w:abstractNum w:abstractNumId="90">
    <w:nsid w:val="5915FF32"/>
    <w:multiLevelType w:val="hybridMultilevel"/>
    <w:lvl w:ilvl="0">
      <w:lvlJc w:val="left"/>
      <w:lvlText w:val="%1."/>
      <w:numFmt w:val="decimal"/>
      <w:start w:val="12"/>
    </w:lvl>
  </w:abstractNum>
  <w:abstractNum w:abstractNumId="91">
    <w:nsid w:val="56438D15"/>
    <w:multiLevelType w:val="hybridMultilevel"/>
    <w:lvl w:ilvl="0">
      <w:lvlJc w:val="left"/>
      <w:lvlText w:val="%1"/>
      <w:numFmt w:val="upperLetter"/>
      <w:start w:val="1"/>
    </w:lvl>
    <w:lvl w:ilvl="1">
      <w:lvlJc w:val="left"/>
      <w:lvlText w:val="(%2)"/>
      <w:numFmt w:val="lowerLetter"/>
      <w:start w:val="1"/>
    </w:lvl>
  </w:abstractNum>
  <w:abstractNum w:abstractNumId="92">
    <w:nsid w:val="519E3149"/>
    <w:multiLevelType w:val="hybridMultilevel"/>
    <w:lvl w:ilvl="0">
      <w:lvlJc w:val="left"/>
      <w:lvlText w:val="(%1)"/>
      <w:numFmt w:val="lowerLetter"/>
      <w:start w:val="9"/>
    </w:lvl>
  </w:abstractNum>
  <w:abstractNum w:abstractNumId="93">
    <w:nsid w:val="2C6E4AFD"/>
    <w:multiLevelType w:val="hybridMultilevel"/>
    <w:lvl w:ilvl="0">
      <w:lvlJc w:val="left"/>
      <w:lvlText w:val="(%1)"/>
      <w:numFmt w:val="lowerLetter"/>
      <w:start w:val="24"/>
    </w:lvl>
  </w:abstractNum>
  <w:abstractNum w:abstractNumId="94">
    <w:nsid w:val="17A1B582"/>
    <w:multiLevelType w:val="hybridMultilevel"/>
    <w:lvl w:ilvl="0">
      <w:lvlJc w:val="left"/>
      <w:lvlText w:val="%1."/>
      <w:numFmt w:val="decimal"/>
      <w:start w:val="13"/>
    </w:lvl>
  </w:abstractNum>
  <w:abstractNum w:abstractNumId="95">
    <w:nsid w:val="4DF72E4E"/>
    <w:multiLevelType w:val="hybridMultilevel"/>
    <w:lvl w:ilvl="0">
      <w:lvlJc w:val="left"/>
      <w:lvlText w:val="(%1)"/>
      <w:numFmt w:val="lowerLetter"/>
      <w:start w:val="1"/>
    </w:lvl>
  </w:abstractNum>
  <w:abstractNum w:abstractNumId="96">
    <w:nsid w:val="5046B5A9"/>
    <w:multiLevelType w:val="hybridMultilevel"/>
    <w:lvl w:ilvl="0">
      <w:lvlJc w:val="left"/>
      <w:lvlText w:val="%1."/>
      <w:numFmt w:val="decimal"/>
      <w:start w:val="14"/>
    </w:lvl>
  </w:abstractNum>
  <w:abstractNum w:abstractNumId="97">
    <w:nsid w:val="5D888A08"/>
    <w:multiLevelType w:val="hybridMultilevel"/>
    <w:lvl w:ilvl="0">
      <w:lvlJc w:val="left"/>
      <w:lvlText w:val="%1."/>
      <w:numFmt w:val="decimal"/>
      <w:start w:val="1"/>
    </w:lvl>
  </w:abstractNum>
  <w:abstractNum w:abstractNumId="98">
    <w:nsid w:val="2A082C70"/>
    <w:multiLevelType w:val="hybridMultilevel"/>
    <w:lvl w:ilvl="0">
      <w:lvlJc w:val="left"/>
      <w:lvlText w:val="(%1)"/>
      <w:numFmt w:val="lowerLetter"/>
      <w:start w:val="1"/>
    </w:lvl>
  </w:abstractNum>
  <w:abstractNum w:abstractNumId="99">
    <w:nsid w:val="5EC6AFD4"/>
    <w:multiLevelType w:val="hybridMultilevel"/>
    <w:lvl w:ilvl="0">
      <w:lvlJc w:val="left"/>
      <w:lvlText w:val="(%1)"/>
      <w:numFmt w:val="lowerLetter"/>
      <w:start w:val="4"/>
    </w:lvl>
  </w:abstractNum>
  <w:abstractNum w:abstractNumId="100">
    <w:nsid w:val="19E21BB2"/>
    <w:multiLevelType w:val="hybridMultilevel"/>
    <w:lvl w:ilvl="0">
      <w:lvlJc w:val="left"/>
      <w:lvlText w:val="%1."/>
      <w:numFmt w:val="decimal"/>
      <w:start w:val="2"/>
    </w:lvl>
  </w:abstractNum>
  <w:abstractNum w:abstractNumId="101">
    <w:nsid w:val="75E0858A"/>
    <w:multiLevelType w:val="hybridMultilevel"/>
    <w:lvl w:ilvl="0">
      <w:lvlJc w:val="left"/>
      <w:lvlText w:val="(%1)"/>
      <w:numFmt w:val="lowerLetter"/>
      <w:start w:val="1"/>
    </w:lvl>
  </w:abstractNum>
  <w:abstractNum w:abstractNumId="102">
    <w:nsid w:val="57A61A29"/>
    <w:multiLevelType w:val="hybridMultilevel"/>
    <w:lvl w:ilvl="0">
      <w:lvlJc w:val="left"/>
      <w:lvlText w:val="(%1)"/>
      <w:numFmt w:val="lowerLetter"/>
      <w:start w:val="5"/>
    </w:lvl>
  </w:abstractNum>
  <w:abstractNum w:abstractNumId="103">
    <w:nsid w:val="5399C654"/>
    <w:multiLevelType w:val="hybridMultilevel"/>
    <w:lvl w:ilvl="0">
      <w:lvlJc w:val="left"/>
      <w:lvlText w:val="%1."/>
      <w:numFmt w:val="decimal"/>
      <w:start w:val="4"/>
    </w:lvl>
  </w:abstractNum>
  <w:abstractNum w:abstractNumId="104">
    <w:nsid w:val="20EE1348"/>
    <w:multiLevelType w:val="hybridMultilevel"/>
    <w:lvl w:ilvl="0">
      <w:lvlJc w:val="left"/>
      <w:lvlText w:val="(%1)"/>
      <w:numFmt w:val="lowerLetter"/>
      <w:start w:val="1"/>
    </w:lvl>
  </w:abstractNum>
  <w:abstractNum w:abstractNumId="105">
    <w:nsid w:val="4427069A"/>
    <w:multiLevelType w:val="hybridMultilevel"/>
    <w:lvl w:ilvl="0">
      <w:lvlJc w:val="left"/>
      <w:lvlText w:val="(%1)"/>
      <w:numFmt w:val="lowerLetter"/>
      <w:start w:val="5"/>
    </w:lvl>
  </w:abstractNum>
  <w:abstractNum w:abstractNumId="106">
    <w:nsid w:val="B37E80A"/>
    <w:multiLevelType w:val="hybridMultilevel"/>
    <w:lvl w:ilvl="0">
      <w:lvlJc w:val="left"/>
      <w:lvlText w:val="%1."/>
      <w:numFmt w:val="decimal"/>
      <w:start w:val="5"/>
    </w:lvl>
  </w:abstractNum>
  <w:abstractNum w:abstractNumId="107">
    <w:nsid w:val="2157F6BC"/>
    <w:multiLevelType w:val="hybridMultilevel"/>
    <w:lvl w:ilvl="0">
      <w:lvlJc w:val="left"/>
      <w:lvlText w:val="(%1)"/>
      <w:numFmt w:val="lowerLetter"/>
      <w:start w:val="1"/>
    </w:lvl>
  </w:abstractNum>
  <w:abstractNum w:abstractNumId="108">
    <w:nsid w:val="704E1DD5"/>
    <w:multiLevelType w:val="hybridMultilevel"/>
    <w:lvl w:ilvl="0">
      <w:lvlJc w:val="left"/>
      <w:lvlText w:val="%1."/>
      <w:numFmt w:val="decimal"/>
      <w:start w:val="6"/>
    </w:lvl>
  </w:abstractNum>
  <w:abstractNum w:abstractNumId="109">
    <w:nsid w:val="57D2F10E"/>
    <w:multiLevelType w:val="hybridMultilevel"/>
    <w:lvl w:ilvl="0">
      <w:lvlJc w:val="left"/>
      <w:lvlText w:val="(%1)"/>
      <w:numFmt w:val="lowerLetter"/>
      <w:start w:val="1"/>
    </w:lvl>
  </w:abstractNum>
  <w:abstractNum w:abstractNumId="110">
    <w:nsid w:val="BFFAE18"/>
    <w:multiLevelType w:val="hybridMultilevel"/>
    <w:lvl w:ilvl="0">
      <w:lvlJc w:val="left"/>
      <w:lvlText w:val="(%1)"/>
      <w:numFmt w:val="lowerLetter"/>
      <w:start w:val="3"/>
    </w:lvl>
  </w:abstractNum>
  <w:abstractNum w:abstractNumId="111">
    <w:nsid w:val="E3E47A8"/>
    <w:multiLevelType w:val="hybridMultilevel"/>
    <w:lvl w:ilvl="0">
      <w:lvlJc w:val="left"/>
      <w:lvlText w:val="%1."/>
      <w:numFmt w:val="decimal"/>
      <w:start w:val="7"/>
    </w:lvl>
  </w:abstractNum>
  <w:abstractNum w:abstractNumId="112">
    <w:nsid w:val="2E48F044"/>
    <w:multiLevelType w:val="hybridMultilevel"/>
    <w:lvl w:ilvl="0">
      <w:lvlJc w:val="left"/>
      <w:lvlText w:val="(%1)"/>
      <w:numFmt w:val="lowerLetter"/>
      <w:start w:val="1"/>
    </w:lvl>
  </w:abstractNum>
  <w:abstractNum w:abstractNumId="113">
    <w:nsid w:val="49D0FEAC"/>
    <w:multiLevelType w:val="hybridMultilevel"/>
    <w:lvl w:ilvl="0">
      <w:lvlJc w:val="left"/>
      <w:lvlText w:val="%1."/>
      <w:numFmt w:val="decimal"/>
      <w:start w:val="8"/>
    </w:lvl>
  </w:abstractNum>
  <w:abstractNum w:abstractNumId="114">
    <w:nsid w:val="4BEE5A5B"/>
    <w:multiLevelType w:val="hybridMultilevel"/>
    <w:lvl w:ilvl="0">
      <w:lvlJc w:val="left"/>
      <w:lvlText w:val="(%1)"/>
      <w:numFmt w:val="lowerLetter"/>
      <w:start w:val="1"/>
    </w:lvl>
  </w:abstractNum>
  <w:abstractNum w:abstractNumId="115">
    <w:nsid w:val="5551B9F3"/>
    <w:multiLevelType w:val="hybridMultilevel"/>
    <w:lvl w:ilvl="0">
      <w:lvlJc w:val="left"/>
      <w:lvlText w:val="(%1)"/>
      <w:numFmt w:val="lowerLetter"/>
      <w:start w:val="2"/>
    </w:lvl>
  </w:abstractNum>
  <w:abstractNum w:abstractNumId="116">
    <w:nsid w:val="24F6AB8E"/>
    <w:multiLevelType w:val="hybridMultilevel"/>
    <w:lvl w:ilvl="0">
      <w:lvlJc w:val="left"/>
      <w:lvlText w:val="%1."/>
      <w:numFmt w:val="decimal"/>
      <w:start w:val="9"/>
    </w:lvl>
  </w:abstractNum>
  <w:abstractNum w:abstractNumId="117">
    <w:nsid w:val="634C574C"/>
    <w:multiLevelType w:val="hybridMultilevel"/>
    <w:lvl w:ilvl="0">
      <w:lvlJc w:val="left"/>
      <w:lvlText w:val="(%1)"/>
      <w:numFmt w:val="lowerLetter"/>
      <w:start w:val="1"/>
    </w:lvl>
  </w:abstractNum>
  <w:abstractNum w:abstractNumId="118">
    <w:nsid w:val="24E99DD7"/>
    <w:multiLevelType w:val="hybridMultilevel"/>
    <w:lvl w:ilvl="0">
      <w:lvlJc w:val="left"/>
      <w:lvlText w:val="(%1)"/>
      <w:numFmt w:val="lowerLetter"/>
      <w:start w:val="5"/>
    </w:lvl>
  </w:abstractNum>
  <w:abstractNum w:abstractNumId="119">
    <w:nsid w:val="2A31B62D"/>
    <w:multiLevelType w:val="hybridMultilevel"/>
    <w:lvl w:ilvl="0">
      <w:lvlJc w:val="left"/>
      <w:lvlText w:val="%1."/>
      <w:numFmt w:val="decimal"/>
      <w:start w:val="1"/>
    </w:lvl>
  </w:abstractNum>
  <w:abstractNum w:abstractNumId="120">
    <w:nsid w:val="1849C29B"/>
    <w:multiLevelType w:val="hybridMultilevel"/>
    <w:lvl w:ilvl="0">
      <w:lvlJc w:val="left"/>
      <w:lvlText w:val="(%1)"/>
      <w:numFmt w:val="lowerLetter"/>
      <w:start w:val="1"/>
    </w:lvl>
  </w:abstractNum>
  <w:abstractNum w:abstractNumId="121">
    <w:nsid w:val="7DFF9D09"/>
    <w:multiLevelType w:val="hybridMultilevel"/>
    <w:lvl w:ilvl="0">
      <w:lvlJc w:val="left"/>
      <w:lvlText w:val="(%1)"/>
      <w:numFmt w:val="lowerLetter"/>
      <w:start w:val="2"/>
    </w:lvl>
    <w:lvl w:ilvl="1">
      <w:lvlJc w:val="left"/>
      <w:lvlText w:val="(%2)"/>
      <w:numFmt w:val="lowerLetter"/>
      <w:start w:val="35"/>
    </w:lvl>
  </w:abstractNum>
  <w:abstractNum w:abstractNumId="122">
    <w:nsid w:val="754342"/>
    <w:multiLevelType w:val="hybridMultilevel"/>
    <w:lvl w:ilvl="0">
      <w:lvlJc w:val="left"/>
      <w:lvlText w:val="%1."/>
      <w:numFmt w:val="decimal"/>
      <w:start w:val="3"/>
    </w:lvl>
  </w:abstractNum>
  <w:abstractNum w:abstractNumId="123">
    <w:nsid w:val="69E7F3E5"/>
    <w:multiLevelType w:val="hybridMultilevel"/>
    <w:lvl w:ilvl="0">
      <w:lvlJc w:val="left"/>
      <w:lvlText w:val="(%1)"/>
      <w:numFmt w:val="lowerLetter"/>
      <w:start w:val="1"/>
    </w:lvl>
  </w:abstractNum>
  <w:abstractNum w:abstractNumId="124">
    <w:nsid w:val="2A6DE806"/>
    <w:multiLevelType w:val="hybridMultilevel"/>
    <w:lvl w:ilvl="0">
      <w:lvlJc w:val="left"/>
      <w:lvlText w:val="%1."/>
      <w:numFmt w:val="decimal"/>
      <w:start w:val="5"/>
    </w:lvl>
  </w:abstractNum>
  <w:abstractNum w:abstractNumId="125">
    <w:nsid w:val="1816F8C4"/>
    <w:multiLevelType w:val="hybridMultilevel"/>
    <w:lvl w:ilvl="0">
      <w:lvlJc w:val="left"/>
      <w:lvlText w:val="(%1)"/>
      <w:numFmt w:val="lowerLetter"/>
      <w:start w:val="1"/>
    </w:lvl>
  </w:abstractNum>
  <w:abstractNum w:abstractNumId="126">
    <w:nsid w:val="37DF2233"/>
    <w:multiLevelType w:val="hybridMultilevel"/>
    <w:lvl w:ilvl="0">
      <w:lvlJc w:val="left"/>
      <w:lvlText w:val="%1."/>
      <w:numFmt w:val="decimal"/>
      <w:start w:val="6"/>
    </w:lvl>
  </w:abstractNum>
  <w:abstractNum w:abstractNumId="127">
    <w:nsid w:val="7AB49DAF"/>
    <w:multiLevelType w:val="hybridMultilevel"/>
    <w:lvl w:ilvl="0">
      <w:lvlJc w:val="left"/>
      <w:lvlText w:val="(%1)"/>
      <w:numFmt w:val="lowerLetter"/>
      <w:start w:val="1"/>
    </w:lvl>
  </w:abstractNum>
  <w:abstractNum w:abstractNumId="128">
    <w:nsid w:val="759F82CD"/>
    <w:multiLevelType w:val="hybridMultilevel"/>
    <w:lvl w:ilvl="0">
      <w:lvlJc w:val="left"/>
      <w:lvlText w:val="(%1)"/>
      <w:numFmt w:val="lowerLetter"/>
      <w:start w:val="3"/>
    </w:lvl>
  </w:abstractNum>
  <w:abstractNum w:abstractNumId="129">
    <w:nsid w:val="61E74EA3"/>
    <w:multiLevelType w:val="hybridMultilevel"/>
    <w:lvl w:ilvl="0">
      <w:lvlJc w:val="left"/>
      <w:lvlText w:val="%1."/>
      <w:numFmt w:val="decimal"/>
      <w:start w:val="8"/>
    </w:lvl>
  </w:abstractNum>
  <w:abstractNum w:abstractNumId="130">
    <w:nsid w:val="597B4D84"/>
    <w:multiLevelType w:val="hybridMultilevel"/>
    <w:lvl w:ilvl="0">
      <w:lvlJc w:val="left"/>
      <w:lvlText w:val="%1."/>
      <w:numFmt w:val="decimal"/>
      <w:start w:val="11"/>
    </w:lvl>
  </w:abstractNum>
  <w:abstractNum w:abstractNumId="131">
    <w:nsid w:val="F819E7F"/>
    <w:multiLevelType w:val="hybridMultilevel"/>
    <w:lvl w:ilvl="0">
      <w:lvlJc w:val="left"/>
      <w:lvlText w:val="(%1)"/>
      <w:numFmt w:val="lowerLetter"/>
      <w:start w:val="1"/>
    </w:lvl>
  </w:abstractNum>
  <w:abstractNum w:abstractNumId="132">
    <w:nsid w:val="57C7D42D"/>
    <w:multiLevelType w:val="hybridMultilevel"/>
    <w:lvl w:ilvl="0">
      <w:lvlJc w:val="left"/>
      <w:lvlText w:val="%1."/>
      <w:numFmt w:val="decimal"/>
      <w:start w:val="12"/>
    </w:lvl>
  </w:abstractNum>
  <w:abstractNum w:abstractNumId="133">
    <w:nsid w:val="312167AD"/>
    <w:multiLevelType w:val="hybridMultilevel"/>
    <w:lvl w:ilvl="0">
      <w:lvlJc w:val="left"/>
      <w:lvlText w:val="%1"/>
      <w:numFmt w:val="upperLetter"/>
      <w:start w:val="1"/>
    </w:lvl>
    <w:lvl w:ilvl="1">
      <w:lvlJc w:val="left"/>
      <w:lvlText w:val="(%2)"/>
      <w:numFmt w:val="lowerLetter"/>
      <w:start w:val="1"/>
    </w:lvl>
  </w:abstractNum>
  <w:abstractNum w:abstractNumId="134">
    <w:nsid w:val="631B64D4"/>
    <w:multiLevelType w:val="hybridMultilevel"/>
    <w:lvl w:ilvl="0">
      <w:lvlJc w:val="left"/>
      <w:lvlText w:val="(%1)"/>
      <w:numFmt w:val="lowerLetter"/>
      <w:start w:val="9"/>
    </w:lvl>
    <w:lvl w:ilvl="1">
      <w:lvlJc w:val="left"/>
      <w:lvlText w:val="(%2)"/>
      <w:numFmt w:val="lowerLetter"/>
      <w:start w:val="8"/>
    </w:lvl>
  </w:abstractNum>
  <w:abstractNum w:abstractNumId="135">
    <w:nsid w:val="78B5E776"/>
    <w:multiLevelType w:val="hybridMultilevel"/>
    <w:lvl w:ilvl="0">
      <w:lvlJc w:val="left"/>
      <w:lvlText w:val="(%1)"/>
      <w:numFmt w:val="lowerLetter"/>
      <w:start w:val="21"/>
    </w:lvl>
  </w:abstractNum>
  <w:abstractNum w:abstractNumId="136">
    <w:nsid w:val="75486E47"/>
    <w:multiLevelType w:val="hybridMultilevel"/>
    <w:lvl w:ilvl="0">
      <w:lvlJc w:val="left"/>
      <w:lvlText w:val="%1."/>
      <w:numFmt w:val="decimal"/>
      <w:start w:val="13"/>
    </w:lvl>
  </w:abstractNum>
  <w:abstractNum w:abstractNumId="137">
    <w:nsid w:val="6E534CDE"/>
    <w:multiLevelType w:val="hybridMultilevel"/>
    <w:lvl w:ilvl="0">
      <w:lvlJc w:val="left"/>
      <w:lvlText w:val="(%1)"/>
      <w:numFmt w:val="lowerLetter"/>
      <w:start w:val="1"/>
    </w:lvl>
  </w:abstractNum>
  <w:abstractNum w:abstractNumId="138">
    <w:nsid w:val="1A0DDE32"/>
    <w:multiLevelType w:val="hybridMultilevel"/>
    <w:lvl w:ilvl="0">
      <w:lvlJc w:val="left"/>
      <w:lvlText w:val="(%1)"/>
      <w:numFmt w:val="lowerLetter"/>
      <w:start w:val="8"/>
    </w:lvl>
  </w:abstractNum>
  <w:abstractNum w:abstractNumId="139">
    <w:nsid w:val="65968C1C"/>
    <w:multiLevelType w:val="hybridMultilevel"/>
    <w:lvl w:ilvl="0">
      <w:lvlJc w:val="left"/>
      <w:lvlText w:val="%1."/>
      <w:numFmt w:val="decimal"/>
      <w:start w:val="14"/>
    </w:lvl>
  </w:abstractNum>
  <w:abstractNum w:abstractNumId="140">
    <w:nsid w:val="46263DEC"/>
    <w:multiLevelType w:val="hybridMultilevel"/>
    <w:lvl w:ilvl="0">
      <w:lvlJc w:val="left"/>
      <w:lvlText w:val="•"/>
      <w:numFmt w:val="bullet"/>
      <w:start w:val="1"/>
    </w:lvl>
  </w:abstractNum>
  <w:abstractNum w:abstractNumId="141">
    <w:nsid w:val="260D8C4A"/>
    <w:multiLevelType w:val="hybridMultilevel"/>
    <w:lvl w:ilvl="0">
      <w:lvlJc w:val="left"/>
      <w:lvlText w:val="%1."/>
      <w:numFmt w:val="decimal"/>
      <w:start w:val="1"/>
    </w:lvl>
    <w:lvl w:ilvl="1">
      <w:lvlJc w:val="left"/>
      <w:lvlText w:val="(%2)"/>
      <w:numFmt w:val="lowerLetter"/>
      <w:start w:val="1"/>
    </w:lvl>
  </w:abstractNum>
  <w:abstractNum w:abstractNumId="142">
    <w:nsid w:val="73D4D3C4"/>
    <w:multiLevelType w:val="hybridMultilevel"/>
    <w:lvl w:ilvl="0">
      <w:lvlJc w:val="left"/>
      <w:lvlText w:val="%1"/>
      <w:numFmt w:val="decimal"/>
      <w:start w:val="1"/>
    </w:lvl>
    <w:lvl w:ilvl="1">
      <w:lvlJc w:val="left"/>
      <w:lvlText w:val="(%2)"/>
      <w:numFmt w:val="lowerLetter"/>
      <w:start w:val="4"/>
    </w:lvl>
  </w:abstractNum>
  <w:abstractNum w:abstractNumId="143">
    <w:nsid w:val="746F2E30"/>
    <w:multiLevelType w:val="hybridMultilevel"/>
    <w:lvl w:ilvl="0">
      <w:lvlJc w:val="left"/>
      <w:lvlText w:val="%1."/>
      <w:numFmt w:val="decimal"/>
      <w:start w:val="2"/>
    </w:lvl>
    <w:lvl w:ilvl="1">
      <w:lvlJc w:val="left"/>
      <w:lvlText w:val="(%2)"/>
      <w:numFmt w:val="lowerLetter"/>
      <w:start w:val="1"/>
    </w:lvl>
  </w:abstractNum>
  <w:abstractNum w:abstractNumId="144">
    <w:nsid w:val="6FDE8AF6"/>
    <w:multiLevelType w:val="hybridMultilevel"/>
    <w:lvl w:ilvl="0">
      <w:lvlJc w:val="left"/>
      <w:lvlText w:val="%1"/>
      <w:numFmt w:val="decimal"/>
      <w:start w:val="1"/>
    </w:lvl>
    <w:lvl w:ilvl="1">
      <w:lvlJc w:val="left"/>
      <w:lvlText w:val="(%2)"/>
      <w:numFmt w:val="lowerLetter"/>
      <w:start w:val="5"/>
    </w:lvl>
  </w:abstractNum>
  <w:abstractNum w:abstractNumId="145">
    <w:nsid w:val="3FC32E20"/>
    <w:multiLevelType w:val="hybridMultilevel"/>
    <w:lvl w:ilvl="0">
      <w:lvlJc w:val="left"/>
      <w:lvlText w:val="%1."/>
      <w:numFmt w:val="decimal"/>
      <w:start w:val="4"/>
    </w:lvl>
    <w:lvl w:ilvl="1">
      <w:lvlJc w:val="left"/>
      <w:lvlText w:val="(%2)"/>
      <w:numFmt w:val="lowerLetter"/>
      <w:start w:val="1"/>
    </w:lvl>
  </w:abstractNum>
  <w:abstractNum w:abstractNumId="146">
    <w:nsid w:val="49C0E823"/>
    <w:multiLevelType w:val="hybridMultilevel"/>
    <w:lvl w:ilvl="0">
      <w:lvlJc w:val="left"/>
      <w:lvlText w:val="%1"/>
      <w:numFmt w:val="decimal"/>
      <w:start w:val="1"/>
    </w:lvl>
    <w:lvl w:ilvl="1">
      <w:lvlJc w:val="left"/>
      <w:lvlText w:val="(%2)"/>
      <w:numFmt w:val="lowerLetter"/>
      <w:start w:val="4"/>
    </w:lvl>
  </w:abstractNum>
  <w:abstractNum w:abstractNumId="147">
    <w:nsid w:val="14D53685"/>
    <w:multiLevelType w:val="hybridMultilevel"/>
    <w:lvl w:ilvl="0">
      <w:lvlJc w:val="left"/>
      <w:lvlText w:val="%1."/>
      <w:numFmt w:val="decimal"/>
      <w:start w:val="5"/>
    </w:lvl>
    <w:lvl w:ilvl="1">
      <w:lvlJc w:val="left"/>
      <w:lvlText w:val="(%2)"/>
      <w:numFmt w:val="lowerLetter"/>
      <w:start w:val="1"/>
    </w:lvl>
  </w:abstractNum>
  <w:abstractNum w:abstractNumId="148">
    <w:nsid w:val="230F856C"/>
    <w:multiLevelType w:val="hybridMultilevel"/>
    <w:lvl w:ilvl="0">
      <w:lvlJc w:val="left"/>
      <w:lvlText w:val="%1."/>
      <w:numFmt w:val="decimal"/>
      <w:start w:val="6"/>
    </w:lvl>
    <w:lvl w:ilvl="1">
      <w:lvlJc w:val="left"/>
      <w:lvlText w:val="(%2)"/>
      <w:numFmt w:val="lowerLetter"/>
      <w:start w:val="1"/>
    </w:lvl>
  </w:abstractNum>
  <w:abstractNum w:abstractNumId="149">
    <w:nsid w:val="6EAA85FB"/>
    <w:multiLevelType w:val="hybridMultilevel"/>
    <w:lvl w:ilvl="0">
      <w:lvlJc w:val="left"/>
      <w:lvlText w:val="%1"/>
      <w:numFmt w:val="decimal"/>
      <w:start w:val="1"/>
    </w:lvl>
    <w:lvl w:ilvl="1">
      <w:lvlJc w:val="left"/>
      <w:lvlText w:val="(%2)"/>
      <w:numFmt w:val="lowerLetter"/>
      <w:start w:val="3"/>
    </w:lvl>
  </w:abstractNum>
  <w:abstractNum w:abstractNumId="150">
    <w:nsid w:val="3F06ECB2"/>
    <w:multiLevelType w:val="hybridMultilevel"/>
    <w:lvl w:ilvl="0">
      <w:lvlJc w:val="left"/>
      <w:lvlText w:val="%1."/>
      <w:numFmt w:val="decimal"/>
      <w:start w:val="7"/>
    </w:lvl>
    <w:lvl w:ilvl="1">
      <w:lvlJc w:val="left"/>
      <w:lvlText w:val="(%2)"/>
      <w:numFmt w:val="lowerLetter"/>
      <w:start w:val="1"/>
    </w:lvl>
  </w:abstractNum>
  <w:abstractNum w:abstractNumId="151">
    <w:nsid w:val="3B594807"/>
    <w:multiLevelType w:val="hybridMultilevel"/>
    <w:lvl w:ilvl="0">
      <w:lvlJc w:val="left"/>
      <w:lvlText w:val="%1"/>
      <w:numFmt w:val="decimal"/>
      <w:start w:val="1"/>
    </w:lvl>
    <w:lvl w:ilvl="1">
      <w:lvlJc w:val="left"/>
      <w:lvlText w:val="(%2)"/>
      <w:numFmt w:val="lowerLetter"/>
      <w:start w:val="2"/>
    </w:lvl>
  </w:abstractNum>
  <w:abstractNum w:abstractNumId="152">
    <w:nsid w:val="6CAA2304"/>
    <w:multiLevelType w:val="hybridMultilevel"/>
    <w:lvl w:ilvl="0">
      <w:lvlJc w:val="left"/>
      <w:lvlText w:val="%1."/>
      <w:numFmt w:val="decimal"/>
      <w:start w:val="9"/>
    </w:lvl>
    <w:lvl w:ilvl="1">
      <w:lvlJc w:val="left"/>
      <w:lvlText w:val="(%2)"/>
      <w:numFmt w:val="lowerLetter"/>
      <w:start w:val="1"/>
    </w:lvl>
  </w:abstractNum>
  <w:abstractNum w:abstractNumId="153">
    <w:nsid w:val="3F7C2FF4"/>
    <w:multiLevelType w:val="hybridMultilevel"/>
    <w:lvl w:ilvl="0">
      <w:lvlJc w:val="left"/>
      <w:lvlText w:val="(%1)"/>
      <w:numFmt w:val="lowerLetter"/>
      <w:start w:val="3"/>
    </w:lvl>
  </w:abstractNum>
  <w:abstractNum w:abstractNumId="154">
    <w:nsid w:val="25413BEC"/>
    <w:multiLevelType w:val="hybridMultilevel"/>
    <w:lvl w:ilvl="0">
      <w:lvlJc w:val="left"/>
      <w:lvlText w:val="%1."/>
      <w:numFmt w:val="decimal"/>
      <w:start w:val="1"/>
    </w:lvl>
    <w:lvl w:ilvl="1">
      <w:lvlJc w:val="left"/>
      <w:lvlText w:val="%2)"/>
      <w:numFmt w:val="lowerLetter"/>
      <w:start w:val="1"/>
    </w:lvl>
  </w:abstractNum>
  <w:abstractNum w:abstractNumId="155">
    <w:nsid w:val="17180B0B"/>
    <w:multiLevelType w:val="hybridMultilevel"/>
    <w:lvl w:ilvl="0">
      <w:lvlJc w:val="left"/>
      <w:lvlText w:val="%1."/>
      <w:numFmt w:val="decimal"/>
      <w:start w:val="1"/>
    </w:lvl>
    <w:lvl w:ilvl="1">
      <w:lvlJc w:val="left"/>
      <w:lvlText w:val="%2)"/>
      <w:numFmt w:val="lowerLetter"/>
      <w:start w:val="1"/>
    </w:lvl>
  </w:abstractNum>
  <w:abstractNum w:abstractNumId="156">
    <w:nsid w:val="579328B9"/>
    <w:multiLevelType w:val="hybridMultilevel"/>
    <w:lvl w:ilvl="0">
      <w:lvlJc w:val="left"/>
      <w:lvlText w:val="(%1)"/>
      <w:numFmt w:val="decimal"/>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jpe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jpe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jpe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jpe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jpe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47" Type="http://schemas.openxmlformats.org/officeDocument/2006/relationships/hyperlink" Target="http://www.sec.gov/Archives/edgar/data/87347/000119312516532046/d176097dex31.htm" TargetMode="External"/><Relationship Id="rId50" Type="http://schemas.openxmlformats.org/officeDocument/2006/relationships/hyperlink" Target="http://www.sec.gov/Archives/edgar/data/87347/000119312519198989/d763655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2021-04-28T09:20:35Z</dcterms:created>
  <dcterms:modified xsi:type="dcterms:W3CDTF">2021-04-28T09:20:35Z</dcterms:modified>
</cp:coreProperties>
</file>