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333-231029</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2.650% Senior Notes due 2030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103.085%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$360,797,500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$46,831.52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Guarantee of Senior Notes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103.085%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$360,797,500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$46,831.52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for the guarantee is payable.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6985</wp:posOffset>
            </wp:positionV>
            <wp:extent cx="173164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1645" cy="41148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65"/>
          <w:szCs w:val="65"/>
          <w:b w:val="1"/>
          <w:bCs w:val="1"/>
          <w:color w:val="auto"/>
        </w:rPr>
        <w:t>Schlumberger Investment SA</w:t>
      </w:r>
    </w:p>
    <w:p>
      <w:pPr>
        <w:spacing w:after="0" w:line="98" w:lineRule="exact"/>
        <w:rPr>
          <w:sz w:val="20"/>
          <w:szCs w:val="20"/>
          <w:color w:val="auto"/>
        </w:rPr>
      </w:pPr>
    </w:p>
    <w:p>
      <w:pPr>
        <w:jc w:val="center"/>
        <w:ind w:left="460" w:right="2460"/>
        <w:spacing w:after="0" w:line="248" w:lineRule="auto"/>
        <w:rPr>
          <w:sz w:val="20"/>
          <w:szCs w:val="20"/>
          <w:color w:val="auto"/>
        </w:rPr>
      </w:pPr>
      <w:r>
        <w:rPr>
          <w:rFonts w:ascii="Arial" w:cs="Arial" w:eastAsia="Arial" w:hAnsi="Arial"/>
          <w:sz w:val="32"/>
          <w:szCs w:val="32"/>
          <w:b w:val="1"/>
          <w:bCs w:val="1"/>
          <w:color w:val="auto"/>
        </w:rPr>
        <w:t>$350,000,000 2.650% Senior Notes due 2030 Fully and unconditionally guaranteed by 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35560</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8"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6"/>
          <w:szCs w:val="16"/>
          <w:color w:val="auto"/>
        </w:rPr>
        <w:t>Schlumberger Investment SA (the “Company”) is offering U.S.$350,000,000 principal amount of its 2.650% Senior Notes due 2030 (the “Notes”). The Notes offered hereby constitute a further issuance of the 2.650% Senior Notes due 2030, of which $900,000,000 aggregate principal amount was issued on June 26, 2020 (the “Existing Notes”). The Notes offered hereby are also referred to herein as the “Additional Notes.” The Additional Notes will form a single series with, and have the same terms (other than the initial offering price and the issue date) as, the Existing Notes. Upon settlement, the Additional Notes will have the same CUSIP and will trade interchangeably with the Existing Notes. We expect the Additional Notes and the Existing Notes to be fungible for U.S. federal income tax purposes. Immediately after giving effect to the issuance of the notes offered hereby, we will have $1,250,000,000 aggregate principal amount outstanding of 2.650% Senior Notes due 2030.</w:t>
      </w:r>
    </w:p>
    <w:p>
      <w:pPr>
        <w:spacing w:after="0" w:line="5" w:lineRule="exact"/>
        <w:rPr>
          <w:sz w:val="20"/>
          <w:szCs w:val="20"/>
          <w:color w:val="auto"/>
        </w:rPr>
      </w:pPr>
    </w:p>
    <w:p>
      <w:pPr>
        <w:ind w:left="120" w:right="20" w:firstLine="440"/>
        <w:spacing w:after="0" w:line="250" w:lineRule="auto"/>
        <w:rPr>
          <w:sz w:val="20"/>
          <w:szCs w:val="20"/>
          <w:color w:val="auto"/>
        </w:rPr>
      </w:pPr>
      <w:r>
        <w:rPr>
          <w:rFonts w:ascii="Arial" w:cs="Arial" w:eastAsia="Arial" w:hAnsi="Arial"/>
          <w:sz w:val="18"/>
          <w:szCs w:val="18"/>
          <w:color w:val="auto"/>
        </w:rPr>
        <w:t>The Notes will bear interest at a rate of 2.650% per year. We will pay interest on the Notes semi-annually on June 26 and December 26 of each year, beginning on December 26, 2020. The interest payment to be made with respect to the Additional Notes on December 26, 2020 will include interest deemed to have accrued from and including June 26, 2020, to, but excluding, the settlement date of the Additional Notes. Such accrued interest must be paid by the purchasers of the Additional Notes.</w:t>
      </w:r>
    </w:p>
    <w:p>
      <w:pPr>
        <w:spacing w:after="0" w:line="2" w:lineRule="exact"/>
        <w:rPr>
          <w:sz w:val="20"/>
          <w:szCs w:val="20"/>
          <w:color w:val="auto"/>
        </w:rPr>
      </w:pPr>
    </w:p>
    <w:p>
      <w:pPr>
        <w:ind w:left="120" w:right="20" w:firstLine="440"/>
        <w:spacing w:after="0" w:line="250" w:lineRule="auto"/>
        <w:rPr>
          <w:sz w:val="20"/>
          <w:szCs w:val="20"/>
          <w:color w:val="auto"/>
        </w:rPr>
      </w:pPr>
      <w:r>
        <w:rPr>
          <w:rFonts w:ascii="Arial" w:cs="Arial" w:eastAsia="Arial" w:hAnsi="Arial"/>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1" w:lineRule="exact"/>
        <w:rPr>
          <w:sz w:val="20"/>
          <w:szCs w:val="20"/>
          <w:color w:val="auto"/>
        </w:rPr>
      </w:pPr>
    </w:p>
    <w:p>
      <w:pPr>
        <w:ind w:left="120" w:right="800" w:firstLine="440"/>
        <w:spacing w:after="0" w:line="250" w:lineRule="auto"/>
        <w:rPr>
          <w:sz w:val="20"/>
          <w:szCs w:val="20"/>
          <w:color w:val="auto"/>
        </w:rPr>
      </w:pPr>
      <w:r>
        <w:rPr>
          <w:rFonts w:ascii="Arial" w:cs="Arial" w:eastAsia="Arial" w:hAnsi="Arial"/>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1" w:lineRule="exact"/>
        <w:rPr>
          <w:sz w:val="20"/>
          <w:szCs w:val="20"/>
          <w:color w:val="auto"/>
        </w:rPr>
      </w:pPr>
    </w:p>
    <w:p>
      <w:pPr>
        <w:ind w:left="120" w:right="200" w:firstLine="440"/>
        <w:spacing w:after="0" w:line="250" w:lineRule="auto"/>
        <w:rPr>
          <w:sz w:val="20"/>
          <w:szCs w:val="20"/>
          <w:color w:val="auto"/>
        </w:rPr>
      </w:pPr>
      <w:r>
        <w:rPr>
          <w:rFonts w:ascii="Arial" w:cs="Arial" w:eastAsia="Arial" w:hAnsi="Arial"/>
          <w:sz w:val="18"/>
          <w:szCs w:val="18"/>
          <w:color w:val="auto"/>
        </w:rPr>
        <w:t>The Notes will be the unsecured and unsubordinated obligations of the Company and will rank equally with its other unsecured and unsubordinated indebtedness from time to time outstanding.</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58420</wp:posOffset>
            </wp:positionV>
            <wp:extent cx="1114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98" w:lineRule="exact"/>
        <w:rPr>
          <w:sz w:val="20"/>
          <w:szCs w:val="20"/>
          <w:color w:val="auto"/>
        </w:rPr>
      </w:pPr>
    </w:p>
    <w:p>
      <w:pPr>
        <w:ind w:left="120" w:right="620" w:firstLine="44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herein and in the documents we have incorporated by reference.</w:t>
      </w:r>
    </w:p>
    <w:p>
      <w:pPr>
        <w:spacing w:after="0" w:line="1" w:lineRule="exact"/>
        <w:rPr>
          <w:sz w:val="20"/>
          <w:szCs w:val="20"/>
          <w:color w:val="auto"/>
        </w:rPr>
      </w:pPr>
    </w:p>
    <w:p>
      <w:pPr>
        <w:ind w:left="120" w:right="60" w:firstLine="44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0"/>
          <w:szCs w:val="20"/>
          <w:color w:val="auto"/>
        </w:rPr>
      </w:pPr>
    </w:p>
    <w:p>
      <w:pPr>
        <w:ind w:left="120" w:firstLine="440"/>
        <w:spacing w:after="0" w:line="281" w:lineRule="auto"/>
        <w:rPr>
          <w:sz w:val="20"/>
          <w:szCs w:val="20"/>
          <w:color w:val="auto"/>
        </w:rPr>
      </w:pPr>
      <w:r>
        <w:rPr>
          <w:rFonts w:ascii="Arial" w:cs="Arial" w:eastAsia="Arial" w:hAnsi="Arial"/>
          <w:sz w:val="16"/>
          <w:szCs w:val="16"/>
          <w:color w:val="auto"/>
        </w:rPr>
        <w:t>The underwriter has agreed to purchase the Additional Notes at a price equal to 102.635% of the principal amount offered hereby, which will result in approximately $360,181,875 of net proceeds to us (after deducting the estimated expenses of the offering payable by us but including the $1,159,375 of interest deemed to have accrued from June 26, 2020). The Notes may be offered by the underwriter from time to time to purchasers directly or through agents, or through brokers in brokerage transactions, or to dealers in negotiated transactions or in a combination of such methods of sale, at a fixed price or prices, which may be changed, or at market prices prevailing at the time of sale, at prices related to such prevailing market prices or at negotiated prices. See ‘‘Underwriting (Conflicts of Interest)’’ for more information.</w:t>
      </w:r>
    </w:p>
    <w:p>
      <w:pPr>
        <w:spacing w:after="0" w:line="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underwriter expects to deliver the Notes to purchasers against payment on or about August 11, 2020, solely in book-entry form through the facilities of The Depository Trust Company and its participants, including Euroclear Bank S.A./N.V., as operator of the Euroclear System, and Clearstream Banking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36830</wp:posOffset>
            </wp:positionV>
            <wp:extent cx="1114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Sole Book-Running Manager</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99060</wp:posOffset>
            </wp:positionV>
            <wp:extent cx="1114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4, 2020</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650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65"/>
        </w:trPr>
        <w:tc>
          <w:tcPr>
            <w:tcW w:w="4480" w:type="dxa"/>
            <w:vAlign w:val="bottom"/>
          </w:tcPr>
          <w:p>
            <w:pPr>
              <w:spacing w:after="0"/>
              <w:rPr>
                <w:sz w:val="24"/>
                <w:szCs w:val="24"/>
                <w:color w:val="auto"/>
              </w:rPr>
            </w:pPr>
          </w:p>
        </w:tc>
        <w:tc>
          <w:tcPr>
            <w:tcW w:w="650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w w:val="85"/>
              </w:rPr>
              <w:t>Prospectus Supplement</w:t>
            </w:r>
          </w:p>
        </w:tc>
        <w:tc>
          <w:tcPr>
            <w:tcW w:w="0" w:type="dxa"/>
            <w:vAlign w:val="bottom"/>
          </w:tcPr>
          <w:p>
            <w:pPr>
              <w:spacing w:after="0"/>
              <w:rPr>
                <w:sz w:val="1"/>
                <w:szCs w:val="1"/>
                <w:color w:val="auto"/>
              </w:rPr>
            </w:pPr>
          </w:p>
        </w:tc>
      </w:tr>
      <w:tr>
        <w:trPr>
          <w:trHeight w:val="299"/>
        </w:trPr>
        <w:tc>
          <w:tcPr>
            <w:tcW w:w="4480" w:type="dxa"/>
            <w:vAlign w:val="bottom"/>
            <w:vMerge w:val="restart"/>
          </w:tcPr>
          <w:p>
            <w:pPr>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Cautionary Statement Regarding Forward-Looking Statements</w:t>
              </w:r>
            </w:hyperlink>
          </w:p>
        </w:tc>
        <w:tc>
          <w:tcPr>
            <w:tcW w:w="608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08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S-iii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Capitalization</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the Notes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Non-United States Federal Income Tax Considerations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95"/>
              </w:rPr>
            </w:pPr>
            <w:hyperlink w:anchor="page36">
              <w:r>
                <w:rPr>
                  <w:rFonts w:ascii="Arial" w:cs="Arial" w:eastAsia="Arial" w:hAnsi="Arial"/>
                  <w:sz w:val="18"/>
                  <w:szCs w:val="18"/>
                  <w:u w:val="single" w:color="auto"/>
                  <w:color w:val="0000EE"/>
                  <w:w w:val="95"/>
                </w:rPr>
                <w:t>Material United States Federal Income Tax Considerations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Underwriting (Conflicts of Interest)</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Where You Can Find More Information</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Incorporation of Documents by Reference</w:t>
              </w:r>
            </w:hyperlink>
          </w:p>
        </w:tc>
        <w:tc>
          <w:tcPr>
            <w:tcW w:w="60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364"/>
        </w:trPr>
        <w:tc>
          <w:tcPr>
            <w:tcW w:w="4480" w:type="dxa"/>
            <w:vAlign w:val="bottom"/>
          </w:tcPr>
          <w:p>
            <w:pPr>
              <w:spacing w:after="0"/>
              <w:rPr>
                <w:sz w:val="24"/>
                <w:szCs w:val="24"/>
                <w:color w:val="auto"/>
              </w:rPr>
            </w:pPr>
          </w:p>
        </w:tc>
        <w:tc>
          <w:tcPr>
            <w:tcW w:w="6500" w:type="dxa"/>
            <w:vAlign w:val="bottom"/>
            <w:gridSpan w:val="3"/>
          </w:tcPr>
          <w:p>
            <w:pPr>
              <w:ind w:left="58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13"/>
        </w:trPr>
        <w:tc>
          <w:tcPr>
            <w:tcW w:w="4480" w:type="dxa"/>
            <w:vAlign w:val="bottom"/>
            <w:vMerge w:val="restart"/>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this Prospectus</w:t>
              </w:r>
            </w:hyperlink>
          </w:p>
        </w:tc>
        <w:tc>
          <w:tcPr>
            <w:tcW w:w="608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08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the Guarantor</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the Company</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Where You Can Find More Information</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Documents by Reference</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Cautionary Statement Regarding Forward-Looking Statements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Use of Proceeds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Debt Securities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Plan of Distribution</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Validity of the Securities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Experts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147320</wp:posOffset>
            </wp:positionV>
            <wp:extent cx="1114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77" w:lineRule="exact"/>
        <w:rPr>
          <w:sz w:val="20"/>
          <w:szCs w:val="20"/>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“Guarantor” or “Schlumberger Limited” refers to Schlumberger Limited, the ultimate parent of the Company;</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03" w:lineRule="exact"/>
        <w:rPr>
          <w:rFonts w:ascii="Arial" w:cs="Arial" w:eastAsia="Arial" w:hAnsi="Arial"/>
          <w:sz w:val="18"/>
          <w:szCs w:val="18"/>
          <w:color w:val="auto"/>
        </w:rPr>
      </w:pPr>
    </w:p>
    <w:p>
      <w:pPr>
        <w:ind w:left="760" w:hanging="212"/>
        <w:spacing w:after="0" w:line="26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118"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2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any related free writing prospectus issued by us or on our behalf. We have not, and the underwriter has not, authorized any person to provide you with additional or different information. The information contained or incorporated by reference in this prospectus supplement and the accompanying prospectus is accurate as of the date on the front cover of such documents only. Our business, properties, assets, results of operations or financial position may have changed since that date. Neither the delivery of this prospectus supplement nor of the accompanying prospectus, nor any sale made thereunder, shall under any circumstances imply that the information herein is correct as of any date subsequent to the date on the cover of such documents. We are not, and the underwriter is not, making an offer to sell the Notes in any jurisdiction where the offer or sale is not permitted.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supplement and the documents incorporated by reference herein contain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3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our forecasts or expectations regarding business outlook; growth for the Schlumberger Group as a whole and for each of its segments (and for specified products or geographic areas within each segment); oil and natural gas demand and production growth; oil and natural gas prices; pricing; our response to, and preparedness for, the COVID-19 pandemic; access to raw materials; improvements in operating procedures and technology; capital expenditures by us and the oil and gas industry; our business strategy and the business strategies of our customers; our digital strategy; our restructuring efforts and charges recorded as a result of such efforts; our effective tax rate; our Asset Performance Solutions projects, joint ventures and alliances; future global economic and geopolitical conditions; and future results of operations. These statements are subject to risks and uncertainties, including, but not limited to, changing global economic conditions; changes in exploration and production spending by our customers and changes in the level of oil and natural gas exploration and development; the results of operations and financial condition of our customers and suppliers, particularly during extended periods of low prices for crude oil and natural gas; our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our supply chain; production declines; our inability to recognize intended benefits from our business strategies and initiatives, such as digital or new energy, as well as our restructuring and structural cost reductions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 If one or more of these or other risks or uncertainties materialize (or the consequences of any such development changes), or should our underlying assumptions prove incorrect, actual outcomes may vary materially from those reflected in our forward-looking statements. Each forward-looking statement speaks only as of the date of the particular statement, and we undertake no obligation to publicly update or revise any forward-looking statements except as required by law.</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5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jc w:val="both"/>
        <w:ind w:left="300" w:right="440" w:firstLine="426"/>
        <w:spacing w:after="0" w:line="298" w:lineRule="auto"/>
        <w:rPr>
          <w:sz w:val="20"/>
          <w:szCs w:val="20"/>
          <w:color w:val="auto"/>
        </w:rPr>
      </w:pPr>
      <w:r>
        <w:rPr>
          <w:rFonts w:ascii="Arial" w:cs="Arial" w:eastAsia="Arial" w:hAnsi="Arial"/>
          <w:sz w:val="16"/>
          <w:szCs w:val="16"/>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2019 and its subsequent Quarterly Reports on Form 10-Q for the quarterly periods ended March 31, 2020 and June 30, 2020.</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Business</w:t>
      </w:r>
    </w:p>
    <w:p>
      <w:pPr>
        <w:spacing w:after="0" w:line="83" w:lineRule="exact"/>
        <w:rPr>
          <w:sz w:val="20"/>
          <w:szCs w:val="20"/>
          <w:color w:val="auto"/>
        </w:rPr>
      </w:pPr>
    </w:p>
    <w:p>
      <w:pPr>
        <w:ind w:left="300" w:right="160" w:firstLine="426"/>
        <w:spacing w:after="0" w:line="298" w:lineRule="auto"/>
        <w:rPr>
          <w:sz w:val="20"/>
          <w:szCs w:val="20"/>
          <w:color w:val="auto"/>
        </w:rPr>
      </w:pPr>
      <w:r>
        <w:rPr>
          <w:rFonts w:ascii="Arial" w:cs="Arial" w:eastAsia="Arial" w:hAnsi="Arial"/>
          <w:sz w:val="16"/>
          <w:szCs w:val="16"/>
          <w:color w:val="auto"/>
        </w:rPr>
        <w:t>We are the world’s leading provider of technology for reservoir characterization, drilling, production and processing to the oil and gas industry. With product sales and services in more than 120 countries, we supply the industry’s most comprehensive range of products and services, from exploration through production, and integrated pore-to-pipeline solutions that optimize hydrocarbon recovery to deliver reservoir performance sustainably. As of June 30, 2020, we employed approximately 85,000 people representing over 170 nationalities.</w:t>
      </w:r>
    </w:p>
    <w:p>
      <w:pPr>
        <w:spacing w:after="0" w:line="99"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We operate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we hold leading positions. The role of the Technologies is to support the Schlumberger Group in providing the best possible service to customers and to ensure that we remain at the forefront of technology development and services integration. The Technologies are collectively responsible for driving performance throughout their businesses; overseeing operational processes, resource allocation and personnel; and delivering superior financial results.</w:t>
      </w:r>
    </w:p>
    <w:p>
      <w:pPr>
        <w:spacing w:after="0" w:line="1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the Guarantor</w:t>
      </w:r>
    </w:p>
    <w:p>
      <w:pPr>
        <w:spacing w:after="0" w:line="83" w:lineRule="exact"/>
        <w:rPr>
          <w:sz w:val="20"/>
          <w:szCs w:val="20"/>
          <w:color w:val="auto"/>
        </w:rPr>
      </w:pPr>
    </w:p>
    <w:p>
      <w:pPr>
        <w:ind w:left="300" w:firstLine="426"/>
        <w:spacing w:after="0" w:line="256"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29" w:lineRule="exact"/>
        <w:rPr>
          <w:sz w:val="20"/>
          <w:szCs w:val="20"/>
          <w:color w:val="auto"/>
        </w:rPr>
      </w:pPr>
    </w:p>
    <w:p>
      <w:pPr>
        <w:ind w:left="300" w:right="140" w:firstLine="426"/>
        <w:spacing w:after="0" w:line="268" w:lineRule="auto"/>
        <w:rPr>
          <w:sz w:val="20"/>
          <w:szCs w:val="20"/>
          <w:color w:val="auto"/>
        </w:rPr>
      </w:pPr>
      <w:r>
        <w:rPr>
          <w:rFonts w:ascii="Arial" w:cs="Arial" w:eastAsia="Arial" w:hAnsi="Arial"/>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the Company</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77"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Activities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3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83"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Schlumberger Investment SA.</w:t>
            </w:r>
          </w:p>
        </w:tc>
      </w:tr>
      <w:tr>
        <w:trPr>
          <w:trHeight w:val="378"/>
        </w:trPr>
        <w:tc>
          <w:tcPr>
            <w:tcW w:w="3080" w:type="dxa"/>
            <w:vAlign w:val="bottom"/>
          </w:tcPr>
          <w:p>
            <w:pPr>
              <w:ind w:left="180"/>
              <w:spacing w:after="0"/>
              <w:rPr>
                <w:sz w:val="20"/>
                <w:szCs w:val="20"/>
                <w:color w:val="auto"/>
              </w:rPr>
            </w:pPr>
            <w:r>
              <w:rPr>
                <w:rFonts w:ascii="Arial" w:cs="Arial" w:eastAsia="Arial" w:hAnsi="Arial"/>
                <w:sz w:val="18"/>
                <w:szCs w:val="18"/>
                <w:color w:val="auto"/>
              </w:rPr>
              <w:t>Guarantor</w:t>
            </w:r>
          </w:p>
        </w:tc>
        <w:tc>
          <w:tcPr>
            <w:tcW w:w="7940" w:type="dxa"/>
            <w:vAlign w:val="bottom"/>
          </w:tcPr>
          <w:p>
            <w:pPr>
              <w:ind w:left="1140"/>
              <w:spacing w:after="0"/>
              <w:rPr>
                <w:sz w:val="20"/>
                <w:szCs w:val="20"/>
                <w:color w:val="auto"/>
              </w:rPr>
            </w:pPr>
            <w:r>
              <w:rPr>
                <w:rFonts w:ascii="Arial" w:cs="Arial" w:eastAsia="Arial" w:hAnsi="Arial"/>
                <w:sz w:val="18"/>
                <w:szCs w:val="18"/>
                <w:color w:val="auto"/>
              </w:rPr>
              <w:t>Schlumberger Limited.</w:t>
            </w:r>
          </w:p>
        </w:tc>
      </w:tr>
      <w:tr>
        <w:trPr>
          <w:trHeight w:val="372"/>
        </w:trPr>
        <w:tc>
          <w:tcPr>
            <w:tcW w:w="308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U.S.$350,000,000 principal amount of 2.650% Senior Notes due 2030. The Notes offered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1"/>
              </w:rPr>
              <w:t>hereby constitute a further issuance of, and form a single series with, the Existing Notes. See</w:t>
            </w:r>
          </w:p>
        </w:tc>
      </w:tr>
      <w:tr>
        <w:trPr>
          <w:trHeight w:val="222"/>
        </w:trPr>
        <w:tc>
          <w:tcPr>
            <w:tcW w:w="3080" w:type="dxa"/>
            <w:vAlign w:val="bottom"/>
          </w:tcPr>
          <w:p>
            <w:pPr>
              <w:spacing w:after="0"/>
              <w:rPr>
                <w:sz w:val="19"/>
                <w:szCs w:val="19"/>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“Description of Notes—General.”</w:t>
            </w:r>
          </w:p>
        </w:tc>
      </w:tr>
      <w:tr>
        <w:trPr>
          <w:trHeight w:val="364"/>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40" w:type="dxa"/>
            <w:vAlign w:val="bottom"/>
          </w:tcPr>
          <w:p>
            <w:pPr>
              <w:ind w:left="1140"/>
              <w:spacing w:after="0"/>
              <w:rPr>
                <w:sz w:val="20"/>
                <w:szCs w:val="20"/>
                <w:color w:val="auto"/>
              </w:rPr>
            </w:pPr>
            <w:r>
              <w:rPr>
                <w:rFonts w:ascii="Arial" w:cs="Arial" w:eastAsia="Arial" w:hAnsi="Arial"/>
                <w:sz w:val="18"/>
                <w:szCs w:val="18"/>
                <w:color w:val="auto"/>
              </w:rPr>
              <w:t>The Notes will mature on June 26, 2030.</w:t>
            </w:r>
          </w:p>
        </w:tc>
      </w:tr>
      <w:tr>
        <w:trPr>
          <w:trHeight w:val="372"/>
        </w:trPr>
        <w:tc>
          <w:tcPr>
            <w:tcW w:w="30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940" w:type="dxa"/>
            <w:vAlign w:val="bottom"/>
          </w:tcPr>
          <w:p>
            <w:pPr>
              <w:ind w:left="1140"/>
              <w:spacing w:after="0"/>
              <w:rPr>
                <w:sz w:val="20"/>
                <w:szCs w:val="20"/>
                <w:color w:val="auto"/>
              </w:rPr>
            </w:pPr>
            <w:r>
              <w:rPr>
                <w:rFonts w:ascii="Arial" w:cs="Arial" w:eastAsia="Arial" w:hAnsi="Arial"/>
                <w:sz w:val="18"/>
                <w:szCs w:val="18"/>
                <w:color w:val="auto"/>
                <w:w w:val="91"/>
              </w:rPr>
              <w:t>The Notes will bear interest at 2.650% per annum, and interest will be payable semi-annually</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3"/>
              </w:rPr>
              <w:t>on June 26 and December 26 of each year, commencing December 26, 2020. The interest</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payment to be made with respect to the Additional Notes on December 26, 2020 will include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interest deemed to have accrued from and including June 26, 2020, to, but excluding, the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0"/>
              </w:rPr>
              <w:t>settlement date of the Additional Notes. Such accrued interest must be paid by the purchasers</w:t>
            </w:r>
          </w:p>
        </w:tc>
      </w:tr>
      <w:tr>
        <w:trPr>
          <w:trHeight w:val="222"/>
        </w:trPr>
        <w:tc>
          <w:tcPr>
            <w:tcW w:w="3080" w:type="dxa"/>
            <w:vAlign w:val="bottom"/>
          </w:tcPr>
          <w:p>
            <w:pPr>
              <w:spacing w:after="0"/>
              <w:rPr>
                <w:sz w:val="19"/>
                <w:szCs w:val="19"/>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of the Additional Notes.</w:t>
            </w:r>
          </w:p>
        </w:tc>
      </w:tr>
      <w:tr>
        <w:trPr>
          <w:trHeight w:val="358"/>
        </w:trPr>
        <w:tc>
          <w:tcPr>
            <w:tcW w:w="3080" w:type="dxa"/>
            <w:vAlign w:val="bottom"/>
          </w:tcPr>
          <w:p>
            <w:pPr>
              <w:ind w:left="180"/>
              <w:spacing w:after="0"/>
              <w:rPr>
                <w:sz w:val="20"/>
                <w:szCs w:val="20"/>
                <w:color w:val="auto"/>
              </w:rPr>
            </w:pPr>
            <w:r>
              <w:rPr>
                <w:rFonts w:ascii="Arial" w:cs="Arial" w:eastAsia="Arial" w:hAnsi="Arial"/>
                <w:sz w:val="18"/>
                <w:szCs w:val="18"/>
                <w:color w:val="auto"/>
              </w:rPr>
              <w:t>Price</w:t>
            </w:r>
          </w:p>
        </w:tc>
        <w:tc>
          <w:tcPr>
            <w:tcW w:w="7940" w:type="dxa"/>
            <w:vAlign w:val="bottom"/>
          </w:tcPr>
          <w:p>
            <w:pPr>
              <w:ind w:left="1140"/>
              <w:spacing w:after="0"/>
              <w:rPr>
                <w:sz w:val="20"/>
                <w:szCs w:val="20"/>
                <w:color w:val="auto"/>
              </w:rPr>
            </w:pPr>
            <w:r>
              <w:rPr>
                <w:rFonts w:ascii="Arial" w:cs="Arial" w:eastAsia="Arial" w:hAnsi="Arial"/>
                <w:sz w:val="18"/>
                <w:szCs w:val="18"/>
                <w:color w:val="auto"/>
                <w:w w:val="91"/>
              </w:rPr>
              <w:t>The underwriter has agreed to purchase the Additional Notes at a price equal to 102.635%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principal amount offered hereby, which will result in approximately $360,181,875 of net</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proceeds to us (after deducting the estimated expenses of the offering payable by us but</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1"/>
              </w:rPr>
              <w:t>including the $1,159,375 of interest deemed to have accrued from June 26, 2020). The Notes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may be offered by the underwriter from time to time to purchasers directly or through agents,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or through brokers in brokerage transactions, or to dealers in negotiated transactions or in a</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combination of such methods of sale, at a fixed price or prices, which may be changed, or at</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market prices prevailing at the time of sale, at prices related to such prevailing market prices</w:t>
            </w:r>
          </w:p>
        </w:tc>
      </w:tr>
      <w:tr>
        <w:trPr>
          <w:trHeight w:val="222"/>
        </w:trPr>
        <w:tc>
          <w:tcPr>
            <w:tcW w:w="3080" w:type="dxa"/>
            <w:vAlign w:val="bottom"/>
          </w:tcPr>
          <w:p>
            <w:pPr>
              <w:spacing w:after="0"/>
              <w:rPr>
                <w:sz w:val="19"/>
                <w:szCs w:val="19"/>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or at negotiated prices. See “Underwriting (Conflicts of Interest)” for more information.</w:t>
            </w:r>
          </w:p>
        </w:tc>
      </w:tr>
      <w:tr>
        <w:trPr>
          <w:trHeight w:val="358"/>
        </w:trPr>
        <w:tc>
          <w:tcPr>
            <w:tcW w:w="308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The Guarantor will fully and unconditionally guarantee the principal of, and any premium</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and interest on, the Notes and the Company’s obligations under the indenture, as described</w:t>
            </w:r>
          </w:p>
        </w:tc>
      </w:tr>
      <w:tr>
        <w:trPr>
          <w:trHeight w:val="222"/>
        </w:trPr>
        <w:tc>
          <w:tcPr>
            <w:tcW w:w="3080" w:type="dxa"/>
            <w:vAlign w:val="bottom"/>
          </w:tcPr>
          <w:p>
            <w:pPr>
              <w:spacing w:after="0"/>
              <w:rPr>
                <w:sz w:val="19"/>
                <w:szCs w:val="19"/>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under “Description of the Notes—Guarantee.”</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Notes will not be guaranteed by any of the Guarantor’s subsidiaries.</w:t>
            </w:r>
          </w:p>
        </w:tc>
      </w:tr>
      <w:tr>
        <w:trPr>
          <w:trHeight w:val="377"/>
        </w:trPr>
        <w:tc>
          <w:tcPr>
            <w:tcW w:w="3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Minimum Denomination</w:t>
            </w:r>
          </w:p>
        </w:tc>
        <w:tc>
          <w:tcPr>
            <w:tcW w:w="79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U.S.$2,000 and integral multiples of U.S.$1,000 in excess thereof.</w:t>
            </w:r>
          </w:p>
        </w:tc>
      </w:tr>
      <w:tr>
        <w:trPr>
          <w:trHeight w:val="359"/>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0"/>
        </w:trPr>
        <w:tc>
          <w:tcPr>
            <w:tcW w:w="33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68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color w:val="auto"/>
                <w:w w:val="92"/>
              </w:rPr>
              <w:t>The Company may redeem some or all of the Notes at any time and from time to time at the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89"/>
              </w:rPr>
              <w:t>redemption prices described in this prospectus supplement plus accrued and unpaid interest to</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redemption date. See “Description of the Notes—Optional Redemption.”</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Tax Redemption</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6"/>
              </w:rPr>
              <w:t>In the event that, as a result of certain tax law changes, the Company (or the Guarantor)</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becomes obligated to pay additional amounts as described under “Description of the Notes—</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Additional Amounts,” the Company (or the Guarantor) may redeem all of the Notes prior to</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maturity at a redemption price equal to 100% of their principal amount plus accrued interest</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to the date of redemption as described under “Description of the Notes—Redemption upon</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Changes in Tax Law.”</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of Additional Amounts</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Any payments made by the Company, or the Guarantor under the Guarantee, will be made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without withholding or deduction for taxes imposed by any jurisdiction in which the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Company or the Guarantor is incorporated, organized or resident for tax purposes or through</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which a payment is made on the Notes on their behalf. If any such withholding or deduction</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6"/>
              </w:rPr>
              <w:t>is required with respect to Notes, the Company (or the Guarantor, if applicable) will pay,</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89"/>
              </w:rPr>
              <w:t>subject to certain exceptions, additional amounts necessary so that the net amount received by</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the beneficial owners after the withholding is not less than the amount that they would have</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received in the absence of the withholding.</w:t>
            </w:r>
          </w:p>
        </w:tc>
      </w:tr>
      <w:tr>
        <w:trPr>
          <w:trHeight w:val="453"/>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For more information on additional amounts and the situations in which the Company may be</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6"/>
              </w:rPr>
              <w:t>required to pay additional amounts, see “Description of the Notes—Additional Amounts.”</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Notes will rank equally and ratably with all other unsecured and unsubordinated</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indebtedness of the Company.</w:t>
            </w:r>
          </w:p>
        </w:tc>
      </w:tr>
      <w:tr>
        <w:trPr>
          <w:trHeight w:val="453"/>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5"/>
              </w:rPr>
              <w:t>The Guarantee will rank equally and ratably with all other unsecured and unsubordinated</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indebtedness of the Guarantor.</w:t>
            </w:r>
          </w:p>
        </w:tc>
      </w:tr>
      <w:tr>
        <w:trPr>
          <w:trHeight w:val="459"/>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See “Description of the Notes—Ranking of the Notes and Guarantee.”</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The Company will issue the Notes under an indenture with The Bank of New York Mellon,</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89"/>
              </w:rPr>
              <w:t>as trustee, dated December 3, 2013, as supplemented by the Second Supplemental Indenture,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7"/>
              </w:rPr>
              <w:t>dated June 26, 2020 and an officer’s certificate to be dated as of the closing date of this</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offering (as supplemented, the “Indenture”). The Indenture will, among other things, restrict</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ability of the Guarantor, the Company and the Guarantor’s other subsidiaries to:</w:t>
            </w:r>
          </w:p>
        </w:tc>
      </w:tr>
      <w:tr>
        <w:trPr>
          <w:trHeight w:val="284"/>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incur indebtedness secured by liens on specified restricted properties; and</w:t>
            </w:r>
          </w:p>
        </w:tc>
      </w:tr>
      <w:tr>
        <w:trPr>
          <w:trHeight w:val="310"/>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consolidate or merge under specific circumstances.</w:t>
            </w:r>
          </w:p>
        </w:tc>
      </w:tr>
      <w:tr>
        <w:trPr>
          <w:trHeight w:val="26"/>
        </w:trPr>
        <w:tc>
          <w:tcPr>
            <w:tcW w:w="3340" w:type="dxa"/>
            <w:vAlign w:val="bottom"/>
            <w:tcBorders>
              <w:left w:val="single" w:sz="8" w:color="auto"/>
              <w:bottom w:val="single" w:sz="8" w:color="auto"/>
            </w:tcBorders>
          </w:tcPr>
          <w:p>
            <w:pPr>
              <w:spacing w:after="0"/>
              <w:rPr>
                <w:sz w:val="2"/>
                <w:szCs w:val="2"/>
                <w:color w:val="auto"/>
              </w:rPr>
            </w:pPr>
          </w:p>
        </w:tc>
        <w:tc>
          <w:tcPr>
            <w:tcW w:w="7680" w:type="dxa"/>
            <w:vAlign w:val="bottom"/>
            <w:tcBorders>
              <w:bottom w:val="single" w:sz="8" w:color="auto"/>
              <w:right w:val="single" w:sz="8" w:color="auto"/>
            </w:tcBorders>
          </w:tcPr>
          <w:p>
            <w:pPr>
              <w:spacing w:after="0"/>
              <w:rPr>
                <w:sz w:val="2"/>
                <w:szCs w:val="2"/>
                <w:color w:val="auto"/>
              </w:rPr>
            </w:pPr>
          </w:p>
        </w:tc>
      </w:tr>
      <w:tr>
        <w:trPr>
          <w:trHeight w:val="359"/>
        </w:trPr>
        <w:tc>
          <w:tcPr>
            <w:tcW w:w="3340" w:type="dxa"/>
            <w:vAlign w:val="bottom"/>
          </w:tcPr>
          <w:p>
            <w:pPr>
              <w:spacing w:after="0"/>
              <w:rPr>
                <w:sz w:val="24"/>
                <w:szCs w:val="24"/>
                <w:color w:val="auto"/>
              </w:rPr>
            </w:pPr>
          </w:p>
        </w:tc>
        <w:tc>
          <w:tcPr>
            <w:tcW w:w="7680" w:type="dxa"/>
            <w:vAlign w:val="bottom"/>
          </w:tcPr>
          <w:p>
            <w:pPr>
              <w:ind w:left="20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6"/>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For more details, see “Description of the Notes—Certain Covenants.”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The net proceeds from the offering will be used for general corporate purposes, including the</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repayment of outstanding commercial paper borrowings. See “Use of Proceeds.”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Absence of a Public Market for the Notes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The Notes will not be listed on any securities exchange and there may be no market for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Notes. There can be no assurances as to the maintenance or liquidity of any market for the</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Notes.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The Company may, from time to time, without notice to or the consent of the registered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89"/>
              </w:rPr>
              <w:t>holders of the Notes, create and issue additional Notes having the same terms as, and ranking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equally and ratably with, any of the outstanding Notes in all respects. Such additional Notes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will also be fully and unconditionally guaranteed by the Guarantor (on the same terms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with the same ranking as the Guarantee for the Notes). See “Description of the Notes—</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Assumption by a Subsidiary</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Any subsidiary of the Guarantor may, at its option, assume the obligations of the Company as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the issuer of the Notes and the Company will be released from its liability as obligor under</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Notes. See “Description of the Notes—Assumption by a Subsidiary.”</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The Indenture, including the Guarantee contained therein, and the Notes shall be governed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by, and construed in accordance with, the laws of the State of New York. The application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provisions of articles 470-1 to 470-19 (inclusive) of the Luxembourg law of 10 August</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1915 on commercial companies, as amended, is hereby expressly excluded.</w:t>
            </w:r>
          </w:p>
        </w:tc>
      </w:tr>
      <w:tr>
        <w:trPr>
          <w:trHeight w:val="36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1"/>
              </w:rPr>
              <w:t>Trustee, Registrar, Paying Agent and Transfer Agent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Bank of New York Mellon.</w:t>
            </w:r>
          </w:p>
        </w:tc>
      </w:tr>
      <w:tr>
        <w:trPr>
          <w:trHeight w:val="372"/>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An investment in the Notes involves risk. You should carefully consider the information set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forth in the section entitled “Risk Factors” beginning on page S-5 of this prospectus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supplement and in the documents we have incorporated by reference before deciding whether</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to invest in the Notes.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Conflicts of Interest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Certain affiliates of the underwriter may be holders of our commercial paper. As a result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the anticipated use of proceeds here, one or more affiliates of the underwriter may receive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portion of the net proceeds from the offering of the Notes offered hereby in the form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repayment of indebtedness. Accordingly, the offering of the Notes is being made pursuant to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Rule 5121 of the Financial Industry Regulatory Authority, Inc. Pursuant to this rule,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appointment of a qualified independent underwriter is not necessary in connection with this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offering, because the conditions of Rule 5121(a)(1)(C) are satisfied. See “Underwriting</w:t>
            </w:r>
          </w:p>
        </w:tc>
      </w:tr>
      <w:tr>
        <w:trPr>
          <w:trHeight w:val="221"/>
        </w:trPr>
        <w:tc>
          <w:tcPr>
            <w:tcW w:w="4040" w:type="dxa"/>
            <w:vAlign w:val="bottom"/>
            <w:tcBorders>
              <w:left w:val="single" w:sz="8" w:color="auto"/>
              <w:bottom w:val="single" w:sz="8" w:color="auto"/>
            </w:tcBorders>
          </w:tcPr>
          <w:p>
            <w:pPr>
              <w:spacing w:after="0"/>
              <w:rPr>
                <w:sz w:val="19"/>
                <w:szCs w:val="19"/>
                <w:color w:val="auto"/>
              </w:rPr>
            </w:pPr>
          </w:p>
        </w:tc>
        <w:tc>
          <w:tcPr>
            <w:tcW w:w="6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(Conflicts of Interest).”</w:t>
            </w:r>
          </w:p>
        </w:tc>
      </w:tr>
      <w:tr>
        <w:trPr>
          <w:trHeight w:val="359"/>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2019 and its Quarterly Reports on Form 10-Q for the quarterly periods ended March 31, 2020 and June 30, 2020, including the risk factor disclosed in Item 8.01 of the Guarantor’s Current Report on Form 8-K filed on April 17, 2020,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reputation, financial condition, results of operations, cash flows and prospects.</w:t>
      </w:r>
    </w:p>
    <w:p>
      <w:pPr>
        <w:spacing w:after="0" w:line="104"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b w:val="1"/>
          <w:bCs w:val="1"/>
          <w:color w:val="auto"/>
        </w:rPr>
        <w:t>The COVID-19 pandemic has significantly reduced demand for our services, and has had, and may continue to have, a material adverse impact on our financial condition, results of operations and cash flows.</w:t>
      </w:r>
    </w:p>
    <w:p>
      <w:pPr>
        <w:spacing w:after="0" w:line="3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effects of the COVID-19 (coronavirus) pandemic, including actions taken by businesses and governments, have resulted in a significant and swift reduction in international and U.S. economic activity. These effects have adversely affected the demand for oil and natural gas, as well as for our services and products. The collapse in the demand for oil caused by this unprecedented global health and economic crisis, coupled with oil oversupply, has had, and is reasonably likely to continue to have, a material adverse impact on the demand for our services and products. The decline in our customers’ demand for our services and products has had, and is likely to continue to have, a material adverse impact on our financial condition, results of operations and cash flows.</w:t>
      </w:r>
    </w:p>
    <w:p>
      <w:pPr>
        <w:spacing w:after="0" w:line="130"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While the full impact of the COVID-19 outbreak is not yet known, we are closely monitoring the effects of the pandemic on commodity demands and on our customers,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9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extent to which our operating and financial results are affected by COVID-19 will depend on various factors and consequences beyond our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other risk factors that we identify in our Annual Report on Form 10-K for the fiscal year ended December 31, 2019. COVID-19 may also materially adversely affect our operating and financial results in a manner that is not currently known to us or that we do not currently consider to present significant risks to our operations.</w:t>
      </w:r>
    </w:p>
    <w:p>
      <w:pPr>
        <w:spacing w:after="0" w:line="124" w:lineRule="exact"/>
        <w:rPr>
          <w:sz w:val="20"/>
          <w:szCs w:val="20"/>
          <w:color w:val="auto"/>
        </w:rPr>
      </w:pPr>
    </w:p>
    <w:p>
      <w:pPr>
        <w:ind w:left="120" w:right="520"/>
        <w:spacing w:after="0" w:line="275" w:lineRule="auto"/>
        <w:rPr>
          <w:sz w:val="20"/>
          <w:szCs w:val="20"/>
          <w:color w:val="auto"/>
        </w:rPr>
      </w:pPr>
      <w:r>
        <w:rPr>
          <w:rFonts w:ascii="Arial" w:cs="Arial" w:eastAsia="Arial" w:hAnsi="Arial"/>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3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color w:val="auto"/>
        </w:rPr>
        <w:t>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and the Guarantee will be subordinated to any secured indebtedness of the Company and the Guarantor.</w:t>
      </w:r>
    </w:p>
    <w:p>
      <w:pPr>
        <w:spacing w:after="0" w:line="83"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Guarantee and the Notes will be structurally subordinated to the obligations of the Guarantor’s subsidiaries other than the Company.</w:t>
      </w:r>
    </w:p>
    <w:p>
      <w:pPr>
        <w:spacing w:after="0" w:line="10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0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result, the Guarantee will be structurally subordinated to the obligations and liabilities of all of the Guarantor’s subsidiaries (other than the Company’s obligations and liabilities with respect to the Notes). As of June 30, 2020, the Guarantor had accounts payable and accrued liabilities of approximately U.S.$9.8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trading market for the Notes may not be maintained, in which case you may not be able to resell the Notes.</w:t>
      </w:r>
    </w:p>
    <w:p>
      <w:pPr>
        <w:spacing w:after="0" w:line="8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do not intend to list the Notes on any securities exchange or automated quotation system. As a result, an active or liquid trading market for the Notes may not be maintained.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Company is organized under the laws of Luxembourg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estimate that the net proceeds (after deducting the estimated expenses of the offering payable by us but including the interest deemed to have accrued from June 26, 2020) from the sale of the Notes will be approximately U.S.$360,181,875. The net proceeds from the offering will be used for general corporate purposes, including the repayment of outstanding commercial paper borrowings.</w:t>
      </w:r>
    </w:p>
    <w:p>
      <w:pPr>
        <w:spacing w:after="0" w:line="12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Certain affiliates of the underwriter may be holders of our commercial paper. As a result of the anticipated use of proceeds here, one or more affiliates of the underwriter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 See “Underwriting (Conflicts of Interest).”</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The following table sets forth the Guarantor’s and its consolidated subsidiaries’ unaudited capitalization as of June 30, 2020 on an actual basis and as adjusted to give effect to the sale of the Notes in this offering.</w:t>
      </w:r>
    </w:p>
    <w:p>
      <w:pPr>
        <w:spacing w:after="0" w:line="118" w:lineRule="exact"/>
        <w:rPr>
          <w:sz w:val="20"/>
          <w:szCs w:val="20"/>
          <w:color w:val="auto"/>
        </w:rPr>
      </w:pPr>
    </w:p>
    <w:p>
      <w:pPr>
        <w:ind w:left="120" w:right="20" w:firstLine="440"/>
        <w:spacing w:after="0" w:line="306" w:lineRule="auto"/>
        <w:rPr>
          <w:sz w:val="20"/>
          <w:szCs w:val="20"/>
          <w:color w:val="auto"/>
        </w:rPr>
      </w:pPr>
      <w:r>
        <w:rPr>
          <w:rFonts w:ascii="Arial" w:cs="Arial" w:eastAsia="Arial" w:hAnsi="Arial"/>
          <w:sz w:val="16"/>
          <w:szCs w:val="16"/>
          <w:color w:val="auto"/>
        </w:rPr>
        <w:t>This table should be read in conjunction with the Guarantor’s and its consolidated subsidiaries’ unaudited consolidated financial statements and the related notes as reported in the Guarantor’s Quarterly Report on Form 10-Q for the quarterly period ended June 30, 2020, which is incorporated by reference in this prospectus supplement and accompanying prospectus. See “Incorporation of Documents by Reference.”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80"/>
              <w:spacing w:after="0"/>
              <w:rPr>
                <w:sz w:val="20"/>
                <w:szCs w:val="20"/>
                <w:color w:val="auto"/>
              </w:rPr>
            </w:pPr>
            <w:r>
              <w:rPr>
                <w:rFonts w:ascii="Arial" w:cs="Arial" w:eastAsia="Arial" w:hAnsi="Arial"/>
                <w:sz w:val="13"/>
                <w:szCs w:val="13"/>
                <w:b w:val="1"/>
                <w:bCs w:val="1"/>
                <w:color w:val="auto"/>
              </w:rPr>
              <w:t>As of June 30, 2020</w:t>
            </w:r>
          </w:p>
        </w:tc>
      </w:tr>
      <w:tr>
        <w:trPr>
          <w:trHeight w:val="142"/>
        </w:trPr>
        <w:tc>
          <w:tcPr>
            <w:tcW w:w="50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rPr>
              <w:t>Actual</w:t>
            </w:r>
          </w:p>
        </w:tc>
        <w:tc>
          <w:tcPr>
            <w:tcW w:w="7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9"/>
              </w:rPr>
              <w:t>As Adjusted</w:t>
            </w:r>
          </w:p>
        </w:tc>
        <w:tc>
          <w:tcPr>
            <w:tcW w:w="6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ind w:left="160"/>
              <w:spacing w:after="0" w:line="142" w:lineRule="exact"/>
              <w:rPr>
                <w:sz w:val="20"/>
                <w:szCs w:val="20"/>
                <w:color w:val="auto"/>
              </w:rPr>
            </w:pPr>
            <w:r>
              <w:rPr>
                <w:rFonts w:ascii="Arial" w:cs="Arial" w:eastAsia="Arial" w:hAnsi="Arial"/>
                <w:sz w:val="13"/>
                <w:szCs w:val="13"/>
                <w:b w:val="1"/>
                <w:bCs w:val="1"/>
                <w:color w:val="auto"/>
              </w:rPr>
              <w:t>(dollars in millions)</w:t>
            </w:r>
          </w:p>
        </w:tc>
        <w:tc>
          <w:tcPr>
            <w:tcW w:w="6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w w:val="96"/>
              </w:rPr>
              <w:t>Short term borrowings and current portion of long-term debt</w:t>
            </w:r>
          </w:p>
        </w:tc>
        <w:tc>
          <w:tcPr>
            <w:tcW w:w="4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603</w:t>
            </w: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16,763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16,763</w:t>
            </w:r>
          </w:p>
        </w:tc>
      </w:tr>
      <w:tr>
        <w:trPr>
          <w:trHeight w:val="223"/>
        </w:trPr>
        <w:tc>
          <w:tcPr>
            <w:tcW w:w="5040" w:type="dxa"/>
            <w:vAlign w:val="bottom"/>
          </w:tcPr>
          <w:p>
            <w:pPr>
              <w:ind w:left="420"/>
              <w:spacing w:after="0"/>
              <w:rPr>
                <w:sz w:val="20"/>
                <w:szCs w:val="20"/>
                <w:color w:val="auto"/>
              </w:rPr>
            </w:pPr>
            <w:r>
              <w:rPr>
                <w:rFonts w:ascii="Arial" w:cs="Arial" w:eastAsia="Arial" w:hAnsi="Arial"/>
                <w:sz w:val="18"/>
                <w:szCs w:val="18"/>
                <w:color w:val="auto"/>
              </w:rPr>
              <w:t>Notes offered hereby</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17,366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17,716</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Schlumberger Limited stockholders’ equity</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12,040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12,040</w:t>
            </w: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29,406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29,756</w:t>
            </w:r>
          </w:p>
        </w:tc>
      </w:tr>
      <w:tr>
        <w:trPr>
          <w:trHeight w:val="20"/>
        </w:trPr>
        <w:tc>
          <w:tcPr>
            <w:tcW w:w="5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5040" w:type="dxa"/>
            <w:vAlign w:val="bottom"/>
          </w:tcPr>
          <w:p>
            <w:pPr>
              <w:spacing w:after="0"/>
              <w:rPr>
                <w:sz w:val="24"/>
                <w:szCs w:val="24"/>
                <w:color w:val="auto"/>
              </w:rPr>
            </w:pPr>
          </w:p>
        </w:tc>
        <w:tc>
          <w:tcPr>
            <w:tcW w:w="4360" w:type="dxa"/>
            <w:vAlign w:val="bottom"/>
            <w:gridSpan w:val="2"/>
          </w:tcPr>
          <w:p>
            <w:pPr>
              <w:jc w:val="right"/>
              <w:ind w:right="3780"/>
              <w:spacing w:after="0"/>
              <w:rPr>
                <w:sz w:val="20"/>
                <w:szCs w:val="20"/>
                <w:color w:val="auto"/>
              </w:rPr>
            </w:pPr>
            <w:r>
              <w:rPr>
                <w:rFonts w:ascii="Arial" w:cs="Arial" w:eastAsia="Arial" w:hAnsi="Arial"/>
                <w:sz w:val="18"/>
                <w:szCs w:val="18"/>
                <w:color w:val="auto"/>
              </w:rPr>
              <w:t>S-9</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Schlumberger Investment SA (the “Company”) is offering U.S.$350,000,000 principal amount of its 2.650% Senior Notes due 2030 (the “Notes”). The Notes are to be issued under an indenture, dated December 3, 2013, as supplemented by the Second Supplemental Indenture, dated June 26, 2020 and an officer’s certificate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10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Notes offered hereby constitute a further issuance of the 2.650% Senior Notes due 2030, of which $900,000,000 aggregate principal amount was issued on June 26, 2020 (the “Existing Notes”). The Notes offered hereby are also referred to herein as the “Additional Notes.” The Additional Notes will form a single series with, and have the same terms (other than the initial offering price and the issue date), as the Existing Notes. Upon settlement, the Additional Notes will have the same CUSIP and will trade interchangeably with the Existing Notes. We expect the Additional Notes and the Existing Notes to be fungible for U.S. federal income tax purposes. Immediately after giving effect to the issuance of the Notes offered hereby, we will have $1,250,000,000 aggregate principal amount outstanding of 2.650% Senior Notes due 2030.</w:t>
      </w:r>
    </w:p>
    <w:p>
      <w:pPr>
        <w:spacing w:after="0" w:line="106"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Additional Notes and the Existing Notes will constitute a single series of debt securities under the Indenture.</w:t>
      </w:r>
    </w:p>
    <w:p>
      <w:pPr>
        <w:spacing w:after="0" w:line="126"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26"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26" w:lineRule="exact"/>
        <w:rPr>
          <w:sz w:val="20"/>
          <w:szCs w:val="20"/>
          <w:color w:val="auto"/>
        </w:rPr>
      </w:pPr>
    </w:p>
    <w:p>
      <w:pPr>
        <w:ind w:left="120" w:right="500" w:firstLine="440"/>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General</w:t>
      </w:r>
    </w:p>
    <w:p>
      <w:pPr>
        <w:spacing w:after="0" w:line="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Notes offered hereby are initially issuable in an aggregate principal amount of U.S.$350,000,000 and will mature on June 26, 2030. Interest on the Notes will be 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06" w:lineRule="exact"/>
        <w:rPr>
          <w:sz w:val="20"/>
          <w:szCs w:val="20"/>
          <w:color w:val="auto"/>
        </w:rPr>
      </w:pPr>
    </w:p>
    <w:p>
      <w:pPr>
        <w:ind w:left="120" w:right="340" w:firstLine="440"/>
        <w:spacing w:after="0" w:line="268" w:lineRule="auto"/>
        <w:rPr>
          <w:sz w:val="20"/>
          <w:szCs w:val="20"/>
          <w:color w:val="auto"/>
        </w:rPr>
      </w:pPr>
      <w:r>
        <w:rPr>
          <w:rFonts w:ascii="Arial" w:cs="Arial" w:eastAsia="Arial" w:hAnsi="Arial"/>
          <w:sz w:val="18"/>
          <w:szCs w:val="18"/>
          <w:color w:val="auto"/>
        </w:rPr>
        <w:t>The Company may create and issue additional Notes under the Indenture with the same terms as the Notes offered hereby (other than the date of issuance and in certain circumstances the date from which interest thereon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40"/>
          </w:cols>
          <w:pgMar w:left="32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will begin to accrue). The Existing Notes, the Additional Notes, and any additional Notes subsequently issued by the Company under the Indenture will be treated as a single class for all purposes under the Indenture, including, without limitation, waivers, amendments and redemptions. See “—Further Issuances.”</w:t>
      </w:r>
    </w:p>
    <w:p>
      <w:pPr>
        <w:spacing w:after="0" w:line="126" w:lineRule="exact"/>
        <w:rPr>
          <w:sz w:val="20"/>
          <w:szCs w:val="20"/>
          <w:color w:val="auto"/>
        </w:rPr>
      </w:pPr>
    </w:p>
    <w:p>
      <w:pPr>
        <w:ind w:left="120" w:right="380" w:firstLine="440"/>
        <w:spacing w:after="0" w:line="268" w:lineRule="auto"/>
        <w:rPr>
          <w:sz w:val="20"/>
          <w:szCs w:val="20"/>
          <w:color w:val="auto"/>
        </w:rPr>
      </w:pPr>
      <w:r>
        <w:rPr>
          <w:rFonts w:ascii="Arial" w:cs="Arial" w:eastAsia="Arial" w:hAnsi="Arial"/>
          <w:sz w:val="18"/>
          <w:szCs w:val="18"/>
          <w:color w:val="auto"/>
        </w:rPr>
        <w:t>The Notes will be issued only in registered form without interest coupons, in minimum denominations of U.S.$2,000 and in integral multiples of U.S.$1,000 in excess thereof.</w:t>
      </w:r>
    </w:p>
    <w:p>
      <w:pPr>
        <w:spacing w:after="0" w:line="11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Notes will bear interest at 2.650% per annum. Interest on the Notes will accrue from June 26, 2020 and will be payable by the Company on June 26 and December 26 of each year, beginning on December 26, 2020 to the person in whose name such Note is registered, subject to certain exceptions as provided in the Indenture, at the close of business on the June 11 and December 11 immediately preceding such interest payment date (whether or not a business day). The interest payment to be made with respect to the Additional Notes on December 26, 2020 will include interest deemed to have accrued from and including June 26, 2020, to, but excluding, the settlement date of the Additional Notes. Such accrued interest must be paid by the purchasers of the Additional Notes.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not subject to any mandatory redemption or any sinking fund provision.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left="120" w:right="40" w:firstLine="440"/>
        <w:spacing w:after="0" w:line="335" w:lineRule="auto"/>
        <w:rPr>
          <w:sz w:val="20"/>
          <w:szCs w:val="20"/>
          <w:color w:val="auto"/>
        </w:rPr>
      </w:pPr>
      <w:r>
        <w:rPr>
          <w:rFonts w:ascii="Arial" w:cs="Arial" w:eastAsia="Arial" w:hAnsi="Arial"/>
          <w:sz w:val="15"/>
          <w:szCs w:val="15"/>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Schlumberger Limited will:</w:t>
      </w:r>
    </w:p>
    <w:p>
      <w:pPr>
        <w:spacing w:after="0" w:line="77" w:lineRule="exact"/>
        <w:rPr>
          <w:sz w:val="20"/>
          <w:szCs w:val="20"/>
          <w:color w:val="auto"/>
        </w:rPr>
      </w:pPr>
    </w:p>
    <w:p>
      <w:pPr>
        <w:ind w:left="760" w:right="60" w:hanging="212"/>
        <w:spacing w:after="0" w:line="325"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1" w:lineRule="exact"/>
        <w:rPr>
          <w:rFonts w:ascii="Arial" w:cs="Arial" w:eastAsia="Arial" w:hAnsi="Arial"/>
          <w:sz w:val="16"/>
          <w:szCs w:val="16"/>
          <w:color w:val="auto"/>
        </w:rPr>
      </w:pPr>
    </w:p>
    <w:p>
      <w:pPr>
        <w:ind w:left="760" w:right="100" w:hanging="212"/>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Notes and Guarantee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w:t>
      </w:r>
    </w:p>
    <w:p>
      <w:pPr>
        <w:spacing w:after="0" w:line="77" w:lineRule="exact"/>
        <w:rPr>
          <w:sz w:val="20"/>
          <w:szCs w:val="20"/>
          <w:color w:val="auto"/>
        </w:rPr>
      </w:pPr>
    </w:p>
    <w:p>
      <w:pPr>
        <w:ind w:left="760" w:right="340" w:hanging="212"/>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37" w:lineRule="exact"/>
        <w:rPr>
          <w:rFonts w:ascii="Arial" w:cs="Arial" w:eastAsia="Arial" w:hAnsi="Arial"/>
          <w:sz w:val="18"/>
          <w:szCs w:val="18"/>
          <w:color w:val="auto"/>
        </w:rPr>
      </w:pPr>
    </w:p>
    <w:p>
      <w:pPr>
        <w:ind w:left="760" w:right="1000" w:hanging="212"/>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left="120" w:firstLine="440"/>
        <w:spacing w:after="0" w:line="317" w:lineRule="auto"/>
        <w:rPr>
          <w:sz w:val="20"/>
          <w:szCs w:val="20"/>
          <w:color w:val="auto"/>
        </w:rPr>
      </w:pPr>
      <w:r>
        <w:rPr>
          <w:rFonts w:ascii="Arial" w:cs="Arial" w:eastAsia="Arial" w:hAnsi="Arial"/>
          <w:sz w:val="15"/>
          <w:szCs w:val="15"/>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or therein (each, a “Relevant Tax Jurisdiction”) or (2) any jurisdiction from or through which payment is made or deemed made or in which the Company or a Guarantor is doing or deemed to be doing business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4" w:lineRule="exact"/>
        <w:rPr>
          <w:sz w:val="20"/>
          <w:szCs w:val="20"/>
          <w:color w:val="auto"/>
        </w:rPr>
      </w:pPr>
    </w:p>
    <w:p>
      <w:pPr>
        <w:ind w:left="1080" w:right="100" w:hanging="532"/>
        <w:spacing w:after="0" w:line="294"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Notes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20"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1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76"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11"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1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Notes or the Guarantee;</w:t>
      </w:r>
    </w:p>
    <w:p>
      <w:pPr>
        <w:spacing w:after="0" w:line="99" w:lineRule="exact"/>
        <w:rPr>
          <w:rFonts w:ascii="Arial" w:cs="Arial" w:eastAsia="Arial" w:hAnsi="Arial"/>
          <w:sz w:val="16"/>
          <w:szCs w:val="16"/>
          <w:color w:val="auto"/>
        </w:rPr>
      </w:pPr>
    </w:p>
    <w:p>
      <w:pPr>
        <w:ind w:left="1080" w:right="60" w:hanging="532"/>
        <w:spacing w:after="0" w:line="29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2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Notes, or the Indenture, Guarantee or any other document or instrument referred to therein.</w:t>
      </w:r>
    </w:p>
    <w:p>
      <w:pPr>
        <w:spacing w:after="0" w:line="9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the Company or the Guarantor, as the case may be, becomes aware that it will be obligated to pay Additional Amounts with respect to any payment under or with respect to its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0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04" w:lineRule="exact"/>
        <w:rPr>
          <w:sz w:val="20"/>
          <w:szCs w:val="20"/>
          <w:color w:val="auto"/>
        </w:rPr>
      </w:pPr>
    </w:p>
    <w:p>
      <w:pPr>
        <w:jc w:val="both"/>
        <w:ind w:left="120" w:right="60" w:firstLine="440"/>
        <w:spacing w:after="0" w:line="256"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shall be deemed to include mention of the payment of Additional Amounts to the extent that, in such context, Additional Amounts are, were or would be payable in respect thereof.</w:t>
      </w:r>
    </w:p>
    <w:p>
      <w:pPr>
        <w:spacing w:after="0" w:line="129"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Notwithstanding any provision herein or in the Indenture, the Notes or the Guarantee to the contrary, none of the Trustee, the Registrar, any transfer agent or any Paying Agent shall be required to determine the identity of a beneficial owner or be liable for any determination thereof by the Company or the Guarantor.</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left="120" w:right="200" w:firstLine="440"/>
        <w:spacing w:after="0" w:line="268" w:lineRule="auto"/>
        <w:rPr>
          <w:sz w:val="20"/>
          <w:szCs w:val="20"/>
          <w:color w:val="auto"/>
        </w:rPr>
      </w:pPr>
      <w:r>
        <w:rPr>
          <w:rFonts w:ascii="Arial" w:cs="Arial" w:eastAsia="Arial" w:hAnsi="Arial"/>
          <w:sz w:val="18"/>
          <w:szCs w:val="18"/>
          <w:color w:val="auto"/>
        </w:rPr>
        <w:t>Prior to March 26, 2030 (three months prior to their maturity date), the Notes may be redeemed in whole at any time or in part from time to time, at the Company’s option, at a redemption price equal to the greater of:</w:t>
      </w:r>
    </w:p>
    <w:p>
      <w:pPr>
        <w:spacing w:after="0" w:line="37" w:lineRule="exact"/>
        <w:rPr>
          <w:sz w:val="20"/>
          <w:szCs w:val="20"/>
          <w:color w:val="auto"/>
        </w:rPr>
      </w:pPr>
    </w:p>
    <w:p>
      <w:pPr>
        <w:ind w:left="760" w:hanging="21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03" w:lineRule="exact"/>
        <w:rPr>
          <w:rFonts w:ascii="Arial" w:cs="Arial" w:eastAsia="Arial" w:hAnsi="Arial"/>
          <w:sz w:val="18"/>
          <w:szCs w:val="18"/>
          <w:color w:val="auto"/>
        </w:rPr>
      </w:pPr>
    </w:p>
    <w:p>
      <w:pPr>
        <w:jc w:val="both"/>
        <w:ind w:left="760" w:right="240" w:hanging="212"/>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such Notes to be redeemed that would have been payable in respect of such Notes calculated as if the maturity date of such Notes was March 26, 2030 (three months prior to their maturity date) (not including any portion of</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such payments of interest accrued to the date of redemption) discounted to the date of redemption on a semiannual basis (assuming a 360-day year consisting of twelve 30-day months) at the applicable treasury rate plus 30 basis points, plus accrued and unpaid interest on the principal amount being redeemed to (but not including) the redemption date.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“treasury rate” means, with respect to any redemption date:</w:t>
      </w:r>
    </w:p>
    <w:p>
      <w:pPr>
        <w:spacing w:after="0" w:line="77" w:lineRule="exact"/>
        <w:rPr>
          <w:sz w:val="20"/>
          <w:szCs w:val="20"/>
          <w:color w:val="auto"/>
        </w:rPr>
      </w:pPr>
    </w:p>
    <w:p>
      <w:pPr>
        <w:ind w:left="760" w:hanging="212"/>
        <w:spacing w:after="0" w:line="291"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25" w:lineRule="exact"/>
        <w:rPr>
          <w:rFonts w:ascii="Arial" w:cs="Arial" w:eastAsia="Arial" w:hAnsi="Arial"/>
          <w:sz w:val="16"/>
          <w:szCs w:val="16"/>
          <w:color w:val="auto"/>
        </w:rPr>
      </w:pPr>
    </w:p>
    <w:p>
      <w:pPr>
        <w:ind w:left="760" w:right="200" w:hanging="212"/>
        <w:spacing w:after="0" w:line="335"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58" w:lineRule="exact"/>
        <w:rPr>
          <w:sz w:val="20"/>
          <w:szCs w:val="20"/>
          <w:color w:val="auto"/>
        </w:rPr>
      </w:pPr>
    </w:p>
    <w:p>
      <w:pPr>
        <w:ind w:left="120" w:right="620" w:firstLine="440"/>
        <w:spacing w:after="0" w:line="306" w:lineRule="auto"/>
        <w:rPr>
          <w:sz w:val="20"/>
          <w:szCs w:val="20"/>
          <w:color w:val="auto"/>
        </w:rPr>
      </w:pPr>
      <w:r>
        <w:rPr>
          <w:rFonts w:ascii="Arial" w:cs="Arial" w:eastAsia="Arial" w:hAnsi="Arial"/>
          <w:sz w:val="16"/>
          <w:szCs w:val="16"/>
          <w:color w:val="auto"/>
        </w:rPr>
        <w:t>Notwithstanding the foregoing, commencing on March 26, 2030 (three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93" w:lineRule="exact"/>
        <w:rPr>
          <w:sz w:val="20"/>
          <w:szCs w:val="20"/>
          <w:color w:val="auto"/>
        </w:rPr>
      </w:pPr>
    </w:p>
    <w:p>
      <w:pPr>
        <w:ind w:left="120" w:right="240"/>
        <w:spacing w:after="0" w:line="298" w:lineRule="auto"/>
        <w:rPr>
          <w:sz w:val="20"/>
          <w:szCs w:val="20"/>
          <w:color w:val="auto"/>
        </w:rPr>
      </w:pPr>
      <w:r>
        <w:rPr>
          <w:rFonts w:ascii="Arial" w:cs="Arial" w:eastAsia="Arial" w:hAnsi="Arial"/>
          <w:sz w:val="16"/>
          <w:szCs w:val="16"/>
          <w:color w:val="auto"/>
        </w:rPr>
        <w:t>“comparable treasury issue” means the U.S. Treasury security selected by an independent investment banker as having an actual or interpolated maturity comparable to the remaining term (“remaining life”) of the Notes to be redeemed (assuming that such Notes to be redeemed matured on March 26, 2030) that would be utilized, at the time of selection and in accordance with customary financial practice, in pricing new issues of corporate debt securities of comparable maturity to the remaining term of such Notes (assuming that such Notes matured on March 26, 2030).</w:t>
      </w:r>
    </w:p>
    <w:p>
      <w:pPr>
        <w:spacing w:after="0" w:line="9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2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“independent investment banker” means either Citigroup Global Markets Inc., HSBC Securities (USA) Inc., J.P. Morgan Securities LLC or SG Americas Securities, LLC, or, if these firms are unwilling or unable to select the comparable treasury issue, an independent investment banking institution of national standing appointed by the Company.</w:t>
      </w:r>
    </w:p>
    <w:p>
      <w:pPr>
        <w:spacing w:after="0" w:line="126"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“reference treasury dealer” means (1) Citigroup Global Markets Inc., HSBC Securities (USA) Inc., J.P. Morgan Securities LLC and SG Americas Securities,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29" w:lineRule="exact"/>
        <w:rPr>
          <w:sz w:val="20"/>
          <w:szCs w:val="20"/>
          <w:color w:val="auto"/>
        </w:rPr>
      </w:pPr>
    </w:p>
    <w:p>
      <w:pPr>
        <w:ind w:left="120" w:right="380"/>
        <w:spacing w:after="0" w:line="268"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20"/>
        <w:spacing w:after="0" w:line="268" w:lineRule="auto"/>
        <w:rPr>
          <w:sz w:val="20"/>
          <w:szCs w:val="20"/>
          <w:color w:val="auto"/>
        </w:rPr>
      </w:pPr>
      <w:r>
        <w:rPr>
          <w:rFonts w:ascii="Arial" w:cs="Arial" w:eastAsia="Arial" w:hAnsi="Arial"/>
          <w:sz w:val="18"/>
          <w:szCs w:val="18"/>
          <w:color w:val="auto"/>
        </w:rPr>
        <w:t>comparable treasury issue (expressed in each case as a percentage of its principal amount) quoted in writing to the independent investment banker at 5:00 p.m., New York City time, on the third business day preceding such redemption date.</w:t>
      </w:r>
    </w:p>
    <w:p>
      <w:pPr>
        <w:spacing w:after="0" w:line="118" w:lineRule="exact"/>
        <w:rPr>
          <w:sz w:val="20"/>
          <w:szCs w:val="20"/>
          <w:color w:val="auto"/>
        </w:rPr>
      </w:pPr>
    </w:p>
    <w:p>
      <w:pPr>
        <w:ind w:left="120" w:right="660" w:firstLine="440"/>
        <w:spacing w:after="0" w:line="268"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8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Company or the Guarantor may redeem the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24" w:lineRule="exact"/>
        <w:rPr>
          <w:sz w:val="20"/>
          <w:szCs w:val="20"/>
          <w:color w:val="auto"/>
        </w:rPr>
      </w:pPr>
    </w:p>
    <w:p>
      <w:pPr>
        <w:ind w:left="1080" w:right="42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1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the Company or Guarantor, as applicable, cannot avoid its obligation to pay Additional Amounts by the Company or the Guarantor, as applicable, taking reasonable measures available to it.</w:t>
      </w:r>
    </w:p>
    <w:p>
      <w:pPr>
        <w:spacing w:after="0" w:line="110" w:lineRule="exact"/>
        <w:rPr>
          <w:sz w:val="20"/>
          <w:szCs w:val="20"/>
          <w:color w:val="auto"/>
        </w:rPr>
      </w:pPr>
    </w:p>
    <w:p>
      <w:pPr>
        <w:ind w:left="120" w:right="280" w:firstLine="440"/>
        <w:spacing w:after="0" w:line="331"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73"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left="120" w:right="20" w:firstLine="440"/>
        <w:spacing w:after="0" w:line="306" w:lineRule="auto"/>
        <w:rPr>
          <w:sz w:val="20"/>
          <w:szCs w:val="20"/>
          <w:color w:val="auto"/>
        </w:rPr>
      </w:pPr>
      <w:r>
        <w:rPr>
          <w:rFonts w:ascii="Arial" w:cs="Arial" w:eastAsia="Arial" w:hAnsi="Arial"/>
          <w:sz w:val="16"/>
          <w:szCs w:val="16"/>
          <w:color w:val="auto"/>
        </w:rPr>
        <w:t>If fewer than all of the Notes are to be redeemed at any time, the Trustee will select Notes in non-global form for redemption on a pro rata basis (or, in the case of Notes issued in global form as discussed under “—Book-Entry, Delivery and Form,” Notes to be redeemed shall be selected in accordance with the applicable depository requirements) unless otherwise required by law or applicable stock exchange requirements.</w:t>
      </w:r>
    </w:p>
    <w:p>
      <w:pPr>
        <w:spacing w:after="0" w:line="93" w:lineRule="exact"/>
        <w:rPr>
          <w:sz w:val="20"/>
          <w:szCs w:val="20"/>
          <w:color w:val="auto"/>
        </w:rPr>
      </w:pPr>
    </w:p>
    <w:p>
      <w:pPr>
        <w:ind w:left="120" w:right="80" w:firstLine="440"/>
        <w:spacing w:after="0" w:line="335" w:lineRule="auto"/>
        <w:rPr>
          <w:sz w:val="20"/>
          <w:szCs w:val="20"/>
          <w:color w:val="auto"/>
        </w:rPr>
      </w:pPr>
      <w:r>
        <w:rPr>
          <w:rFonts w:ascii="Arial" w:cs="Arial" w:eastAsia="Arial" w:hAnsi="Arial"/>
          <w:sz w:val="15"/>
          <w:szCs w:val="15"/>
          <w:color w:val="auto"/>
        </w:rPr>
        <w:t>No Notes in principal amount of U.S.$2,000 or less can be redeemed in part. Notices of redemption will be given at least 10 but not more than 60 days before the redemption date to each holder of Notes to be redeemed at its registered address, except that redemption notices may be given more than 60 days prior to a redemption date if the notice is issued in connection with a defeasance of the Notes or a satisfaction and discharge of the Indenture.</w:t>
      </w:r>
    </w:p>
    <w:p>
      <w:pPr>
        <w:spacing w:after="0" w:line="7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33"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color w:val="auto"/>
        </w:rPr>
        <w:t>The Trustee will not be liable for selections made as contemplated in this section. For Notes which are represented by global Notes held on behalf of The Depository Trust Company (“DTC”), Euroclear Bank S.A./N.V., as operator of the Euroclear System (“Euroclear”) and Clearstream Banking S.A. (“Clearstream”), notices may be given by delivery of the relevant notices to DTC, Euroclear or Clearstream for communication to entitled account holders in substitution for the aforesaid mailing.</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shall so determine, any of its other indebtedness or the indebtedness of any such restricted subsidiary then existing or thereafter created ranking on a parity with the Notes or Guarantee)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24" w:lineRule="exact"/>
        <w:rPr>
          <w:sz w:val="20"/>
          <w:szCs w:val="20"/>
          <w:color w:val="auto"/>
        </w:rPr>
      </w:pPr>
    </w:p>
    <w:p>
      <w:pPr>
        <w:ind w:left="5460" w:right="5340" w:hanging="4912"/>
        <w:spacing w:after="0" w:line="408" w:lineRule="auto"/>
        <w:tabs>
          <w:tab w:leader="none" w:pos="1090" w:val="left"/>
        </w:tabs>
        <w:numPr>
          <w:ilvl w:val="0"/>
          <w:numId w:val="9"/>
        </w:numPr>
        <w:rPr>
          <w:rFonts w:ascii="Arial" w:cs="Arial" w:eastAsia="Arial" w:hAnsi="Arial"/>
          <w:sz w:val="15"/>
          <w:szCs w:val="15"/>
          <w:color w:val="auto"/>
        </w:rPr>
      </w:pPr>
      <w:r>
        <w:rPr>
          <w:rFonts w:ascii="Arial" w:cs="Arial" w:eastAsia="Arial" w:hAnsi="Arial"/>
          <w:sz w:val="15"/>
          <w:szCs w:val="15"/>
          <w:color w:val="auto"/>
        </w:rPr>
        <w:t>mortgages existing on the date of original issuance of the Notes; 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2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7"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76" w:lineRule="exact"/>
        <w:rPr>
          <w:rFonts w:ascii="Arial" w:cs="Arial" w:eastAsia="Arial" w:hAnsi="Arial"/>
          <w:sz w:val="18"/>
          <w:szCs w:val="18"/>
          <w:color w:val="auto"/>
        </w:rPr>
      </w:pPr>
    </w:p>
    <w:p>
      <w:pPr>
        <w:ind w:left="1080" w:right="20" w:hanging="532"/>
        <w:spacing w:after="0" w:line="29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17"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99" w:lineRule="exact"/>
        <w:rPr>
          <w:rFonts w:ascii="Arial" w:cs="Arial" w:eastAsia="Arial" w:hAnsi="Arial"/>
          <w:sz w:val="16"/>
          <w:szCs w:val="16"/>
          <w:color w:val="auto"/>
        </w:rPr>
      </w:pPr>
    </w:p>
    <w:p>
      <w:pPr>
        <w:ind w:left="1080" w:right="12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4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76" w:lineRule="exact"/>
        <w:rPr>
          <w:rFonts w:ascii="Arial" w:cs="Arial" w:eastAsia="Arial" w:hAnsi="Arial"/>
          <w:sz w:val="18"/>
          <w:szCs w:val="18"/>
          <w:color w:val="auto"/>
        </w:rPr>
      </w:pPr>
    </w:p>
    <w:p>
      <w:pPr>
        <w:jc w:val="both"/>
        <w:ind w:left="1080" w:right="2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58" w:lineRule="exact"/>
        <w:rPr>
          <w:sz w:val="20"/>
          <w:szCs w:val="20"/>
          <w:color w:val="auto"/>
        </w:rPr>
      </w:pPr>
    </w:p>
    <w:p>
      <w:pPr>
        <w:ind w:left="120" w:right="60"/>
        <w:spacing w:after="0" w:line="294"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02"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18" w:lineRule="exact"/>
        <w:rPr>
          <w:sz w:val="20"/>
          <w:szCs w:val="20"/>
          <w:color w:val="auto"/>
        </w:rPr>
      </w:pPr>
    </w:p>
    <w:p>
      <w:pPr>
        <w:ind w:left="120" w:right="960"/>
        <w:spacing w:after="0" w:line="268"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“non-recourse debt” means indebtedness as to which (a) none of the Company, the Guarantor and its subsidiaries (x) provides credit support of any kind or</w:t>
      </w:r>
    </w:p>
    <w:p>
      <w:pPr>
        <w:spacing w:after="0" w:line="38" w:lineRule="exact"/>
        <w:rPr>
          <w:sz w:val="20"/>
          <w:szCs w:val="20"/>
          <w:color w:val="auto"/>
        </w:rPr>
      </w:pPr>
    </w:p>
    <w:p>
      <w:pPr>
        <w:ind w:left="120" w:right="600" w:hanging="4"/>
        <w:spacing w:after="0" w:line="260" w:lineRule="auto"/>
        <w:tabs>
          <w:tab w:leader="none" w:pos="3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26"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8"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Notes, unless, in the opinion of the board of directors of the Guarantor, such plant or facility or other asset is not of material importance to the total business conducted by the Guarantor and its restricted subsidiaries taken as a whole.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83"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Notes, provided that:</w:t>
      </w:r>
    </w:p>
    <w:p>
      <w:pPr>
        <w:spacing w:after="0" w:line="100" w:lineRule="exact"/>
        <w:rPr>
          <w:sz w:val="20"/>
          <w:szCs w:val="20"/>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37"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Notes shall succeed to, and be substituted for, and may exercise any right and power of, the Company under the Notes and the Indenture with the same effect as if such person had been the issuer thereof, and the Company shall be released from its liability as obligor under the Notes. An Officer’s Certificate and an opinion of counsel will be delivered to the Trustee, which will serve as conclusive evidence of compliance with these provisions.</w:t>
      </w:r>
    </w:p>
    <w:p>
      <w:pPr>
        <w:spacing w:after="0" w:line="9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Beneficial owners of Notes who are U.S. persons for U.S. federal income tax purposes should consult their tax advisors regarding the non-U.S., U.S. federal, state and local income tax consequences of an assumption of the Company’s obligations as issuer of Notes by a subsidiary of the Guarantor.</w:t>
      </w:r>
    </w:p>
    <w:p>
      <w:pPr>
        <w:spacing w:after="0" w:line="106"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“Events of Default” with respect to the Notes:</w:t>
      </w:r>
    </w:p>
    <w:p>
      <w:pPr>
        <w:spacing w:after="0" w:line="77" w:lineRule="exact"/>
        <w:rPr>
          <w:sz w:val="20"/>
          <w:szCs w:val="20"/>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failure to pay any interest on its Notes within 30 days after such interest becomes due and payable;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failure to pay principal of its Notes at maturity, or if applicable, the redemption price, when the same become due and payable;</w:t>
      </w:r>
    </w:p>
    <w:p>
      <w:pPr>
        <w:spacing w:after="0" w:line="126" w:lineRule="exact"/>
        <w:rPr>
          <w:rFonts w:ascii="Arial" w:cs="Arial" w:eastAsia="Arial" w:hAnsi="Arial"/>
          <w:sz w:val="16"/>
          <w:szCs w:val="16"/>
          <w:color w:val="auto"/>
        </w:rPr>
      </w:pPr>
    </w:p>
    <w:p>
      <w:pPr>
        <w:jc w:val="both"/>
        <w:ind w:left="760" w:right="120" w:hanging="212"/>
        <w:spacing w:after="0" w:line="256"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48" w:lineRule="exact"/>
        <w:rPr>
          <w:rFonts w:ascii="Arial" w:cs="Arial" w:eastAsia="Arial" w:hAnsi="Arial"/>
          <w:sz w:val="18"/>
          <w:szCs w:val="18"/>
          <w:color w:val="auto"/>
        </w:rPr>
      </w:pPr>
    </w:p>
    <w:p>
      <w:pPr>
        <w:ind w:left="760" w:right="20" w:hanging="212"/>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45"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185" w:lineRule="exact"/>
        <w:rPr>
          <w:sz w:val="20"/>
          <w:szCs w:val="20"/>
          <w:color w:val="auto"/>
        </w:rPr>
      </w:pPr>
    </w:p>
    <w:p>
      <w:pPr>
        <w:jc w:val="both"/>
        <w:ind w:left="120" w:right="80" w:firstLine="440"/>
        <w:spacing w:after="0" w:line="306" w:lineRule="auto"/>
        <w:rPr>
          <w:sz w:val="20"/>
          <w:szCs w:val="20"/>
          <w:color w:val="auto"/>
        </w:rPr>
      </w:pPr>
      <w:r>
        <w:rPr>
          <w:rFonts w:ascii="Arial" w:cs="Arial" w:eastAsia="Arial" w:hAnsi="Arial"/>
          <w:sz w:val="16"/>
          <w:szCs w:val="16"/>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93"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If an Event of Default for the Notes occurs and is continuing, the Trustee or the holders of at least 25% in principal amount of such outstanding Notes (or, in some cases, 25% in principal amount of all outstanding debt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60"/>
          </w:cols>
          <w:pgMar w:left="32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of Notes may pursue any remedy under the Indenture applicable to such Notes only if:</w:t>
      </w:r>
    </w:p>
    <w:p>
      <w:pPr>
        <w:spacing w:after="0" w:line="77" w:lineRule="exact"/>
        <w:rPr>
          <w:sz w:val="20"/>
          <w:szCs w:val="20"/>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Notes make a written request to the Trustee to pursue the remedy;</w:t>
      </w:r>
    </w:p>
    <w:p>
      <w:pPr>
        <w:spacing w:after="0" w:line="126" w:lineRule="exact"/>
        <w:rPr>
          <w:rFonts w:ascii="Arial" w:cs="Arial" w:eastAsia="Arial" w:hAnsi="Arial"/>
          <w:sz w:val="16"/>
          <w:szCs w:val="16"/>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03"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provision does not, however, affect the right of a holder of Notes to sue for enforcement of any overdue payment with respect to such Notes.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most cases, holders of a majority in principal amount of the outstanding Notes issued by the Company may direct the time, method and place of:</w:t>
      </w:r>
    </w:p>
    <w:p>
      <w:pPr>
        <w:spacing w:after="0" w:line="100" w:lineRule="exact"/>
        <w:rPr>
          <w:sz w:val="20"/>
          <w:szCs w:val="20"/>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exercising any trust or power conferred on the Trustee not relating to or arising under an Event of Default with respect to such Notes.</w:t>
      </w:r>
    </w:p>
    <w:p>
      <w:pPr>
        <w:spacing w:after="0" w:line="208"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any subsequently issued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any subsequently issued Notes, if any) voting as a single class (including, without limitation, consents obtained in connection with a tender offer or exchange offer for, or purchase of, such Notes).</w:t>
      </w:r>
    </w:p>
    <w:p>
      <w:pPr>
        <w:spacing w:after="0" w:line="110" w:lineRule="exact"/>
        <w:rPr>
          <w:sz w:val="20"/>
          <w:szCs w:val="20"/>
          <w:color w:val="auto"/>
        </w:rPr>
      </w:pPr>
    </w:p>
    <w:p>
      <w:pPr>
        <w:ind w:left="120" w:right="340" w:firstLine="440"/>
        <w:spacing w:after="0" w:line="268" w:lineRule="auto"/>
        <w:rPr>
          <w:sz w:val="20"/>
          <w:szCs w:val="20"/>
          <w:color w:val="auto"/>
        </w:rPr>
      </w:pPr>
      <w:r>
        <w:rPr>
          <w:rFonts w:ascii="Arial" w:cs="Arial" w:eastAsia="Arial" w:hAnsi="Arial"/>
          <w:sz w:val="18"/>
          <w:szCs w:val="18"/>
          <w:color w:val="auto"/>
        </w:rPr>
        <w:t>Without the consent of each holder of Notes affected thereby, an amendment, supplement or waiver may not (with respect to any Notes held by a non-consenting holder):</w:t>
      </w:r>
    </w:p>
    <w:p>
      <w:pPr>
        <w:spacing w:after="0" w:line="37" w:lineRule="exact"/>
        <w:rPr>
          <w:sz w:val="20"/>
          <w:szCs w:val="20"/>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its Notes;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any premium payable on the redemption of its Notes or change the time at which its Notes may or must be redeemed;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payments on its Notes payable in currency other than as originally stated in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its Notes;</w:t>
      </w:r>
    </w:p>
    <w:p>
      <w:pPr>
        <w:spacing w:after="0" w:line="103" w:lineRule="exact"/>
        <w:rPr>
          <w:rFonts w:ascii="Arial" w:cs="Arial" w:eastAsia="Arial" w:hAnsi="Arial"/>
          <w:sz w:val="18"/>
          <w:szCs w:val="18"/>
          <w:color w:val="auto"/>
        </w:rPr>
      </w:pPr>
    </w:p>
    <w:p>
      <w:pPr>
        <w:ind w:left="760" w:right="140" w:hanging="212"/>
        <w:spacing w:after="0" w:line="26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its Notes necessary to waive compliance with certain provisions of the Indenture such Notes were issued under or to make any change in this provision for modification;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its Notes.</w:t>
      </w:r>
    </w:p>
    <w:p>
      <w:pPr>
        <w:spacing w:after="0" w:line="185"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the Company, the Guarantor and the Trustee may amend or supplement the Indenture, the Notes or Guarantee in certain circumstances, including:</w:t>
      </w:r>
    </w:p>
    <w:p>
      <w:pPr>
        <w:spacing w:after="0" w:line="37" w:lineRule="exact"/>
        <w:rPr>
          <w:sz w:val="20"/>
          <w:szCs w:val="20"/>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03" w:lineRule="exact"/>
        <w:rPr>
          <w:rFonts w:ascii="Arial" w:cs="Arial" w:eastAsia="Arial" w:hAnsi="Arial"/>
          <w:sz w:val="18"/>
          <w:szCs w:val="18"/>
          <w:color w:val="auto"/>
        </w:rPr>
      </w:pPr>
    </w:p>
    <w:p>
      <w:pPr>
        <w:ind w:left="760" w:right="60" w:hanging="212"/>
        <w:spacing w:after="0" w:line="298"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 the assumption of the Company’s obligations under the Indenture and the Notes by a subsidiary of the Guarantor in accordance with the requirements under “—Assumption by a Subsidiary” above;</w:t>
      </w:r>
    </w:p>
    <w:p>
      <w:pPr>
        <w:spacing w:after="0" w:line="17" w:lineRule="exact"/>
        <w:rPr>
          <w:rFonts w:ascii="Arial" w:cs="Arial" w:eastAsia="Arial" w:hAnsi="Arial"/>
          <w:sz w:val="16"/>
          <w:szCs w:val="16"/>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any security for or guarantees of the Notes or for the addition of an additional obligor on the Notes;</w:t>
      </w:r>
    </w:p>
    <w:p>
      <w:pPr>
        <w:spacing w:after="0" w:line="103" w:lineRule="exact"/>
        <w:rPr>
          <w:rFonts w:ascii="Arial" w:cs="Arial" w:eastAsia="Arial" w:hAnsi="Arial"/>
          <w:sz w:val="18"/>
          <w:szCs w:val="18"/>
          <w:color w:val="auto"/>
        </w:rPr>
      </w:pPr>
    </w:p>
    <w:p>
      <w:pPr>
        <w:ind w:left="760" w:right="400" w:hanging="212"/>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add covenants that would benefit the holders of the outstanding Notes or to surrender any rights the Company has under the Indenture;</w:t>
      </w:r>
    </w:p>
    <w:p>
      <w:pPr>
        <w:spacing w:after="0" w:line="126" w:lineRule="exact"/>
        <w:rPr>
          <w:rFonts w:ascii="Arial" w:cs="Arial" w:eastAsia="Arial" w:hAnsi="Arial"/>
          <w:sz w:val="16"/>
          <w:szCs w:val="16"/>
          <w:color w:val="auto"/>
        </w:rPr>
      </w:pPr>
    </w:p>
    <w:p>
      <w:pPr>
        <w:ind w:left="760" w:hanging="212"/>
        <w:spacing w:after="0" w:line="325"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03" w:lineRule="exact"/>
        <w:rPr>
          <w:rFonts w:ascii="Arial" w:cs="Arial" w:eastAsia="Arial" w:hAnsi="Arial"/>
          <w:sz w:val="18"/>
          <w:szCs w:val="18"/>
          <w:color w:val="auto"/>
        </w:rPr>
      </w:pPr>
    </w:p>
    <w:p>
      <w:pPr>
        <w:ind w:left="760" w:right="60" w:hanging="212"/>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issue additional Notes; provided that such additional Notes have the same terms as, and shall be deemed part of the same series as, the Notes to the extent required under the Indenture;</w:t>
      </w:r>
    </w:p>
    <w:p>
      <w:pPr>
        <w:spacing w:after="0" w:line="37" w:lineRule="exact"/>
        <w:rPr>
          <w:rFonts w:ascii="Arial" w:cs="Arial" w:eastAsia="Arial" w:hAnsi="Arial"/>
          <w:sz w:val="18"/>
          <w:szCs w:val="18"/>
          <w:color w:val="auto"/>
        </w:rPr>
      </w:pPr>
    </w:p>
    <w:p>
      <w:pPr>
        <w:ind w:left="760" w:right="400" w:hanging="212"/>
        <w:spacing w:after="0" w:line="325"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the Notes and to add to or change any of the provisions of the Indenture as shall be necessary to provide for or facilitate the administration of the trust by more than one trustee;</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the outstanding Notes in any material respect.</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83"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83"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45" w:lineRule="exact"/>
        <w:rPr>
          <w:sz w:val="20"/>
          <w:szCs w:val="20"/>
          <w:color w:val="auto"/>
        </w:rPr>
      </w:pPr>
    </w:p>
    <w:p>
      <w:pPr>
        <w:ind w:left="760" w:right="60" w:hanging="212"/>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such Notes, except as described in the paragraph immediately below (“legal defeasance”); or</w:t>
      </w:r>
    </w:p>
    <w:p>
      <w:pPr>
        <w:spacing w:after="0" w:line="37"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and the related Events of Default will no longer apply to the Company (“covenant defeasance”).</w:t>
      </w:r>
    </w:p>
    <w:p>
      <w:pPr>
        <w:spacing w:after="0" w:line="11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the Company defeases the Notes, the holders of the defeased Notes will not be entitled to the benefits of the Indenture under which such Notes were issued, except for the Company’s obligations to register the transfer or exchange of Notes, replace stolen, lost or mutilated Notes, pay Additional Amounts, maintain paying agencies and hold moneys for payment in trust and to compensate and indemnify the Trustee. In the case of covenant defeasance, the Company’s obligation to pay principal, premium and interest on the Notes will also survive.</w:t>
      </w:r>
    </w:p>
    <w:p>
      <w:pPr>
        <w:spacing w:after="0" w:line="133"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Notes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left="120" w:right="360" w:firstLine="440"/>
        <w:spacing w:after="0" w:line="268"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18" w:lineRule="exact"/>
        <w:rPr>
          <w:sz w:val="20"/>
          <w:szCs w:val="20"/>
          <w:color w:val="auto"/>
        </w:rPr>
      </w:pPr>
    </w:p>
    <w:p>
      <w:pPr>
        <w:ind w:left="120" w:right="100" w:firstLine="440"/>
        <w:spacing w:after="0" w:line="306"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reasonably satisfactory to it.</w:t>
      </w:r>
    </w:p>
    <w:p>
      <w:pPr>
        <w:spacing w:after="0" w:line="93"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of 1939, as amended), it must eliminate such conflict, resign or obtain an order from the Securities and Exchange Commission permitting it to remain as Trustee.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will maintain one or more paying agents (each a “Paying Agent”) for the Notes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the Notes. If we fail to appoint or maintain another entity as Paying Agent, the Trustee shall act as such. The Company, the Guarantor or any of the Guarantor’s subsidiaries, upon notice to the Trustee, may act as Paying Agent. The initial Paying Agent will be The Bank of New York Mellon in New York.</w:t>
      </w:r>
    </w:p>
    <w:p>
      <w:pPr>
        <w:spacing w:after="0" w:line="104"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The Company will also maintain one registrar (the “Registrar”) with an office in the Borough of Manhattan, City of New York. The Company, upon written notice to the Trustee accompanied by an Officer’s Certificate, may appoint one or more registrars, other than the Trustee, for the Notes. If we fail to appoint or maintain another entity as Registrar, the Trustee shall act as such. The Company, the Guarantor or any of the Guarantor’s subsidiaries, upon notice to the Trustee, may act as Registrar. The initial Registrar will be The Bank of New York Mellon in New York.</w:t>
      </w:r>
    </w:p>
    <w:p>
      <w:pPr>
        <w:spacing w:after="0" w:line="9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the Notes. If we fail to appoint or maintain another entity as transfer agent, the Trustee shall act as such. The Company, the Guarantor or any of the Guarantor’s subsidiaries, upon notice to the Trustee, may act as transfer agent. The initial transfer agent will be The Bank of New York Mellon in New York.</w:t>
      </w:r>
    </w:p>
    <w:p>
      <w:pPr>
        <w:spacing w:after="0" w:line="133" w:lineRule="exact"/>
        <w:rPr>
          <w:sz w:val="20"/>
          <w:szCs w:val="20"/>
          <w:color w:val="auto"/>
        </w:rPr>
      </w:pPr>
    </w:p>
    <w:p>
      <w:pPr>
        <w:ind w:left="120" w:right="140" w:firstLine="440"/>
        <w:spacing w:after="0" w:line="268"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the behalf of the Company.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Notes.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8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may, from time to time, without notice to or consent of the registered holders of its Notes, increase the principal amount of such Notes that may be issued under the Indenture and issue such increased principal amount (or any portion thereof), in which case any such subsequently issued Notes will have the same form and terms (other than the date of issuance and, under certain circumstances, the date from which interest thereon will begin to accrue), and will carry the same right to receive accrued and unpaid interest, as the Notes previously issued, and such subsequently issued Notes will form a single series with the previously issued Notes, including for purposes of voting and redemptions; provided, however, that a separate CUSIP or ISIN would be issued for the subsequently issued Notes, unless the Notes and the subsequently issued Notes are fungible for U.S. federal income tax purposes. Such subsequently issued Notes will also be guaranteed by the Guarantor (with the same ranking as the Guarantee for the Notes).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2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represented by a global Note can be exchanged for definitive securities in registered form only if:</w:t>
      </w:r>
    </w:p>
    <w:p>
      <w:pPr>
        <w:spacing w:after="0" w:line="77" w:lineRule="exact"/>
        <w:rPr>
          <w:sz w:val="20"/>
          <w:szCs w:val="20"/>
          <w:color w:val="auto"/>
        </w:rPr>
      </w:pPr>
    </w:p>
    <w:p>
      <w:pPr>
        <w:jc w:val="both"/>
        <w:ind w:left="760" w:right="20" w:hanging="212"/>
        <w:spacing w:after="0" w:line="259"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45"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determine that the Notes will no longer be represented by a global Note and execute and deliver to the Trustee an Officer’s Certificate to such effect.</w:t>
      </w:r>
    </w:p>
    <w:p>
      <w:pPr>
        <w:spacing w:after="0" w:line="118"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26"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12" w:lineRule="exact"/>
        <w:rPr>
          <w:sz w:val="20"/>
          <w:szCs w:val="20"/>
          <w:color w:val="auto"/>
        </w:rPr>
      </w:pPr>
    </w:p>
    <w:p>
      <w:pPr>
        <w:ind w:left="760" w:hanging="212"/>
        <w:spacing w:after="0"/>
        <w:tabs>
          <w:tab w:leader="none" w:pos="7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aspect of DTC’s records relating to, or payments made on account of, beneficial ownership interests in a Note represented by a global Note; or</w:t>
      </w:r>
    </w:p>
    <w:p>
      <w:pPr>
        <w:spacing w:after="0" w:line="138" w:lineRule="exact"/>
        <w:rPr>
          <w:rFonts w:ascii="Arial" w:cs="Arial" w:eastAsia="Arial" w:hAnsi="Arial"/>
          <w:sz w:val="15"/>
          <w:szCs w:val="15"/>
          <w:color w:val="auto"/>
        </w:rPr>
      </w:pPr>
    </w:p>
    <w:p>
      <w:pPr>
        <w:ind w:left="760" w:right="180" w:hanging="212"/>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18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DTC</w:t>
      </w:r>
    </w:p>
    <w:p>
      <w:pPr>
        <w:spacing w:after="0" w:line="77"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80"/>
        <w:spacing w:after="0" w:line="294" w:lineRule="auto"/>
        <w:rPr>
          <w:sz w:val="20"/>
          <w:szCs w:val="20"/>
          <w:color w:val="auto"/>
        </w:rPr>
      </w:pPr>
      <w:r>
        <w:rPr>
          <w:rFonts w:ascii="Arial" w:cs="Arial" w:eastAsia="Arial" w:hAnsi="Arial"/>
          <w:sz w:val="16"/>
          <w:szCs w:val="16"/>
          <w:color w:val="auto"/>
        </w:rPr>
        <w:t>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02"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99"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93" w:lineRule="exact"/>
        <w:rPr>
          <w:sz w:val="20"/>
          <w:szCs w:val="20"/>
          <w:color w:val="auto"/>
        </w:rPr>
      </w:pPr>
    </w:p>
    <w:p>
      <w:pPr>
        <w:ind w:left="120" w:right="160" w:firstLine="440"/>
        <w:spacing w:after="0" w:line="306"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9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1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Clearstream</w:t>
      </w:r>
    </w:p>
    <w:p>
      <w:pPr>
        <w:spacing w:after="0" w:line="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320"/>
        <w:spacing w:after="0" w:line="306" w:lineRule="auto"/>
        <w:rPr>
          <w:sz w:val="20"/>
          <w:szCs w:val="20"/>
          <w:color w:val="auto"/>
        </w:rPr>
      </w:pPr>
      <w:r>
        <w:rPr>
          <w:rFonts w:ascii="Arial" w:cs="Arial" w:eastAsia="Arial" w:hAnsi="Arial"/>
          <w:sz w:val="16"/>
          <w:szCs w:val="16"/>
          <w:color w:val="auto"/>
        </w:rPr>
        <w:t>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93"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Euroclear</w:t>
      </w:r>
    </w:p>
    <w:p>
      <w:pPr>
        <w:spacing w:after="0" w:line="7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08" w:lineRule="exact"/>
        <w:rPr>
          <w:sz w:val="20"/>
          <w:szCs w:val="20"/>
          <w:color w:val="auto"/>
        </w:rPr>
      </w:pPr>
    </w:p>
    <w:p>
      <w:pPr>
        <w:ind w:left="120" w:right="460" w:firstLine="440"/>
        <w:spacing w:after="0" w:line="268"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1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06"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18"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83"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Initial settlement for the Notes will be made in immediately available funds. Secondary market trading between DTC participants will occur in the ordinary way in accordance with DTC rules and will be settled in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300"/>
        <w:spacing w:after="0" w:line="306" w:lineRule="auto"/>
        <w:rPr>
          <w:sz w:val="20"/>
          <w:szCs w:val="20"/>
          <w:color w:val="auto"/>
        </w:rPr>
      </w:pPr>
      <w:r>
        <w:rPr>
          <w:rFonts w:ascii="Arial" w:cs="Arial" w:eastAsia="Arial" w:hAnsi="Arial"/>
          <w:sz w:val="16"/>
          <w:szCs w:val="16"/>
          <w:color w:val="auto"/>
        </w:rPr>
        <w:t>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93" w:lineRule="exact"/>
        <w:rPr>
          <w:sz w:val="20"/>
          <w:szCs w:val="20"/>
          <w:color w:val="auto"/>
        </w:rPr>
      </w:pPr>
    </w:p>
    <w:p>
      <w:pPr>
        <w:ind w:left="120" w:right="140" w:firstLine="440"/>
        <w:spacing w:after="0" w:line="283"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w:t>
      </w:r>
    </w:p>
    <w:p>
      <w:pPr>
        <w:spacing w:after="0" w:line="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3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0"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0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NON-UNITED STATES FEDERAL INCOME TAX CONSIDERATIONS</w:t>
      </w:r>
    </w:p>
    <w:p>
      <w:pPr>
        <w:spacing w:after="0" w:line="16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following summary is of a general nature and is included herein solely for information purposes. It is based on the laws presently in force in Luxembourg, though it is not intended to be, nor should it be construed to be, legal or tax advice. Unless otherwise indicated, all information contained in this section is based on laws, regulations, practice and decisions in effect in Luxembourg at the date of this prospectus supplement. Any changes could apply retroactively and could affect the continued validity of this summary.</w:t>
      </w:r>
    </w:p>
    <w:p>
      <w:pPr>
        <w:spacing w:after="0" w:line="129"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This summary does not purport to be a comprehensive description of all potential Luxembourg tax considerations that may be relevant to a decision to invest in, own or dispose of the Notes and is not intended as tax advice to any particular investor. This information also does not take into account the specific circumstances of particular investors. Prospective investors in the Notes, should therefore consult their own professional advisers as to the effects of state, local or foreign laws, including Luxembourg tax law, to which they may be subject.</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overview assumes that each transaction with respect to the Notes is at arm’s length.</w:t>
      </w:r>
    </w:p>
    <w:p>
      <w:pPr>
        <w:spacing w:after="0" w:line="158" w:lineRule="exact"/>
        <w:rPr>
          <w:sz w:val="20"/>
          <w:szCs w:val="20"/>
          <w:color w:val="auto"/>
        </w:rPr>
      </w:pPr>
    </w:p>
    <w:p>
      <w:pPr>
        <w:ind w:left="120" w:right="440" w:firstLine="440"/>
        <w:spacing w:after="0" w:line="331" w:lineRule="auto"/>
        <w:rPr>
          <w:sz w:val="20"/>
          <w:szCs w:val="20"/>
          <w:color w:val="auto"/>
        </w:rPr>
      </w:pPr>
      <w:r>
        <w:rPr>
          <w:rFonts w:ascii="Arial" w:cs="Arial" w:eastAsia="Arial" w:hAnsi="Arial"/>
          <w:sz w:val="16"/>
          <w:szCs w:val="16"/>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summary in this Luxembourg taxation paragraph does not address the Luxembourg tax consequences for a holder of Notes who:</w:t>
      </w:r>
    </w:p>
    <w:p>
      <w:pPr>
        <w:spacing w:after="0" w:line="100" w:lineRule="exact"/>
        <w:rPr>
          <w:sz w:val="20"/>
          <w:szCs w:val="20"/>
          <w:color w:val="auto"/>
        </w:rPr>
      </w:pPr>
    </w:p>
    <w:p>
      <w:pPr>
        <w:ind w:left="1080" w:right="140" w:hanging="532"/>
        <w:spacing w:after="0" w:line="294"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an investor as defined in a specific law (such as the law of 11 May 2007 on family estate management companies, as amended, the law of 17 December 2010 on undertakings for collective investment, as amended, the law of 13 February 2007 on specialized investment funds, as amended, the law of 23 July 2016 on reserved alternative investment funds, the law of 22 March 2004 on securitisation, as amended, the law of 15 June 2004 on venture capital vehicles, as amended, the law of 13 July 2005 on pension saving companies and associations, and the law of 15 June 2004 on venture capital vehicles, as amended);</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although in principle subject to Luxembourg tax, in whole or in part, specifically exempt from tax;</w:t>
      </w:r>
    </w:p>
    <w:p>
      <w:pPr>
        <w:spacing w:after="0" w:line="76"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owns Notes in connection with a membership of a management board or a supervisory board, an employment relationship, a deemed employment relationship or management role; or</w:t>
      </w:r>
    </w:p>
    <w:p>
      <w:pPr>
        <w:spacing w:after="0" w:line="37" w:lineRule="exact"/>
        <w:rPr>
          <w:rFonts w:ascii="Arial" w:cs="Arial" w:eastAsia="Arial" w:hAnsi="Arial"/>
          <w:sz w:val="18"/>
          <w:szCs w:val="18"/>
          <w:color w:val="auto"/>
        </w:rPr>
      </w:pPr>
    </w:p>
    <w:p>
      <w:pPr>
        <w:jc w:val="both"/>
        <w:ind w:left="1080" w:right="160" w:hanging="532"/>
        <w:spacing w:after="0" w:line="369"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has a substantial interest in the Company or a deemed substantial interest in the Company for Luxembourg tax purposes. Generally, a person holds a substantial interest if such person owns or is deemed to own, directly or indirectly, 10% or more of the shares or interest in an entity.</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holders of the Notes</w:t>
      </w:r>
    </w:p>
    <w:p>
      <w:pPr>
        <w:spacing w:after="0" w:line="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Luxembourg general tax laws currently in force, interest payments (including accrued but unpaid interest) and principal made to non-residents of Luxembourg in the context of the holding, disposal, redemption or repurchase of the Notes which are not profit-sharing will not be subject to any Luxembourg withholding tax.</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holders of the Notes</w:t>
      </w:r>
    </w:p>
    <w:p>
      <w:pPr>
        <w:spacing w:after="0" w:line="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law of 23 December 2005 as amended (the “23 December 2005 Law”), payments of interest or similar income made or ascribed by a Luxembourg paying agent to or for the benefit of an individual beneficial owner who is resident of Luxembourg will be subject to a withholding tax of 20% (the “20% Withholding Tax”).</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Pursuant to the 23 December 2005 Law, Luxembourg resident individuals acting in the course of the management of their private wealth can opt to self-declare and pay a 20% tax (the “20% Self-Declared Tax”) on interest payments made on or after 31 December 2007 by paying agents located in an EU Member State other than Luxembourg or a Member State of the European Economic Area other than an EU Member State.</w:t>
      </w:r>
    </w:p>
    <w:p>
      <w:pPr>
        <w:spacing w:after="0" w:line="9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20% Withholding Tax or the 20% Self-Declared Tax will be in full discharge of income tax if the beneficial owner is an individual acting in the course of the management of his or her private wealth. Payments of interest under the Notes coming within the scope of the 23 December 2005 Law are subject to the 20% Withholding Tax or the 20% Self-Declared Tax. Responsibility for the payment of tax in application of the 23 December 2005 Law is assumed by the Luxembourg paying agent (in the case of the 20% Withholding Tax) and by the Luxembourg resident holder of the Notes (in the case of the 20% Self-Declared Tax).</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 on Income and Capital Gains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Notes holders</w:t>
      </w:r>
    </w:p>
    <w:p>
      <w:pPr>
        <w:spacing w:after="0" w:line="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Non-resident Notes holders, not having a permanent establishment or a permanent representative, to which the Notes or income thereon are attributable, are not subject to Luxembourg income taxes on interest accrued or received, redemption premiums or issue discounts, under the Notes or on capital gains realised on the disposal or redemption of the Notes.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Notes holders</w:t>
      </w:r>
    </w:p>
    <w:p>
      <w:pPr>
        <w:spacing w:after="0" w:line="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Individuals. </w:t>
      </w:r>
      <w:r>
        <w:rPr>
          <w:rFonts w:ascii="Arial" w:cs="Arial" w:eastAsia="Arial" w:hAnsi="Arial"/>
          <w:sz w:val="18"/>
          <w:szCs w:val="18"/>
          <w:color w:val="auto"/>
        </w:rPr>
        <w:t>A resident individual acting in the course of the management of a professional or business undertaking must include any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or received, any redemption premium or issue discount, as well as any gain realized on the sale or disposal in any form whatsoever, of the Notes, in its taxable income for Luxembourg income tax purposes.</w:t>
      </w:r>
    </w:p>
    <w:p>
      <w:pPr>
        <w:spacing w:after="0" w:line="12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resident Notes holder, acting in the course of the management of his or her private wealth, is subject to Luxembourg income tax in respect of interest or similar income received (such as premiums or issue discounts) under the Notes, except if tax is levied on such payments in accordance with the 23 December 2005 Law.</w:t>
      </w:r>
    </w:p>
    <w:p>
      <w:pPr>
        <w:spacing w:after="0" w:line="126" w:lineRule="exact"/>
        <w:rPr>
          <w:sz w:val="20"/>
          <w:szCs w:val="20"/>
          <w:color w:val="auto"/>
        </w:rPr>
      </w:pPr>
    </w:p>
    <w:p>
      <w:pPr>
        <w:ind w:left="120" w:right="180" w:firstLine="440"/>
        <w:spacing w:after="0" w:line="256" w:lineRule="auto"/>
        <w:rPr>
          <w:sz w:val="20"/>
          <w:szCs w:val="20"/>
          <w:color w:val="auto"/>
        </w:rPr>
      </w:pPr>
      <w:r>
        <w:rPr>
          <w:rFonts w:ascii="Arial" w:cs="Arial" w:eastAsia="Arial" w:hAnsi="Arial"/>
          <w:sz w:val="18"/>
          <w:szCs w:val="18"/>
          <w:color w:val="auto"/>
        </w:rPr>
        <w:t>A gain realised by an individual Notes holder, acting in the course of the management of his or her private wealth, upon the sale or disposal, in any form whatsoever, of Notes is not subject to Luxembourg income tax, provided this sale or disposal took place more than six months after the Notes were acquired. However, any portion of such gain corresponding to accrued but unpaid interest income is subject to Luxembourg income tax, except if tax is levied on such interest in accordance with the 23 December 2005 Law.</w:t>
      </w:r>
    </w:p>
    <w:p>
      <w:pPr>
        <w:spacing w:after="0" w:line="129" w:lineRule="exact"/>
        <w:rPr>
          <w:sz w:val="20"/>
          <w:szCs w:val="20"/>
          <w:color w:val="auto"/>
        </w:rPr>
      </w:pPr>
    </w:p>
    <w:p>
      <w:pPr>
        <w:ind w:left="120" w:right="220" w:firstLine="440"/>
        <w:spacing w:after="0" w:line="331" w:lineRule="auto"/>
        <w:rPr>
          <w:sz w:val="20"/>
          <w:szCs w:val="20"/>
          <w:color w:val="auto"/>
        </w:rPr>
      </w:pPr>
      <w:r>
        <w:rPr>
          <w:rFonts w:ascii="Arial" w:cs="Arial" w:eastAsia="Arial" w:hAnsi="Arial"/>
          <w:sz w:val="16"/>
          <w:szCs w:val="16"/>
          <w:i w:val="1"/>
          <w:iCs w:val="1"/>
          <w:color w:val="auto"/>
        </w:rPr>
        <w:t xml:space="preserve">Corporations. </w:t>
      </w:r>
      <w:r>
        <w:rPr>
          <w:rFonts w:ascii="Arial" w:cs="Arial" w:eastAsia="Arial" w:hAnsi="Arial"/>
          <w:sz w:val="16"/>
          <w:szCs w:val="16"/>
          <w:color w:val="auto"/>
        </w:rPr>
        <w:t>A corporate resident holder of Notes must include any interest accrued or received, any redemption premium or issue discount,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any gain realized on the sale or disposal, in any form whatsoever, of the Notes, in its taxable income for Luxembourg income tax purposes.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Wealth Tax</w:t>
      </w:r>
    </w:p>
    <w:p>
      <w:pPr>
        <w:spacing w:after="0" w:line="77"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color w:val="auto"/>
        </w:rPr>
        <w:t>Corporate holders of Notes resident in Luxembourg and non-resident corporate holders of Notes that maintain a permanent establishment or permanent representative in the Grand Duchy of Luxembourg to which or to whom such Notes are attributable are subject to annual net wealth tax on their unitary value (i.e., non-exempt assets minus liabilities and certain provisions as valued according to valuation rules), levied at a rate of 0.5% if the unitary value does not exceed €500,000,000 and 0.05% on the portion of the unitary value that exceeds €500,000,000, in respect of the Notes.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corporate resident holder of Notes will further be subject to a minimum net wealth tax that ranges between €535 and €23,100.</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Individuals are not subject to Luxembourg net wealth tax.</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Notes are transferred for non-consideration:</w:t>
      </w:r>
    </w:p>
    <w:p>
      <w:pPr>
        <w:spacing w:after="0" w:line="77"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Luxembourg inheritance tax is levied on the transfer of the Notes upon the death of a holder of Notes in cases where the deceased was not a resident of Luxembourg for inheritance tax purposes;</w:t>
      </w:r>
    </w:p>
    <w:p>
      <w:pPr>
        <w:spacing w:after="0" w:line="3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way of gift, Luxembourg gift tax will be levied in the event that the gift is made pursuant to a notarial deed signed before a Luxembourg notary or is registered in Luxembourg.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7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It is not compulsory that the Notes be filed, recorded or enrolled with any court or other authority in Luxembourg. No registration tax, transfer tax, capital tax, stamp duty or any other similar documentary tax or duty be paid in respect of or in connection with the issue of Notes, the performance by the Company of its obligations under Notes, or the transfer of Notes.</w:t>
      </w:r>
    </w:p>
    <w:p>
      <w:pPr>
        <w:spacing w:after="0" w:line="126"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A fixed or ad valorem registration duty in Luxembourg may however apply (i) upon voluntary registration (</w:t>
      </w:r>
      <w:r>
        <w:rPr>
          <w:rFonts w:ascii="Arial" w:cs="Arial" w:eastAsia="Arial" w:hAnsi="Arial"/>
          <w:sz w:val="18"/>
          <w:szCs w:val="18"/>
          <w:i w:val="1"/>
          <w:iCs w:val="1"/>
          <w:color w:val="auto"/>
        </w:rPr>
        <w:t>presentation à l’enregistrement</w:t>
      </w:r>
      <w:r>
        <w:rPr>
          <w:rFonts w:ascii="Arial" w:cs="Arial" w:eastAsia="Arial" w:hAnsi="Arial"/>
          <w:sz w:val="18"/>
          <w:szCs w:val="18"/>
          <w:color w:val="auto"/>
        </w:rPr>
        <w:t>) of the Notes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 in Luxembourg, or (ii) if the Notes are (a) enclosed to a compulsory registrable deed under Luxembourg law (</w:t>
      </w:r>
      <w:r>
        <w:rPr>
          <w:rFonts w:ascii="Arial" w:cs="Arial" w:eastAsia="Arial" w:hAnsi="Arial"/>
          <w:sz w:val="18"/>
          <w:szCs w:val="18"/>
          <w:i w:val="1"/>
          <w:iCs w:val="1"/>
          <w:color w:val="auto"/>
        </w:rPr>
        <w:t>acte obligatoirement enregistrable</w:t>
      </w:r>
      <w:r>
        <w:rPr>
          <w:rFonts w:ascii="Arial" w:cs="Arial" w:eastAsia="Arial" w:hAnsi="Arial"/>
          <w:sz w:val="18"/>
          <w:szCs w:val="18"/>
          <w:color w:val="auto"/>
        </w:rPr>
        <w:t>) or (b) deposited with the official records of a notary (</w:t>
      </w:r>
      <w:r>
        <w:rPr>
          <w:rFonts w:ascii="Arial" w:cs="Arial" w:eastAsia="Arial" w:hAnsi="Arial"/>
          <w:sz w:val="18"/>
          <w:szCs w:val="18"/>
          <w:i w:val="1"/>
          <w:iCs w:val="1"/>
          <w:color w:val="auto"/>
        </w:rPr>
        <w:t>déposé au rang des minutes d’un notaire</w:t>
      </w:r>
      <w:r>
        <w:rPr>
          <w:rFonts w:ascii="Arial" w:cs="Arial" w:eastAsia="Arial" w:hAnsi="Arial"/>
          <w:sz w:val="18"/>
          <w:szCs w:val="18"/>
          <w:color w:val="auto"/>
        </w:rPr>
        <w: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following is a summary of material U.S. federal income tax consequences relating to the ownership and disposition of Additional Notes as of the date hereof, and does not purport to be to be a complete analysis of all the potential tax considerations relating thereto. Except where noted, this summary deals only with Additional Notes that are held as capital assets (within the meaning of Section 1221 of the Code (as defined below)) by a beneficial owner who acquired the Additional Notes in connection with the offering contemplated hereby and any references to “Notes” below are intended to refer solely to such Additional Notes.</w:t>
      </w:r>
    </w:p>
    <w:p>
      <w:pPr>
        <w:spacing w:after="0" w:line="133"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06" w:lineRule="exact"/>
        <w:rPr>
          <w:sz w:val="20"/>
          <w:szCs w:val="20"/>
          <w:color w:val="auto"/>
        </w:rPr>
      </w:pPr>
    </w:p>
    <w:p>
      <w:pPr>
        <w:jc w:val="both"/>
        <w:ind w:left="120" w:right="240" w:firstLine="440"/>
        <w:spacing w:after="0" w:line="306" w:lineRule="auto"/>
        <w:rPr>
          <w:sz w:val="20"/>
          <w:szCs w:val="20"/>
          <w:color w:val="auto"/>
        </w:rPr>
      </w:pPr>
      <w:r>
        <w:rPr>
          <w:rFonts w:ascii="Arial" w:cs="Arial" w:eastAsia="Arial" w:hAnsi="Arial"/>
          <w:sz w:val="16"/>
          <w:szCs w:val="16"/>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93"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controlled foreign corporation, a foreign personal holding company, a passive foreign investment company,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3" w:lineRule="exact"/>
        <w:rPr>
          <w:sz w:val="20"/>
          <w:szCs w:val="20"/>
          <w:color w:val="auto"/>
        </w:rPr>
      </w:pPr>
    </w:p>
    <w:p>
      <w:pPr>
        <w:ind w:left="120" w:right="220" w:firstLine="440"/>
        <w:spacing w:after="0" w:line="262" w:lineRule="auto"/>
        <w:rPr>
          <w:sz w:val="20"/>
          <w:szCs w:val="20"/>
          <w:color w:val="auto"/>
        </w:rPr>
      </w:pPr>
      <w:r>
        <w:rPr>
          <w:rFonts w:ascii="Arial" w:cs="Arial" w:eastAsia="Arial" w:hAnsi="Arial"/>
          <w:sz w:val="18"/>
          <w:szCs w:val="18"/>
          <w:b w:val="1"/>
          <w:bCs w:val="1"/>
          <w:color w:val="auto"/>
        </w:rPr>
        <w:t>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Qualified Reopening</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For U.S. federal income tax purposes, we expect and the following discussion assumes that the Additional Notes will be treated as issued in a “qualified reopening” of the Existing Notes. For U.S. federal income tax purposes, debt instruments issued in a qualified reopening are deemed to be part of the same issue as the original debt instruments. Under the treatment described in this paragraph, the Additional Notes will have the same issue date and the same issue price as the Existing Notes for U.S. federal income tax purposes, and because the Existing Notes were issued at less than a de minimis discount from their stated principal amount, the Existing Notes were issued without OID and, therefore, the Additional Notes offered hereby will also be issued without OID. If the Additional Notes were not issued in a qualified reopening, the timing, amount and character of the income recognized with respect to the Additional Notes could differ from that described herein and in the accompanying prospectus, and the Additional Notes might not be fungible with the Existing Notes.</w:t>
      </w:r>
    </w:p>
    <w:p>
      <w:pPr>
        <w:spacing w:after="0" w:line="110" w:lineRule="exact"/>
        <w:rPr>
          <w:sz w:val="20"/>
          <w:szCs w:val="20"/>
          <w:color w:val="auto"/>
        </w:rPr>
      </w:pPr>
    </w:p>
    <w:p>
      <w:pPr>
        <w:ind w:left="120" w:right="180" w:firstLine="440"/>
        <w:spacing w:after="0" w:line="317" w:lineRule="auto"/>
        <w:rPr>
          <w:sz w:val="20"/>
          <w:szCs w:val="20"/>
          <w:color w:val="auto"/>
        </w:rPr>
      </w:pPr>
      <w:r>
        <w:rPr>
          <w:rFonts w:ascii="Arial" w:cs="Arial" w:eastAsia="Arial" w:hAnsi="Arial"/>
          <w:sz w:val="15"/>
          <w:szCs w:val="15"/>
          <w:color w:val="auto"/>
        </w:rPr>
        <w:t>A portion of the price paid for the Notes issued pursuant to this offering will be allocable to interest that accrued prior to the date such Notes are purchased (“pre-acquisition accrued interest”). To the extent a portion of your purchase price is allocable to pre-acquisition accrued interest, the portion of the first stated interest payment equal to the amount of such pre-acquisition accrued interest may be treated as a non-taxable return of such pre-acquisition accrued interest to you, rather than as taxable interest, as if you had purchased the Note on the secondary market between interest payment dates. If so, the amount treated as a return of pre-acquisition accrued interest will reduce your adjusted tax basis in the Notes by a corresponding amount.</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Contingent Payments</w:t>
      </w:r>
    </w:p>
    <w:p>
      <w:pPr>
        <w:spacing w:after="0" w:line="83"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5"/>
          <w:szCs w:val="15"/>
          <w:color w:val="auto"/>
        </w:rPr>
        <w:t>We may become obligated to pay an amount in excess of the stated interest and/or the principal amount of the Notes, as described, for example, in “Description of the Notes—Optional Redemption” and “Description of the Notes—Additional Amounts” The obligation to make these payments may cause a special method of accounting for interest income and expense arising with respect to debt instruments that provide for one or more contingent payments (“contingent payment debt instruments”) to apply. The relevant U.S. Treasury regulations state, however, that, for purposes of determining whether a debt instrument is a contingent payment debt instrument, remote or incidental contingencies are ignored. We intend to take the position that the Notes should not be characterized as contingent payment debt instruments under United States federal income tax law because the contingency that would require us to make any of these contingent payments is remote, or is incidental. Our determination is binding on a beneficial owner, unless the beneficial owner discloses in the proper manner to the IRS that it is taking a different position. Our determination is not, however, binding on the IRS, and if the IRS successfully takes a contrary position, you may be required (i) to accrue interest income at a rate higher than the stated interest rate on the Notes, and (ii) to treat as ordinary income, rather than capital gain, a portion or all of any gain on the sale or retirement of the Notes. In addition, in that event the issuance of the Notes will not be treated as a “qualified reopening” for U.S. federal income tax purposes. You should consult your tax advisor about the risk of the Notes being treated as contingent payment debt instruments. The remainder of this discussion assumes that the Notes are not contingent payment debt instruments.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on a Note (other than pre-acquisition accrued interest) will generally be taxable to you as ordinary interest income as it accrues or</w:t>
      </w:r>
      <w:r>
        <w:rPr>
          <w:rFonts w:ascii="Arial" w:cs="Arial" w:eastAsia="Arial" w:hAnsi="Arial"/>
          <w:sz w:val="18"/>
          <w:szCs w:val="18"/>
          <w:i w:val="1"/>
          <w:iCs w:val="1"/>
          <w:color w:val="auto"/>
        </w:rPr>
        <w:t xml:space="preserve"> </w:t>
      </w:r>
      <w:r>
        <w:rPr>
          <w:rFonts w:ascii="Arial" w:cs="Arial" w:eastAsia="Arial" w:hAnsi="Arial"/>
          <w:sz w:val="18"/>
          <w:szCs w:val="18"/>
          <w:color w:val="auto"/>
        </w:rPr>
        <w:t>is received by you in accordance with your usual method of accounting for U.S. federal income tax purposes. Interest income from the Notes will constitute foreign-source income, which may be relevant to you in calculating your foreign tax credit limitation. The limitation on foreign taxes eligible for credit is calculated separately with respect to specific classes of income.</w:t>
      </w:r>
    </w:p>
    <w:p>
      <w:pPr>
        <w:spacing w:after="0" w:line="12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i w:val="1"/>
          <w:iCs w:val="1"/>
          <w:color w:val="auto"/>
        </w:rPr>
        <w:t>Bond Premium</w:t>
      </w:r>
      <w:r>
        <w:rPr>
          <w:rFonts w:ascii="Arial" w:cs="Arial" w:eastAsia="Arial" w:hAnsi="Arial"/>
          <w:sz w:val="18"/>
          <w:szCs w:val="18"/>
          <w:color w:val="auto"/>
        </w:rPr>
        <w:t>. If the amount you paid for the Notes pursuant to this offering (excluding any amount attributable to pre-acquisition accrued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is greater than its principal amount, you will generally be considered to have purchased the Notes with “bond premium” in the amount equal to such excess. You generally</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may be able to elect to amortize this bond premium, using a constant-yield method, over the remaining term of the Notes by offsetting the interest income on such Note allocable to an accrual period with the premium allocable to such accrual period. If the bond premium allocable to an accrual period exceeds the stated interest income allocable to the accrual period, the excess is generally treated as a bond premium deduction. If you make such an election, your adjusted tax basis in the Notes will be reduced by the amount of premium amortized. However, because the Notes may be optionally redeemed by us for an amount in excess of their principal amount, special rules apply that could result in a deferral or reduction of the amortization of the bond premium until later in the term of the Notes. An election to amortize bond premium applies to all taxable debt obligations owned or acquired by you on or after the first day of the first taxable year for which the election is made and may be revoked only with the consent of the IRS. If you do not elect to amortize the premium, the premium will decrease the gain or increase the loss you would otherwise recognize on a disposition of such Notes.</w:t>
      </w:r>
    </w:p>
    <w:p>
      <w:pPr>
        <w:spacing w:after="0" w:line="11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 xml:space="preserve">Sale, Exchange or Other Taxable Dispositions of Notes. </w:t>
      </w:r>
      <w:r>
        <w:rPr>
          <w:rFonts w:ascii="Arial" w:cs="Arial" w:eastAsia="Arial" w:hAnsi="Arial"/>
          <w:sz w:val="16"/>
          <w:szCs w:val="16"/>
          <w:color w:val="auto"/>
        </w:rPr>
        <w:t>If you are a U.S. Holder, upon the sale, exchange, redemption, retirement or other taxable</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 and decreased by any amortized bond premium and amounts attributable to pre-acquisition accrued interest).</w:t>
      </w:r>
    </w:p>
    <w:p>
      <w:pPr>
        <w:spacing w:after="0" w:line="106"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w:t>
      </w:r>
    </w:p>
    <w:p>
      <w:pPr>
        <w:spacing w:after="0" w:line="1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 xml:space="preserve">Additional Tax on Net Investment Income. </w:t>
      </w:r>
      <w:r>
        <w:rPr>
          <w:rFonts w:ascii="Arial" w:cs="Arial" w:eastAsia="Arial" w:hAnsi="Arial"/>
          <w:sz w:val="16"/>
          <w:szCs w:val="16"/>
          <w:color w:val="auto"/>
        </w:rPr>
        <w:t>U.S. persons that are individuals, estates, or certain trusts are generally subject to a 3.8% tax on the lesser</w:t>
      </w:r>
      <w:r>
        <w:rPr>
          <w:rFonts w:ascii="Arial" w:cs="Arial" w:eastAsia="Arial" w:hAnsi="Arial"/>
          <w:sz w:val="16"/>
          <w:szCs w:val="16"/>
          <w:i w:val="1"/>
          <w:iCs w:val="1"/>
          <w:color w:val="auto"/>
        </w:rPr>
        <w:t xml:space="preserve"> </w:t>
      </w:r>
      <w:r>
        <w:rPr>
          <w:rFonts w:ascii="Arial" w:cs="Arial" w:eastAsia="Arial" w:hAnsi="Arial"/>
          <w:sz w:val="16"/>
          <w:szCs w:val="16"/>
          <w:color w:val="auto"/>
        </w:rPr>
        <w:t>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04"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federal backup withholding will apply to interest on the Notes and proceeds from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of the Notes unless (a) you are an exempt recipient and, when required, demonstrate this fact, (b) you provide a correct taxpayer identification number and otherwise comply with applicable requirements of the backup withholding rules, or (c) in certain circumstances, you certify under penalty of perjury that you are not subject to backup withholding. The backup withholding rate is currently 24%. A U.S. Holder who does not provide a correct taxpayer identification number may also be subject to penalties imposed by the IRS.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credit against your U.S.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liability and may entitle you to a refund, provided the required information is timely furnished to the IRS.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You will also be subject to information reporting on interest on the Notes and proceeds from the sale or other disposition of the Notes, unless you are an exempt recipient and appropriately establish that exemption.</w:t>
      </w:r>
    </w:p>
    <w:p>
      <w:pPr>
        <w:spacing w:after="0" w:line="112" w:lineRule="exact"/>
        <w:rPr>
          <w:sz w:val="20"/>
          <w:szCs w:val="20"/>
          <w:color w:val="auto"/>
        </w:rPr>
      </w:pPr>
    </w:p>
    <w:p>
      <w:pPr>
        <w:jc w:val="both"/>
        <w:ind w:left="120" w:firstLine="440"/>
        <w:spacing w:after="0" w:line="310" w:lineRule="auto"/>
        <w:rPr>
          <w:sz w:val="20"/>
          <w:szCs w:val="20"/>
          <w:color w:val="auto"/>
        </w:rPr>
      </w:pPr>
      <w:r>
        <w:rPr>
          <w:rFonts w:ascii="Arial" w:cs="Arial" w:eastAsia="Arial" w:hAnsi="Arial"/>
          <w:sz w:val="16"/>
          <w:szCs w:val="16"/>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 (CONFLICTS OF INTEREST)</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Subject to the terms and conditions contained in an underwriting agreement, dated as of the date of this prospectus supplement among us, the Guarantor and Citigroup Global Markets Inc., we have agreed to sell to the underwriter, and the underwriter has agreed to purchase from us, $350,000,000 principal amount of Notes.</w:t>
      </w:r>
    </w:p>
    <w:p>
      <w:pPr>
        <w:spacing w:after="0" w:line="126"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color w:val="auto"/>
        </w:rPr>
        <w:t>The underwriter is offering the Notes subject to its acceptance of the Notes from us and subject to prior sale. The underwriting agreement provides that the obligation of the underwriter to pay for and accept delivery of the Notes offered by this prospectus supplement is subject to certain conditions. The underwriter is obligated to take and pay for all of the Notes offered by this prospectus supplement if any such Notes are taken.</w:t>
      </w:r>
    </w:p>
    <w:p>
      <w:pPr>
        <w:spacing w:after="0" w:line="9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underwriter has agreed to purchase the Additional Notes at a price equal to 102.635% of the principal amount offered hereby, which will result in approximately $360,181,875 of net proceeds to us (after deducting the estimated expenses of the offering payable by us but including the $1,159,375 of interest deemed to have accrued from June 26, 2020). The underwriter may offer the Notes through negotiated transactions or otherwise at market prices prevailing at the time of sale, at prices related to prevailing market prices or at negotiated prices, subject to receipt of acceptance by them and subject to their right to reject any order in whole or in part. The underwriter may effect such transactions by selling the Notes to or through dealers, and such dealers may receive compensation in the form of discounts, concessions or commissions from the underwriters and/or purchasers of the Notes for whom they may act as agents or to whom they may sell as principal. The underwriter may offer and sell Notes through certain of its affiliates. The difference between the price at which the underwriter purchases the Notes and the price at which the underwriter resells such Notes may be deemed underwriting compensation.</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Expenses associated with this offering to be paid by us, other than underwriting discounts, are estimated to be approximately U.S.$200,000.</w:t>
      </w:r>
    </w:p>
    <w:p>
      <w:pPr>
        <w:spacing w:after="0" w:line="181"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We have also agreed to indemnify the underwriter against certain liabilities, including liabilities under the Securities Act of 1933, as amended, or to contribute to payments which the underwriter may be required to make in respect of any such liabilities.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Notes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We do not intend to apply to list the Additional Notes on any securities exchange or arrange for the Additional Notes to be quoted on any automated quotation system. The trading market for the Additional Notes may not be maintained. We have been advised by the underwriter that it presently intends to make a market in the Additional Notes after completion of the offering. However, it is under no obligation to do so and may discontinue any market-making activities at any time without any notice. We cannot assure the liquidity of the trading market for the Notes. If an active public trading market for the Additional Notes is not maintained, the market price and liquidity of the Additional Notes may be adversely affected.</w:t>
      </w:r>
    </w:p>
    <w:p>
      <w:pPr>
        <w:spacing w:after="0" w:line="10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 connection with the offering of the Notes, the underwriter may engage in transactions that stabilize, maintain or otherwise affect the price of the Notes. Specifically, the underwriter may overallot in connection with the offering, creating a short position. In addition, the underwriter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 will engage in any of those transactions or of the magnitude of any effect that the transactions described above may have on the market price of the Notes. The underwriter will not be required to engage in these activities, and if it engages in these activities, it may end any of these activities at any time without notice.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7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the United Kingdom.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No. 2017/1129 (as amended, the “Prospectus Regulation”).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and the United Kingdom may be unlawful under the PRIIPs Regulation. This prospectus supplement has been prepared on the basis that any offer of Notes in any Member State of the EEA and the United Kingdom will be made pursuant to an exemption under the Prospectus Regulation from the requirement to publish a prospectus for offers of Notes. This prospectus supplement is not a prospectus for the purposes of the Prospectus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Luxembourg</w:t>
      </w:r>
    </w:p>
    <w:p>
      <w:pPr>
        <w:spacing w:after="0" w:line="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terms and conditions relating to this prospectus supplement have not been approved by and will not be submitted for approval to the Luxembourg Financial Services Authority (</w:t>
      </w:r>
      <w:r>
        <w:rPr>
          <w:rFonts w:ascii="Arial" w:cs="Arial" w:eastAsia="Arial" w:hAnsi="Arial"/>
          <w:sz w:val="16"/>
          <w:szCs w:val="16"/>
          <w:i w:val="1"/>
          <w:iCs w:val="1"/>
          <w:color w:val="auto"/>
        </w:rPr>
        <w:t>Commission de Surveillance du Secteur Financier</w:t>
      </w:r>
      <w:r>
        <w:rPr>
          <w:rFonts w:ascii="Arial" w:cs="Arial" w:eastAsia="Arial" w:hAnsi="Arial"/>
          <w:sz w:val="16"/>
          <w:szCs w:val="16"/>
          <w:color w:val="auto"/>
        </w:rPr>
        <w:t>) for purposes of public offering or sale in the Grand Duchy of Luxembourg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77"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3"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initial purchasers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Neither this prospectus supplement nor the accompanying prospectus has been, and neither will be, registered as a prospectus with the Monetary Authority of Singapore. Accordingly, the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(as defined in Section 4A of the SFA) pursuant to Section 274 of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60"/>
        <w:spacing w:after="0" w:line="306" w:lineRule="auto"/>
        <w:rPr>
          <w:sz w:val="20"/>
          <w:szCs w:val="20"/>
          <w:color w:val="auto"/>
        </w:rPr>
      </w:pPr>
      <w:r>
        <w:rPr>
          <w:rFonts w:ascii="Arial" w:cs="Arial" w:eastAsia="Arial" w:hAnsi="Arial"/>
          <w:sz w:val="16"/>
          <w:szCs w:val="16"/>
          <w:color w:val="auto"/>
        </w:rPr>
        <w:t>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any Notes are subscribed or purchased under Section 275 by a relevant person which is:</w:t>
      </w:r>
    </w:p>
    <w:p>
      <w:pPr>
        <w:spacing w:after="0" w:line="77" w:lineRule="exact"/>
        <w:rPr>
          <w:sz w:val="20"/>
          <w:szCs w:val="20"/>
          <w:color w:val="auto"/>
        </w:rPr>
      </w:pPr>
    </w:p>
    <w:p>
      <w:pPr>
        <w:ind w:left="1080" w:right="60" w:hanging="532"/>
        <w:spacing w:after="0" w:line="325"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5" w:lineRule="exact"/>
        <w:rPr>
          <w:sz w:val="20"/>
          <w:szCs w:val="20"/>
          <w:color w:val="auto"/>
        </w:rPr>
      </w:pPr>
    </w:p>
    <w:p>
      <w:pPr>
        <w:ind w:left="1080" w:right="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76" w:lineRule="exact"/>
        <w:rPr>
          <w:rFonts w:ascii="Arial" w:cs="Arial" w:eastAsia="Arial" w:hAnsi="Arial"/>
          <w:sz w:val="18"/>
          <w:szCs w:val="18"/>
          <w:color w:val="auto"/>
        </w:rPr>
      </w:pPr>
    </w:p>
    <w:p>
      <w:pPr>
        <w:ind w:left="1140" w:hanging="59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76"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76"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Notification under Section 309B(1) of the SFA—The Notes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77" w:lineRule="exact"/>
        <w:rPr>
          <w:sz w:val="20"/>
          <w:szCs w:val="20"/>
          <w:color w:val="auto"/>
        </w:rPr>
      </w:pPr>
    </w:p>
    <w:p>
      <w:pPr>
        <w:ind w:left="120" w:right="120" w:firstLine="440"/>
        <w:spacing w:after="0" w:line="294"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Taiwan</w:t>
      </w:r>
    </w:p>
    <w:p>
      <w:pPr>
        <w:spacing w:after="0" w:line="77"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and Sale of the Notes</w:t>
      </w:r>
    </w:p>
    <w:p>
      <w:pPr>
        <w:spacing w:after="0" w:line="83"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From time to time in the ordinary course of their respective businesses, the underwriter and its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2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or its affiliates may hedge their credit exposure to us consistent with their customary risk management policies. Typically, the underwriter and its affiliates would hedge such exposure by entering into transactions that consist of either the purchase of credit default swaps or the creation of short positions in our securities, including potentially the Notes. Any such credit default swaps and short positions could adversely affect future trading prices of the Notes.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Certain affiliates of the underwriter may be holders of our commercial paper. As a result of the anticipated use of proceeds here, one or more affiliates of the underwriter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Certain legal matters in connection with the notes offered hereby will be passed upon for us by Gibson, Dunn &amp; Crutcher LLP, New York, New York, Loyens &amp; Loeff Luxembourg S.à r.l., Luxembourg and STvB Advocaten, Curaçao and for the underwriter by Davis Polk &amp; Wardwell LLP, New York, New York.</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left="120" w:right="280" w:firstLine="440"/>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Schlumberger Limited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18"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and the accompanying prospectus are for informational purposes only and are not intended to be hyperlinks. Accordingly, no information found on or accessible through such internet addresses is intended or deemed to be incorporated by reference herein.</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64" w:lineRule="exact"/>
        <w:rPr>
          <w:sz w:val="20"/>
          <w:szCs w:val="20"/>
          <w:color w:val="auto"/>
        </w:rPr>
      </w:pPr>
    </w:p>
    <w:p>
      <w:pPr>
        <w:ind w:left="120" w:right="120" w:firstLine="440"/>
        <w:spacing w:after="0" w:line="294" w:lineRule="auto"/>
        <w:rPr>
          <w:sz w:val="20"/>
          <w:szCs w:val="20"/>
          <w:color w:val="auto"/>
        </w:rPr>
      </w:pPr>
      <w:r>
        <w:rPr>
          <w:rFonts w:ascii="Arial" w:cs="Arial" w:eastAsia="Arial" w:hAnsi="Arial"/>
          <w:sz w:val="16"/>
          <w:szCs w:val="16"/>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02"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We are incorporating by reference into this prospectus supplement and the accompanying prospectus the following documents listed below and any other filings made by the Guarantor under Section 13(a), 13(c), 14 or 15(d) of the Exchange Act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18" w:lineRule="exact"/>
        <w:rPr>
          <w:sz w:val="20"/>
          <w:szCs w:val="20"/>
          <w:color w:val="auto"/>
        </w:rPr>
      </w:pPr>
    </w:p>
    <w:p>
      <w:pPr>
        <w:ind w:left="760" w:right="120" w:hanging="212"/>
        <w:spacing w:after="0" w:line="325"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Guarantor’s Annual Report on </w:t>
      </w:r>
      <w:hyperlink r:id="rId6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2019, as filed with the SEC on January 22, 2020 (including the portions of the proxy statement for the Guarantor’s 2020 annual meeting of shareholders incorporated by reference therein);</w:t>
      </w:r>
    </w:p>
    <w:p>
      <w:pPr>
        <w:spacing w:after="0" w:line="1" w:lineRule="exact"/>
        <w:rPr>
          <w:rFonts w:ascii="Arial" w:cs="Arial" w:eastAsia="Arial" w:hAnsi="Arial"/>
          <w:sz w:val="16"/>
          <w:szCs w:val="16"/>
          <w:color w:val="auto"/>
        </w:rPr>
      </w:pPr>
    </w:p>
    <w:p>
      <w:pPr>
        <w:ind w:left="760" w:right="60" w:hanging="212"/>
        <w:spacing w:after="0" w:line="268"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Guarantor’s Quarterly Reports on Form 10-Q for the fiscal quarter ended </w:t>
      </w:r>
      <w:hyperlink r:id="rId61">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as filed with the SEC on April 22, 2020, and for the fiscal quarter ended </w:t>
      </w:r>
      <w:hyperlink r:id="rId62">
        <w:r>
          <w:rPr>
            <w:rFonts w:ascii="Arial" w:cs="Arial" w:eastAsia="Arial" w:hAnsi="Arial"/>
            <w:sz w:val="18"/>
            <w:szCs w:val="18"/>
            <w:u w:val="single" w:color="auto"/>
            <w:color w:val="0000EE"/>
          </w:rPr>
          <w:t>June 30, 2020</w:t>
        </w:r>
      </w:hyperlink>
      <w:r>
        <w:rPr>
          <w:rFonts w:ascii="Arial" w:cs="Arial" w:eastAsia="Arial" w:hAnsi="Arial"/>
          <w:sz w:val="18"/>
          <w:szCs w:val="18"/>
          <w:color w:val="auto"/>
        </w:rPr>
        <w:t>, as filed with the SEC on July 29, 2020; and</w:t>
      </w:r>
    </w:p>
    <w:p>
      <w:pPr>
        <w:spacing w:after="0" w:line="118"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220" w:hanging="212"/>
        <w:spacing w:after="0" w:line="268" w:lineRule="auto"/>
        <w:tabs>
          <w:tab w:leader="none" w:pos="760" w:val="left"/>
        </w:tabs>
        <w:numPr>
          <w:ilvl w:val="0"/>
          <w:numId w:val="27"/>
        </w:numPr>
        <w:rPr>
          <w:rFonts w:ascii="Arial" w:cs="Arial" w:eastAsia="Arial" w:hAnsi="Arial"/>
          <w:sz w:val="18"/>
          <w:szCs w:val="18"/>
          <w:color w:val="0000EE"/>
        </w:rPr>
      </w:pPr>
      <w:hyperlink r:id="rId64">
        <w:r>
          <w:rPr>
            <w:rFonts w:ascii="Arial" w:cs="Arial" w:eastAsia="Arial" w:hAnsi="Arial"/>
            <w:sz w:val="18"/>
            <w:szCs w:val="18"/>
            <w:color w:val="auto"/>
          </w:rPr>
          <w:t xml:space="preserve">the Guarantor’s Current Reports on Form 8-K as filed with the SEC on </w:t>
        </w:r>
        <w:r>
          <w:rPr>
            <w:rFonts w:ascii="Arial" w:cs="Arial" w:eastAsia="Arial" w:hAnsi="Arial"/>
            <w:sz w:val="18"/>
            <w:szCs w:val="18"/>
            <w:u w:val="single" w:color="auto"/>
            <w:color w:val="0000EE"/>
          </w:rPr>
          <w:t>February 14,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17, 2020</w:t>
        </w:r>
        <w:r>
          <w:rPr>
            <w:rFonts w:ascii="Arial" w:cs="Arial" w:eastAsia="Arial" w:hAnsi="Arial"/>
            <w:sz w:val="18"/>
            <w:szCs w:val="18"/>
            <w:color w:val="auto"/>
          </w:rPr>
          <w:t xml:space="preserve"> (Item 8.01 only), </w:t>
        </w:r>
        <w:r>
          <w:rPr>
            <w:rFonts w:ascii="Arial" w:cs="Arial" w:eastAsia="Arial" w:hAnsi="Arial"/>
            <w:sz w:val="18"/>
            <w:szCs w:val="18"/>
            <w:u w:val="single" w:color="auto"/>
            <w:color w:val="0000EE"/>
          </w:rPr>
          <w:t>June</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16, 2020</w:t>
        </w:r>
        <w:r>
          <w:rPr>
            <w:rFonts w:ascii="Arial" w:cs="Arial" w:eastAsia="Arial" w:hAnsi="Arial"/>
            <w:sz w:val="18"/>
            <w:szCs w:val="18"/>
            <w:color w:val="0000EE"/>
          </w:rPr>
          <w:t xml:space="preserve"> </w:t>
        </w:r>
        <w:r>
          <w:rPr>
            <w:rFonts w:ascii="Arial" w:cs="Arial" w:eastAsia="Arial" w:hAnsi="Arial"/>
            <w:sz w:val="18"/>
            <w:szCs w:val="18"/>
            <w:color w:val="000000"/>
          </w:rPr>
          <w:t>(Item 2.05 only),</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 xml:space="preserve">June 26, 2020 </w:t>
        </w:r>
      </w:hyperlink>
      <w:hyperlink r:id="rId6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 xml:space="preserve">July 24, 2020 </w:t>
        </w:r>
      </w:hyperlink>
      <w:hyperlink r:id="rId64">
        <w:r>
          <w:rPr>
            <w:rFonts w:ascii="Arial" w:cs="Arial" w:eastAsia="Arial" w:hAnsi="Arial"/>
            <w:sz w:val="18"/>
            <w:szCs w:val="18"/>
            <w:color w:val="000000"/>
          </w:rPr>
          <w:t>(Item 5.02 only).</w:t>
        </w:r>
      </w:hyperlink>
    </w:p>
    <w:p>
      <w:pPr>
        <w:spacing w:after="0" w:line="118" w:lineRule="exact"/>
        <w:rPr>
          <w:rFonts w:ascii="Arial" w:cs="Arial" w:eastAsia="Arial" w:hAnsi="Arial"/>
          <w:sz w:val="18"/>
          <w:szCs w:val="18"/>
          <w:color w:val="0000EE"/>
        </w:rPr>
      </w:pPr>
    </w:p>
    <w:p>
      <w:pPr>
        <w:ind w:left="120" w:firstLine="440"/>
        <w:spacing w:after="0" w:line="291" w:lineRule="auto"/>
        <w:rPr>
          <w:sz w:val="20"/>
          <w:szCs w:val="20"/>
          <w:color w:val="auto"/>
        </w:rPr>
      </w:pPr>
      <w:r>
        <w:rPr>
          <w:rFonts w:ascii="Arial" w:cs="Arial" w:eastAsia="Arial" w:hAnsi="Arial"/>
          <w:sz w:val="16"/>
          <w:szCs w:val="16"/>
          <w:color w:val="auto"/>
        </w:rPr>
        <w:t>Any statement contained in this prospectus supplement and accompanying prospectus or in a document incorporated or deemed to be incorporated by reference in this prospectus supplement and accompanying prospectus shall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shall be deemed, except as so modified or superseded, to constitute a part of this prospectus supplement and accompanying prospectus.</w:t>
      </w:r>
    </w:p>
    <w:p>
      <w:pPr>
        <w:spacing w:after="0" w:line="106" w:lineRule="exact"/>
        <w:rPr>
          <w:rFonts w:ascii="Arial" w:cs="Arial" w:eastAsia="Arial" w:hAnsi="Arial"/>
          <w:sz w:val="18"/>
          <w:szCs w:val="18"/>
          <w:color w:val="0000EE"/>
        </w:rPr>
      </w:pPr>
    </w:p>
    <w:p>
      <w:pPr>
        <w:ind w:left="120" w:right="140" w:firstLine="440"/>
        <w:spacing w:after="0" w:line="259"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26" w:lineRule="exact"/>
        <w:rPr>
          <w:rFonts w:ascii="Arial" w:cs="Arial" w:eastAsia="Arial" w:hAnsi="Arial"/>
          <w:sz w:val="18"/>
          <w:szCs w:val="18"/>
          <w:color w:val="0000EE"/>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26"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15"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rFonts w:ascii="Arial" w:cs="Arial" w:eastAsia="Arial" w:hAnsi="Arial"/>
          <w:sz w:val="18"/>
          <w:szCs w:val="18"/>
          <w:color w:val="0000EE"/>
        </w:rPr>
      </w:pPr>
    </w:p>
    <w:p>
      <w:pPr>
        <w:ind w:left="5500" w:hanging="424"/>
        <w:spacing w:after="0"/>
        <w:tabs>
          <w:tab w:leader="none" w:pos="5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375-3535</w:t>
      </w:r>
    </w:p>
    <w:p>
      <w:pPr>
        <w:spacing w:after="0" w:line="9"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1" w:lineRule="exact"/>
        <w:rPr>
          <w:rFonts w:ascii="Arial" w:cs="Arial" w:eastAsia="Arial" w:hAnsi="Arial"/>
          <w:sz w:val="18"/>
          <w:szCs w:val="18"/>
          <w:color w:val="0000EE"/>
        </w:rPr>
      </w:pPr>
    </w:p>
    <w:p>
      <w:pPr>
        <w:ind w:left="120" w:right="40" w:firstLine="440"/>
        <w:spacing w:after="0" w:line="268" w:lineRule="auto"/>
        <w:rPr>
          <w:sz w:val="20"/>
          <w:szCs w:val="20"/>
          <w:color w:val="auto"/>
        </w:rPr>
      </w:pPr>
      <w:r>
        <w:rPr>
          <w:rFonts w:ascii="Arial" w:cs="Arial" w:eastAsia="Arial" w:hAnsi="Arial"/>
          <w:sz w:val="18"/>
          <w:szCs w:val="18"/>
          <w:color w:val="auto"/>
        </w:rPr>
        <w:t>Except as provided above, no other information (including information on or accessible through the Guarantor’s website) is incorporated by reference into this prospectus supplement and accompanying prospectus.</w:t>
      </w:r>
    </w:p>
    <w:p>
      <w:pPr>
        <w:spacing w:after="0" w:line="118"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334645</wp:posOffset>
            </wp:positionV>
            <wp:extent cx="1568450" cy="394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5684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52" w:lineRule="exact"/>
        <w:rPr>
          <w:sz w:val="20"/>
          <w:szCs w:val="20"/>
          <w:color w:val="auto"/>
        </w:rPr>
      </w:pPr>
    </w:p>
    <w:p>
      <w:pPr>
        <w:ind w:left="120" w:firstLine="440"/>
        <w:spacing w:after="0" w:line="239" w:lineRule="auto"/>
        <w:rPr>
          <w:sz w:val="20"/>
          <w:szCs w:val="20"/>
          <w:color w:val="auto"/>
        </w:rPr>
      </w:pPr>
      <w:r>
        <w:rPr>
          <w:rFonts w:ascii="Arial" w:cs="Arial" w:eastAsia="Arial" w:hAnsi="Arial"/>
          <w:sz w:val="22"/>
          <w:szCs w:val="22"/>
          <w:b w:val="1"/>
          <w:bCs w:val="1"/>
          <w:color w:val="auto"/>
        </w:rPr>
        <w:t>Investing in the securities involves risks. You should consider carefully the risk factors identified in Part I, Item 1A “Risk Factors” of our most recent Annual Report on Form 10-K, as well as any risk factors we may describe in any subsequent periodic reports or information we file with the SEC, or in any prospectus supplement, before making an investment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380365</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350520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April 25, 2019</w:t>
      </w:r>
    </w:p>
    <w:p>
      <w:pPr>
        <w:sectPr>
          <w:pgSz w:w="11900" w:h="16838" w:orient="portrait"/>
          <w:cols w:equalWidth="0" w:num="1">
            <w:col w:w="11100"/>
          </w:cols>
          <w:pgMar w:left="320" w:top="459" w:right="4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280" w:type="dxa"/>
            <w:vAlign w:val="bottom"/>
          </w:tcPr>
          <w:p>
            <w:pPr>
              <w:spacing w:after="0"/>
              <w:rPr>
                <w:sz w:val="20"/>
                <w:szCs w:val="20"/>
                <w:color w:val="auto"/>
              </w:rPr>
            </w:pPr>
          </w:p>
        </w:tc>
      </w:tr>
      <w:tr>
        <w:trPr>
          <w:trHeight w:val="513"/>
        </w:trPr>
        <w:tc>
          <w:tcPr>
            <w:tcW w:w="4800" w:type="dxa"/>
            <w:vAlign w:val="bottom"/>
          </w:tcPr>
          <w:p>
            <w:pPr>
              <w:spacing w:after="0"/>
              <w:rPr>
                <w:sz w:val="24"/>
                <w:szCs w:val="24"/>
                <w:color w:val="auto"/>
              </w:rPr>
            </w:pPr>
          </w:p>
        </w:tc>
        <w:tc>
          <w:tcPr>
            <w:tcW w:w="6280" w:type="dxa"/>
            <w:vAlign w:val="bottom"/>
          </w:tcPr>
          <w:p>
            <w:pPr>
              <w:jc w:val="right"/>
              <w:ind w:right="4710"/>
              <w:spacing w:after="0"/>
              <w:rPr>
                <w:sz w:val="20"/>
                <w:szCs w:val="20"/>
                <w:color w:val="auto"/>
              </w:rPr>
            </w:pPr>
            <w:r>
              <w:rPr>
                <w:rFonts w:ascii="Arial" w:cs="Arial" w:eastAsia="Arial" w:hAnsi="Arial"/>
                <w:sz w:val="18"/>
                <w:szCs w:val="18"/>
                <w:b w:val="1"/>
                <w:bCs w:val="1"/>
                <w:color w:val="auto"/>
                <w:w w:val="97"/>
              </w:rPr>
              <w:t>Table of contents</w:t>
            </w:r>
          </w:p>
        </w:tc>
      </w:tr>
      <w:tr>
        <w:trPr>
          <w:trHeight w:val="459"/>
        </w:trPr>
        <w:tc>
          <w:tcPr>
            <w:tcW w:w="48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the Guarantor</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w w:val="93"/>
              </w:rPr>
            </w:pPr>
            <w:hyperlink w:anchor="page51">
              <w:r>
                <w:rPr>
                  <w:rFonts w:ascii="Arial" w:cs="Arial" w:eastAsia="Arial" w:hAnsi="Arial"/>
                  <w:sz w:val="18"/>
                  <w:szCs w:val="18"/>
                  <w:u w:val="single" w:color="auto"/>
                  <w:color w:val="0000EE"/>
                  <w:w w:val="93"/>
                </w:rPr>
                <w:t>Cautionary Statement Regarding Forward-Looking Statements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Experts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“Guarantor” or “Schlumberger” refers to Schlumberger Limited, the ultimate parent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6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Guarantor</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Guarantor, together with its subsidiaries, is the world’s leading provider of technology for reservoir characterization, drilling, production and processing to the oil and gas industry, and supplies the industry’s most comprehensive range of products and services, from exploration through production, and integrated pore-to-pipeline solutions that optimize hydrocarbon recovery to deliver reservoir performance.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United States market for Schlumberger’s common stock is the NYSE, where it is traded under the symbol “SLB.”</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organizational status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92" w:lineRule="exact"/>
        <w:rPr>
          <w:sz w:val="20"/>
          <w:szCs w:val="20"/>
          <w:color w:val="auto"/>
        </w:rPr>
      </w:pPr>
    </w:p>
    <w:p>
      <w:pPr>
        <w:ind w:left="1080" w:right="2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Annual Report on </w:t>
      </w:r>
      <w:hyperlink r:id="rId6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Schlumberger Limited for the fiscal year ended December 31, 2018, as filed with the SEC on January 23, 2019 (including the portions of our proxy statement for our 2019 annual meeting of shareholders incorporated by reference therein);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0000EE"/>
        </w:rPr>
      </w:pPr>
      <w:r>
        <w:rPr>
          <w:rFonts w:ascii="Arial" w:cs="Arial" w:eastAsia="Arial" w:hAnsi="Arial"/>
          <w:sz w:val="18"/>
          <w:szCs w:val="18"/>
          <w:color w:val="auto"/>
        </w:rPr>
        <w:t xml:space="preserve">the Current Reports on Form 8-K or Form 8-K/A of Schlumberger Limited as filed with the SEC on </w:t>
      </w:r>
      <w:hyperlink r:id="rId76">
        <w:r>
          <w:rPr>
            <w:rFonts w:ascii="Arial" w:cs="Arial" w:eastAsia="Arial" w:hAnsi="Arial"/>
            <w:sz w:val="18"/>
            <w:szCs w:val="18"/>
            <w:u w:val="single" w:color="auto"/>
            <w:color w:val="0000EE"/>
          </w:rPr>
          <w:t>February 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77">
        <w:r>
          <w:rPr>
            <w:rFonts w:ascii="Arial" w:cs="Arial" w:eastAsia="Arial" w:hAnsi="Arial"/>
            <w:sz w:val="18"/>
            <w:szCs w:val="18"/>
            <w:u w:val="single" w:color="auto"/>
            <w:color w:val="0000EE"/>
          </w:rPr>
          <w:t>March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8">
        <w:r>
          <w:rPr>
            <w:rFonts w:ascii="Arial" w:cs="Arial" w:eastAsia="Arial" w:hAnsi="Arial"/>
            <w:sz w:val="18"/>
            <w:szCs w:val="18"/>
            <w:u w:val="single" w:color="auto"/>
            <w:color w:val="0000EE"/>
          </w:rPr>
          <w:t xml:space="preserve">March 28,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9">
        <w:r>
          <w:rPr>
            <w:rFonts w:ascii="Arial" w:cs="Arial" w:eastAsia="Arial" w:hAnsi="Arial"/>
            <w:sz w:val="18"/>
            <w:szCs w:val="18"/>
            <w:u w:val="single" w:color="auto"/>
            <w:color w:val="0000EE"/>
          </w:rPr>
          <w:t>April 3, 2019</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120" w:firstLine="440"/>
        <w:spacing w:after="0" w:line="255"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92" w:lineRule="exact"/>
        <w:rPr>
          <w:rFonts w:ascii="Arial" w:cs="Arial" w:eastAsia="Arial" w:hAnsi="Arial"/>
          <w:sz w:val="18"/>
          <w:szCs w:val="18"/>
          <w:color w:val="0000EE"/>
        </w:rPr>
      </w:pPr>
    </w:p>
    <w:p>
      <w:pPr>
        <w:jc w:val="both"/>
        <w:ind w:left="120" w:right="800" w:firstLine="440"/>
        <w:spacing w:after="0" w:line="26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16"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00" w:hanging="438"/>
        <w:spacing w:after="0"/>
        <w:tabs>
          <w:tab w:leader="none" w:pos="5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375-3400</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provided above, no other information (including information on our website) is incorporated by reference into this prospectus.</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92"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93"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growth for the Schlumberger Group as a whole and for each of its segments (and for specified products or geographic areas within each segment);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Schlumberger Group’s effective tax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U.S. tax reform;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 including our transformation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Schlumberger Group’s SPM projects, joint ventures and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debt securities that we may issue will be senior debt securities that will be issued under an indenture, dated December 3, 2013,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w:t>
      </w:r>
    </w:p>
    <w:p>
      <w:pPr>
        <w:spacing w:after="0" w:line="16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9"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92"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indenture;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shall be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93"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and upon what terms debt securities of a series may be defeased if different from the provisions set forth in the indenture;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75"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66"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4"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Schlumberger will:</w:t>
      </w:r>
    </w:p>
    <w:p>
      <w:pPr>
        <w:spacing w:after="0" w:line="131" w:lineRule="exact"/>
        <w:rPr>
          <w:sz w:val="20"/>
          <w:szCs w:val="20"/>
          <w:color w:val="auto"/>
        </w:rPr>
      </w:pPr>
    </w:p>
    <w:p>
      <w:pPr>
        <w:ind w:left="1080" w:right="3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31" w:lineRule="exact"/>
        <w:rPr>
          <w:sz w:val="20"/>
          <w:szCs w:val="20"/>
          <w:color w:val="auto"/>
        </w:rPr>
      </w:pPr>
    </w:p>
    <w:p>
      <w:pPr>
        <w:ind w:left="1080" w:right="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1" w:lineRule="exact"/>
        <w:rPr>
          <w:sz w:val="20"/>
          <w:szCs w:val="20"/>
          <w:color w:val="auto"/>
        </w:rPr>
      </w:pPr>
    </w:p>
    <w:p>
      <w:pPr>
        <w:ind w:left="120" w:hanging="4"/>
        <w:spacing w:after="0" w:line="286" w:lineRule="auto"/>
        <w:tabs>
          <w:tab w:leader="none" w:pos="3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74" w:lineRule="exact"/>
        <w:rPr>
          <w:rFonts w:ascii="Arial" w:cs="Arial" w:eastAsia="Arial" w:hAnsi="Arial"/>
          <w:sz w:val="16"/>
          <w:szCs w:val="16"/>
          <w:color w:val="auto"/>
        </w:rPr>
      </w:pPr>
    </w:p>
    <w:p>
      <w:pPr>
        <w:ind w:left="1080" w:right="120" w:hanging="532"/>
        <w:spacing w:after="0" w:line="255"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9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1080" w:right="220" w:hanging="532"/>
        <w:spacing w:after="0" w:line="286" w:lineRule="auto"/>
        <w:tabs>
          <w:tab w:leader="none" w:pos="1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70" w:lineRule="exact"/>
        <w:rPr>
          <w:rFonts w:ascii="Arial" w:cs="Arial" w:eastAsia="Arial" w:hAnsi="Arial"/>
          <w:sz w:val="17"/>
          <w:szCs w:val="17"/>
          <w:color w:val="auto"/>
        </w:rPr>
      </w:pPr>
    </w:p>
    <w:p>
      <w:pPr>
        <w:ind w:left="1080" w:right="620" w:hanging="532"/>
        <w:spacing w:after="0" w:line="277"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conclusions of the ECOFIN Council meeting of November 26 and 27, 2000 on the taxation of savings income, or any law implementing or complying with or introduced in order to conform to, such directive;</w:t>
      </w:r>
    </w:p>
    <w:p>
      <w:pPr>
        <w:spacing w:after="0" w:line="76" w:lineRule="exact"/>
        <w:rPr>
          <w:sz w:val="20"/>
          <w:szCs w:val="20"/>
          <w:color w:val="auto"/>
        </w:rPr>
      </w:pPr>
    </w:p>
    <w:p>
      <w:pPr>
        <w:ind w:left="1080" w:right="800" w:hanging="532"/>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debt securities or the Guarantee;</w:t>
      </w:r>
    </w:p>
    <w:p>
      <w:pPr>
        <w:spacing w:after="0" w:line="153"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5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deemed to include mention of the payment of Additional Amounts to the extent that, in such context, Additional Amounts are, were or would be payable in respect thereof.</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6" w:lineRule="exact"/>
        <w:rPr>
          <w:sz w:val="20"/>
          <w:szCs w:val="20"/>
          <w:color w:val="auto"/>
        </w:rPr>
      </w:pPr>
    </w:p>
    <w:p>
      <w:pPr>
        <w:ind w:left="1080" w:right="1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9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hanging="4"/>
        <w:spacing w:after="0" w:line="259" w:lineRule="auto"/>
        <w:tabs>
          <w:tab w:leader="none" w:pos="3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7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1080" w:right="300" w:hanging="532"/>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1" w:lineRule="exact"/>
        <w:rPr>
          <w:rFonts w:ascii="Arial" w:cs="Arial" w:eastAsia="Arial" w:hAnsi="Arial"/>
          <w:sz w:val="17"/>
          <w:szCs w:val="17"/>
          <w:color w:val="auto"/>
        </w:rPr>
      </w:pPr>
    </w:p>
    <w:p>
      <w:pPr>
        <w:ind w:left="1080" w:right="180" w:hanging="532"/>
        <w:spacing w:after="0" w:line="29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ind w:left="108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debt securities, provided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540" w:right="8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75"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5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76" w:lineRule="exact"/>
        <w:rPr>
          <w:sz w:val="20"/>
          <w:szCs w:val="20"/>
          <w:color w:val="auto"/>
        </w:rPr>
      </w:pPr>
    </w:p>
    <w:p>
      <w:pPr>
        <w:ind w:left="1080" w:right="2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76"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142"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76"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52"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 Subsidiary” above;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54" w:lineRule="exact"/>
        <w:rPr>
          <w:sz w:val="20"/>
          <w:szCs w:val="20"/>
          <w:color w:val="auto"/>
        </w:rPr>
      </w:pPr>
    </w:p>
    <w:p>
      <w:pPr>
        <w:ind w:left="10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70"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 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5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left="120" w:right="480" w:firstLine="440"/>
        <w:spacing w:after="0" w:line="301" w:lineRule="auto"/>
        <w:rPr>
          <w:sz w:val="20"/>
          <w:szCs w:val="20"/>
          <w:color w:val="auto"/>
        </w:rPr>
      </w:pPr>
      <w:r>
        <w:rPr>
          <w:rFonts w:ascii="Arial" w:cs="Arial" w:eastAsia="Arial" w:hAnsi="Arial"/>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80" w:right="3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92" w:lineRule="exact"/>
        <w:rPr>
          <w:sz w:val="20"/>
          <w:szCs w:val="20"/>
          <w:color w:val="auto"/>
        </w:rPr>
      </w:pPr>
    </w:p>
    <w:p>
      <w:pPr>
        <w:ind w:left="10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9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27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Validity of the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debt securities offered hereby will be passed upon for us by Gibson, Dunn &amp; Crutcher LLP, New York, New York.</w:t>
      </w: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2018 have been so incorporated in reliance on the report of PricewaterhouseCoopers LLP, an independent registered public accounting firm, given on the authority of that firm as experts in auditing and accounting.</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9" w:right="5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274320</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00"/>
        <w:spacing w:after="0"/>
        <w:rPr>
          <w:sz w:val="20"/>
          <w:szCs w:val="20"/>
          <w:color w:val="auto"/>
        </w:rPr>
      </w:pPr>
      <w:r>
        <w:rPr>
          <w:rFonts w:ascii="Arial" w:cs="Arial" w:eastAsia="Arial" w:hAnsi="Arial"/>
          <w:sz w:val="58"/>
          <w:szCs w:val="58"/>
          <w:b w:val="1"/>
          <w:bCs w:val="1"/>
          <w:color w:val="auto"/>
        </w:rPr>
        <w:t>Schlumberger Investment SA</w:t>
      </w:r>
    </w:p>
    <w:p>
      <w:pPr>
        <w:spacing w:after="0" w:line="240" w:lineRule="exact"/>
        <w:rPr>
          <w:sz w:val="20"/>
          <w:szCs w:val="20"/>
          <w:color w:val="auto"/>
        </w:rPr>
      </w:pPr>
    </w:p>
    <w:p>
      <w:pPr>
        <w:jc w:val="center"/>
        <w:ind w:left="1880" w:right="1040"/>
        <w:spacing w:after="0" w:line="254" w:lineRule="auto"/>
        <w:rPr>
          <w:sz w:val="20"/>
          <w:szCs w:val="20"/>
          <w:color w:val="auto"/>
        </w:rPr>
      </w:pPr>
      <w:r>
        <w:rPr>
          <w:rFonts w:ascii="Arial" w:cs="Arial" w:eastAsia="Arial" w:hAnsi="Arial"/>
          <w:sz w:val="32"/>
          <w:szCs w:val="32"/>
          <w:b w:val="1"/>
          <w:bCs w:val="1"/>
          <w:color w:val="auto"/>
        </w:rPr>
        <w:t>$350,000,000 2.650% Senior Notes due 2030 Fully and unconditionally guaranteed by 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681355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132715</wp:posOffset>
            </wp:positionV>
            <wp:extent cx="1731645"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1731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160655</wp:posOffset>
            </wp:positionV>
            <wp:extent cx="7715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100"/>
        <w:spacing w:after="0"/>
        <w:rPr>
          <w:sz w:val="20"/>
          <w:szCs w:val="20"/>
          <w:color w:val="auto"/>
        </w:rPr>
      </w:pPr>
      <w:r>
        <w:rPr>
          <w:rFonts w:ascii="Arial" w:cs="Arial" w:eastAsia="Arial" w:hAnsi="Arial"/>
          <w:sz w:val="22"/>
          <w:szCs w:val="22"/>
          <w:i w:val="1"/>
          <w:iCs w:val="1"/>
          <w:color w:val="auto"/>
        </w:rPr>
        <w:t>Sole Book-Running Manager</w:t>
      </w:r>
    </w:p>
    <w:p>
      <w:pPr>
        <w:spacing w:after="0" w:line="36" w:lineRule="exact"/>
        <w:rPr>
          <w:sz w:val="20"/>
          <w:szCs w:val="20"/>
          <w:color w:val="auto"/>
        </w:rPr>
      </w:pPr>
    </w:p>
    <w:p>
      <w:pPr>
        <w:ind w:left="4720"/>
        <w:spacing w:after="0"/>
        <w:rPr>
          <w:sz w:val="20"/>
          <w:szCs w:val="20"/>
          <w:color w:val="auto"/>
        </w:rPr>
      </w:pPr>
      <w:r>
        <w:rPr>
          <w:rFonts w:ascii="Arial" w:cs="Arial" w:eastAsia="Arial" w:hAnsi="Arial"/>
          <w:sz w:val="43"/>
          <w:szCs w:val="4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253365</wp:posOffset>
            </wp:positionV>
            <wp:extent cx="699516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2"/>
    </w:lvl>
  </w:abstractNum>
  <w:abstractNum w:abstractNumId="10">
    <w:nsid w:val="3006C83E"/>
    <w:multiLevelType w:val="hybridMultilevel"/>
    <w:lvl w:ilvl="0">
      <w:lvlJc w:val="left"/>
      <w:lvlText w:val="(%1)"/>
      <w:numFmt w:val="lowerLetter"/>
      <w:start w:val="25"/>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Roman"/>
      <w:start w:val="1"/>
    </w:lvl>
  </w:abstractNum>
  <w:abstractNum w:abstractNumId="22">
    <w:nsid w:val="51EAD36B"/>
    <w:multiLevelType w:val="hybridMultilevel"/>
    <w:lvl w:ilvl="0">
      <w:lvlJc w:val="left"/>
      <w:lvlText w:val="(%1)"/>
      <w:numFmt w:val="lowerRoman"/>
      <w:start w:val="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Roman"/>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713"/>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713"/>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lvl w:ilvl="1">
      <w:lvlJc w:val="left"/>
      <w:lvlText w:val="(%2)"/>
      <w:numFmt w:val="decimal"/>
      <w:start w:val="1"/>
    </w:lvl>
  </w:abstractNum>
  <w:abstractNum w:abstractNumId="39">
    <w:nsid w:val="7644A45C"/>
    <w:multiLevelType w:val="hybridMultilevel"/>
    <w:lvl w:ilvl="0">
      <w:lvlJc w:val="left"/>
      <w:lvlText w:val="(%1)"/>
      <w:numFmt w:val="decimal"/>
      <w:start w:val="6"/>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lowerRoman"/>
      <w:start w:val="2"/>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7"/>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jpe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jpe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60" Type="http://schemas.openxmlformats.org/officeDocument/2006/relationships/hyperlink" Target="http://www.sec.gov/ix?doc=/Archives/edgar/data/87347/000156459020001578/slb-10k_20191231.htm" TargetMode="External"/><Relationship Id="rId61" Type="http://schemas.openxmlformats.org/officeDocument/2006/relationships/hyperlink" Target="http://www.sec.gov/ix?doc=/Archives/edgar/data/87347/000156459020017823/slb-10q_20200331.htm" TargetMode="External"/><Relationship Id="rId62" Type="http://schemas.openxmlformats.org/officeDocument/2006/relationships/hyperlink" Target="http://www.sec.gov/ix?doc=/Archives/edgar/data/87347/000156459020034137/slb-10q_20200630.htm" TargetMode="External"/><Relationship Id="rId64" Type="http://schemas.openxmlformats.org/officeDocument/2006/relationships/hyperlink" Target="http://www.sec.gov/ix?doc=/Archives/edgar/data/87347/000119312520170138/d944136d8k.htm" TargetMode="External"/><Relationship Id="rId65" Type="http://schemas.openxmlformats.org/officeDocument/2006/relationships/hyperlink" Target="http://www.sec.gov/ix?doc=/Archives/edgar/data/87347/000119312520180957/d925505d8k.htm" TargetMode="External"/><Relationship Id="rId66" Type="http://schemas.openxmlformats.org/officeDocument/2006/relationships/hyperlink" Target="http://www.sec.gov/ix?doc=/Archives/edgar/data/87347/000119312520198628/d79341d8k.htm" TargetMode="External"/><Relationship Id="rId76" Type="http://schemas.openxmlformats.org/officeDocument/2006/relationships/hyperlink" Target="http://www.sec.gov/Archives/edgar/data/87347/000119312519031479/d662264d8k.htm" TargetMode="External"/><Relationship Id="rId77" Type="http://schemas.openxmlformats.org/officeDocument/2006/relationships/hyperlink" Target="http://www.sec.gov/Archives/edgar/data/87347/000119312519060080/d717830d8ka.htm" TargetMode="External"/><Relationship Id="rId78" Type="http://schemas.openxmlformats.org/officeDocument/2006/relationships/hyperlink" Target="http://www.sec.gov/Archives/edgar/data/87347/000119312519090118/d722544d8k.htm" TargetMode="External"/><Relationship Id="rId79" Type="http://schemas.openxmlformats.org/officeDocument/2006/relationships/hyperlink" Target="http://www.sec.gov/Archives/edgar/data/87347/000119312519096693/d72956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2020-08-06T15:36:33Z</dcterms:created>
  <dcterms:modified xsi:type="dcterms:W3CDTF">2020-08-06T15:36:33Z</dcterms:modified>
</cp:coreProperties>
</file>