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40"/>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140"/>
        <w:spacing w:after="0"/>
        <w:rPr>
          <w:sz w:val="20"/>
          <w:szCs w:val="20"/>
          <w:color w:val="auto"/>
        </w:rPr>
      </w:pPr>
      <w:r>
        <w:rPr>
          <w:rFonts w:ascii="Arial" w:cs="Arial" w:eastAsia="Arial" w:hAnsi="Arial"/>
          <w:sz w:val="32"/>
          <w:szCs w:val="32"/>
          <w:b w:val="1"/>
          <w:bCs w:val="1"/>
          <w:color w:val="auto"/>
        </w:rPr>
        <w:t>CURRENT REPORT</w:t>
      </w:r>
    </w:p>
    <w:p>
      <w:pPr>
        <w:spacing w:after="0" w:line="159"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177800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4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40"/>
        <w:spacing w:after="0"/>
        <w:rPr>
          <w:sz w:val="20"/>
          <w:szCs w:val="20"/>
          <w:color w:val="auto"/>
        </w:rPr>
      </w:pPr>
      <w:r>
        <w:rPr>
          <w:rFonts w:ascii="Arial" w:cs="Arial" w:eastAsia="Arial" w:hAnsi="Arial"/>
          <w:sz w:val="43"/>
          <w:szCs w:val="43"/>
          <w:b w:val="1"/>
          <w:bCs w:val="1"/>
          <w:color w:val="auto"/>
        </w:rPr>
        <w:t>(SCHLUMBERGER LIMITED)</w:t>
      </w:r>
    </w:p>
    <w:p>
      <w:pPr>
        <w:jc w:val="center"/>
        <w:ind w:right="-1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20" w:type="dxa"/>
            <w:vAlign w:val="bottom"/>
          </w:tcPr>
          <w:p>
            <w:pPr>
              <w:jc w:val="center"/>
              <w:ind w:right="1798"/>
              <w:spacing w:after="0"/>
              <w:rPr>
                <w:sz w:val="20"/>
                <w:szCs w:val="20"/>
                <w:color w:val="auto"/>
              </w:rPr>
            </w:pPr>
            <w:r>
              <w:rPr>
                <w:rFonts w:ascii="Arial" w:cs="Arial" w:eastAsia="Arial" w:hAnsi="Arial"/>
                <w:sz w:val="18"/>
                <w:szCs w:val="18"/>
                <w:b w:val="1"/>
                <w:bCs w:val="1"/>
                <w:color w:val="auto"/>
                <w:w w:val="88"/>
              </w:rPr>
              <w:t>Netherlands Antilles</w:t>
            </w:r>
          </w:p>
        </w:tc>
        <w:tc>
          <w:tcPr>
            <w:tcW w:w="2780" w:type="dxa"/>
            <w:vAlign w:val="bottom"/>
          </w:tcPr>
          <w:p>
            <w:pPr>
              <w:jc w:val="right"/>
              <w:ind w:right="1202"/>
              <w:spacing w:after="0"/>
              <w:rPr>
                <w:sz w:val="20"/>
                <w:szCs w:val="20"/>
                <w:color w:val="auto"/>
              </w:rPr>
            </w:pPr>
            <w:r>
              <w:rPr>
                <w:rFonts w:ascii="Arial" w:cs="Arial" w:eastAsia="Arial" w:hAnsi="Arial"/>
                <w:sz w:val="18"/>
                <w:szCs w:val="18"/>
                <w:b w:val="1"/>
                <w:bCs w:val="1"/>
                <w:color w:val="auto"/>
              </w:rPr>
              <w:t>1-4601</w:t>
            </w:r>
          </w:p>
        </w:tc>
        <w:tc>
          <w:tcPr>
            <w:tcW w:w="2860" w:type="dxa"/>
            <w:vAlign w:val="bottom"/>
          </w:tcPr>
          <w:p>
            <w:pPr>
              <w:jc w:val="center"/>
              <w:ind w:left="174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420" w:type="dxa"/>
            <w:vAlign w:val="bottom"/>
          </w:tcPr>
          <w:p>
            <w:pPr>
              <w:jc w:val="center"/>
              <w:ind w:right="1798"/>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78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8"/>
              </w:rPr>
              <w:t>(Commission File Number)</w:t>
            </w:r>
          </w:p>
        </w:tc>
        <w:tc>
          <w:tcPr>
            <w:tcW w:w="286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20" w:type="dxa"/>
            <w:vAlign w:val="bottom"/>
          </w:tcPr>
          <w:p>
            <w:pPr>
              <w:jc w:val="center"/>
              <w:ind w:right="1778"/>
              <w:spacing w:after="0"/>
              <w:rPr>
                <w:sz w:val="20"/>
                <w:szCs w:val="20"/>
                <w:color w:val="auto"/>
              </w:rPr>
            </w:pPr>
            <w:r>
              <w:rPr>
                <w:rFonts w:ascii="Arial" w:cs="Arial" w:eastAsia="Arial" w:hAnsi="Arial"/>
                <w:sz w:val="14"/>
                <w:szCs w:val="14"/>
                <w:b w:val="1"/>
                <w:bCs w:val="1"/>
                <w:color w:val="auto"/>
                <w:w w:val="89"/>
              </w:rPr>
              <w:t>of incorporation)</w:t>
            </w:r>
          </w:p>
        </w:tc>
        <w:tc>
          <w:tcPr>
            <w:tcW w:w="2780" w:type="dxa"/>
            <w:vAlign w:val="bottom"/>
          </w:tcPr>
          <w:p>
            <w:pPr>
              <w:spacing w:after="0"/>
              <w:rPr>
                <w:sz w:val="15"/>
                <w:szCs w:val="15"/>
                <w:color w:val="auto"/>
              </w:rPr>
            </w:pPr>
          </w:p>
        </w:tc>
        <w:tc>
          <w:tcPr>
            <w:tcW w:w="2860" w:type="dxa"/>
            <w:vAlign w:val="bottom"/>
          </w:tcPr>
          <w:p>
            <w:pPr>
              <w:jc w:val="center"/>
              <w:ind w:left="1721"/>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8"/>
              </w:rPr>
              <w:t>153 East 53rd Street, 57th Floor</w:t>
            </w:r>
          </w:p>
        </w:tc>
        <w:tc>
          <w:tcPr>
            <w:tcW w:w="27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2780" w:type="dxa"/>
            <w:vAlign w:val="bottom"/>
          </w:tcPr>
          <w:p>
            <w:pPr>
              <w:spacing w:after="0"/>
              <w:rPr>
                <w:sz w:val="19"/>
                <w:szCs w:val="19"/>
                <w:color w:val="auto"/>
              </w:rPr>
            </w:pPr>
          </w:p>
        </w:tc>
        <w:tc>
          <w:tcPr>
            <w:tcW w:w="2860" w:type="dxa"/>
            <w:vAlign w:val="bottom"/>
          </w:tcPr>
          <w:p>
            <w:pPr>
              <w:jc w:val="right"/>
              <w:ind w:right="1001"/>
              <w:spacing w:after="0"/>
              <w:rPr>
                <w:sz w:val="20"/>
                <w:szCs w:val="20"/>
                <w:color w:val="auto"/>
              </w:rPr>
            </w:pPr>
            <w:r>
              <w:rPr>
                <w:rFonts w:ascii="Arial" w:cs="Arial" w:eastAsia="Arial" w:hAnsi="Arial"/>
                <w:sz w:val="18"/>
                <w:szCs w:val="18"/>
                <w:b w:val="1"/>
                <w:bCs w:val="1"/>
                <w:color w:val="auto"/>
              </w:rPr>
              <w:t>10022-4624</w:t>
            </w:r>
          </w:p>
        </w:tc>
      </w:tr>
      <w:tr>
        <w:trPr>
          <w:trHeight w:val="420"/>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8"/>
              </w:rPr>
              <w:t>42, rue Saint-Dominique</w:t>
            </w:r>
          </w:p>
        </w:tc>
        <w:tc>
          <w:tcPr>
            <w:tcW w:w="27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Paris, France</w:t>
            </w:r>
          </w:p>
        </w:tc>
        <w:tc>
          <w:tcPr>
            <w:tcW w:w="2780" w:type="dxa"/>
            <w:vAlign w:val="bottom"/>
          </w:tcPr>
          <w:p>
            <w:pPr>
              <w:spacing w:after="0"/>
              <w:rPr>
                <w:sz w:val="19"/>
                <w:szCs w:val="19"/>
                <w:color w:val="auto"/>
              </w:rPr>
            </w:pPr>
          </w:p>
        </w:tc>
        <w:tc>
          <w:tcPr>
            <w:tcW w:w="2860" w:type="dxa"/>
            <w:vAlign w:val="bottom"/>
          </w:tcPr>
          <w:p>
            <w:pPr>
              <w:jc w:val="right"/>
              <w:ind w:right="1201"/>
              <w:spacing w:after="0"/>
              <w:rPr>
                <w:sz w:val="20"/>
                <w:szCs w:val="20"/>
                <w:color w:val="auto"/>
              </w:rPr>
            </w:pPr>
            <w:r>
              <w:rPr>
                <w:rFonts w:ascii="Arial" w:cs="Arial" w:eastAsia="Arial" w:hAnsi="Arial"/>
                <w:sz w:val="18"/>
                <w:szCs w:val="18"/>
                <w:b w:val="1"/>
                <w:bCs w:val="1"/>
                <w:color w:val="auto"/>
              </w:rPr>
              <w:t>75007</w:t>
            </w:r>
          </w:p>
        </w:tc>
      </w:tr>
      <w:tr>
        <w:trPr>
          <w:trHeight w:val="420"/>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Parkstraat 83,</w:t>
            </w:r>
          </w:p>
        </w:tc>
        <w:tc>
          <w:tcPr>
            <w:tcW w:w="27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6"/>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8"/>
              </w:rPr>
              <w:t>The Hague,</w:t>
            </w:r>
          </w:p>
        </w:tc>
        <w:tc>
          <w:tcPr>
            <w:tcW w:w="278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8"/>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The Netherlands</w:t>
            </w:r>
          </w:p>
        </w:tc>
        <w:tc>
          <w:tcPr>
            <w:tcW w:w="2780" w:type="dxa"/>
            <w:vAlign w:val="bottom"/>
          </w:tcPr>
          <w:p>
            <w:pPr>
              <w:spacing w:after="0"/>
              <w:rPr>
                <w:sz w:val="18"/>
                <w:szCs w:val="18"/>
                <w:color w:val="auto"/>
              </w:rPr>
            </w:pPr>
          </w:p>
        </w:tc>
        <w:tc>
          <w:tcPr>
            <w:tcW w:w="2860" w:type="dxa"/>
            <w:vAlign w:val="bottom"/>
          </w:tcPr>
          <w:p>
            <w:pPr>
              <w:jc w:val="center"/>
              <w:ind w:right="4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780" w:type="dxa"/>
            <w:vAlign w:val="bottom"/>
          </w:tcPr>
          <w:p>
            <w:pPr>
              <w:spacing w:after="0"/>
              <w:rPr>
                <w:sz w:val="15"/>
                <w:szCs w:val="15"/>
                <w:color w:val="auto"/>
              </w:rPr>
            </w:pPr>
          </w:p>
        </w:tc>
        <w:tc>
          <w:tcPr>
            <w:tcW w:w="2860" w:type="dxa"/>
            <w:vAlign w:val="bottom"/>
          </w:tcPr>
          <w:p>
            <w:pPr>
              <w:jc w:val="center"/>
              <w:ind w:right="41"/>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121"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Registrant’s telephone number in the United States, including area code: (</w:t>
      </w:r>
      <w:r>
        <w:rPr>
          <w:rFonts w:ascii="Arial" w:cs="Arial" w:eastAsia="Arial" w:hAnsi="Arial"/>
          <w:sz w:val="18"/>
          <w:szCs w:val="18"/>
          <w:b w:val="1"/>
          <w:bCs w:val="1"/>
          <w:color w:val="auto"/>
        </w:rPr>
        <w:t>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126365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407035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159"/>
          </w:cols>
          <w:pgMar w:left="1300" w:top="422" w:right="1440" w:bottom="1440" w:gutter="0" w:footer="0" w:header="0"/>
        </w:sectPr>
      </w:pPr>
    </w:p>
    <w:bookmarkStart w:id="1" w:name="page2"/>
    <w:bookmarkEnd w:id="1"/>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b w:val="1"/>
          <w:bCs w:val="1"/>
          <w:color w:val="auto"/>
        </w:rPr>
        <w:t>Other Events.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N.V. (Schlumberger Limited) (the “Company”) completed the sale of its NPTest and Verification Systems businesses in the third quarter of</w:t>
      </w:r>
    </w:p>
    <w:p>
      <w:pPr>
        <w:spacing w:after="0" w:line="38"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2003. The Company is filing this Current Report on Form 8-K to reclassify certain financial information of the NPTest and Verification Systems businesses pursuant to the requirements of Statement of Financial Accounting Standards (“SFAS”) No. 144, “Accounting for the Impairment or Disposal of Long Lived Assets.”</w:t>
      </w:r>
    </w:p>
    <w:p>
      <w:pPr>
        <w:spacing w:after="0" w:line="13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SFAS No. 144 provides that, in a period in which a component of an entity either has been disposed of or is classified as held for sale, the income statements for current and prior periods shall report the results of operations of the component as discontinued operations. In that connection, the Company has reclassified certain amounts in its Consolidated Statements of Income and Consolidated Statements of Cash Flows for the three years ended December 31, 2002 to reflect the reclassification required by SFAS No. 144.</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filing does not update the Company’s Management Discussion and Analysis and other disclosures in its Form 10-K except as described above since they would not be materially different after giving effect to this reclassification. For information on other developments regarding the Company since the filing of the Form 10-K, please refer to the Company’s reports filed under the Securities Exchange Act of 1934.</w:t>
      </w:r>
    </w:p>
    <w:p>
      <w:pPr>
        <w:sectPr>
          <w:pgSz w:w="11900" w:h="16838" w:orient="portrait"/>
          <w:cols w:equalWidth="0" w:num="1">
            <w:col w:w="11380"/>
          </w:cols>
          <w:pgMar w:left="240" w:top="274" w:right="279" w:bottom="1440" w:gutter="0" w:footer="0" w:header="0"/>
        </w:sectPr>
      </w:pPr>
    </w:p>
    <w:bookmarkStart w:id="2" w:name="page3"/>
    <w:bookmarkEnd w:id="2"/>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Selected Financial Data</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FIVE-YEAR SUMMARY</w:t>
      </w:r>
    </w:p>
    <w:p>
      <w:pPr>
        <w:spacing w:after="0" w:line="155" w:lineRule="exact"/>
        <w:rPr>
          <w:sz w:val="20"/>
          <w:szCs w:val="20"/>
          <w:color w:val="auto"/>
        </w:rPr>
      </w:pPr>
    </w:p>
    <w:p>
      <w:pPr>
        <w:ind w:left="8820"/>
        <w:spacing w:after="0"/>
        <w:rPr>
          <w:sz w:val="20"/>
          <w:szCs w:val="20"/>
          <w:color w:val="auto"/>
        </w:rPr>
      </w:pPr>
      <w:r>
        <w:rPr>
          <w:rFonts w:ascii="Arial" w:cs="Arial" w:eastAsia="Arial" w:hAnsi="Arial"/>
          <w:sz w:val="12"/>
          <w:szCs w:val="12"/>
          <w:i w:val="1"/>
          <w:iCs w:val="1"/>
          <w:color w:val="auto"/>
        </w:rPr>
        <w:t>(Stated in millions except per share amounts)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3"/>
              </w:rPr>
              <w:t>2002</w:t>
            </w:r>
          </w:p>
        </w:tc>
        <w:tc>
          <w:tcPr>
            <w:tcW w:w="580" w:type="dxa"/>
            <w:vAlign w:val="bottom"/>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 xml:space="preserve">2001 </w:t>
            </w:r>
            <w:r>
              <w:rPr>
                <w:rFonts w:ascii="Arial" w:cs="Arial" w:eastAsia="Arial" w:hAnsi="Arial"/>
                <w:sz w:val="22"/>
                <w:szCs w:val="22"/>
                <w:b w:val="1"/>
                <w:bCs w:val="1"/>
                <w:color w:val="auto"/>
                <w:w w:val="92"/>
                <w:vertAlign w:val="superscript"/>
              </w:rPr>
              <w:t>1</w:t>
            </w:r>
          </w:p>
        </w:tc>
        <w:tc>
          <w:tcPr>
            <w:tcW w:w="520" w:type="dxa"/>
            <w:vAlign w:val="bottom"/>
          </w:tcPr>
          <w:p>
            <w:pPr>
              <w:spacing w:after="0"/>
              <w:rPr>
                <w:sz w:val="24"/>
                <w:szCs w:val="24"/>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2"/>
              </w:rPr>
              <w:t xml:space="preserve">2000 </w:t>
            </w:r>
            <w:r>
              <w:rPr>
                <w:rFonts w:ascii="Arial" w:cs="Arial" w:eastAsia="Arial" w:hAnsi="Arial"/>
                <w:sz w:val="22"/>
                <w:szCs w:val="22"/>
                <w:b w:val="1"/>
                <w:bCs w:val="1"/>
                <w:color w:val="auto"/>
                <w:w w:val="92"/>
                <w:vertAlign w:val="superscript"/>
              </w:rPr>
              <w:t>1</w:t>
            </w:r>
          </w:p>
        </w:tc>
        <w:tc>
          <w:tcPr>
            <w:tcW w:w="480" w:type="dxa"/>
            <w:vAlign w:val="bottom"/>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 xml:space="preserve">1999 </w:t>
            </w:r>
            <w:r>
              <w:rPr>
                <w:rFonts w:ascii="Arial" w:cs="Arial" w:eastAsia="Arial" w:hAnsi="Arial"/>
                <w:sz w:val="22"/>
                <w:szCs w:val="22"/>
                <w:b w:val="1"/>
                <w:bCs w:val="1"/>
                <w:color w:val="auto"/>
                <w:w w:val="92"/>
                <w:vertAlign w:val="superscript"/>
              </w:rPr>
              <w:t>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 xml:space="preserve">1998 </w:t>
            </w:r>
            <w:r>
              <w:rPr>
                <w:rFonts w:ascii="Arial" w:cs="Arial" w:eastAsia="Arial" w:hAnsi="Arial"/>
                <w:sz w:val="22"/>
                <w:szCs w:val="22"/>
                <w:b w:val="1"/>
                <w:bCs w:val="1"/>
                <w:color w:val="auto"/>
                <w:w w:val="92"/>
                <w:vertAlign w:val="superscript"/>
              </w:rPr>
              <w:t>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OPERATIONS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Operating revenue:</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9,347</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9,867</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7,253</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tcPr>
          <w:p>
            <w:pPr>
              <w:ind w:left="420"/>
              <w:spacing w:after="0" w:line="176" w:lineRule="exact"/>
              <w:rPr>
                <w:sz w:val="20"/>
                <w:szCs w:val="20"/>
                <w:color w:val="auto"/>
              </w:rPr>
            </w:pPr>
            <w:r>
              <w:rPr>
                <w:rFonts w:ascii="Arial" w:cs="Arial" w:eastAsia="Arial" w:hAnsi="Arial"/>
                <w:sz w:val="13"/>
                <w:szCs w:val="13"/>
                <w:color w:val="auto"/>
              </w:rPr>
              <w:t xml:space="preserve">SchlumbergerSema </w:t>
            </w:r>
            <w:r>
              <w:rPr>
                <w:rFonts w:ascii="Arial" w:cs="Arial" w:eastAsia="Arial" w:hAnsi="Arial"/>
                <w:sz w:val="20"/>
                <w:szCs w:val="20"/>
                <w:color w:val="auto"/>
                <w:vertAlign w:val="superscript"/>
              </w:rPr>
              <w:t>2</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2,991</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2,258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238</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68</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shd w:val="clear" w:color="auto" w:fill="CCEEFF"/>
          </w:tcPr>
          <w:p>
            <w:pPr>
              <w:ind w:left="420"/>
              <w:spacing w:after="0" w:line="176"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1,202</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2,182</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w:t>
            </w: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ind w:left="420"/>
              <w:spacing w:after="0"/>
              <w:rPr>
                <w:sz w:val="20"/>
                <w:szCs w:val="20"/>
                <w:color w:val="auto"/>
              </w:rPr>
            </w:pPr>
            <w:r>
              <w:rPr>
                <w:rFonts w:ascii="Arial" w:cs="Arial" w:eastAsia="Arial" w:hAnsi="Arial"/>
                <w:sz w:val="14"/>
                <w:szCs w:val="14"/>
                <w:color w:val="auto"/>
              </w:rPr>
              <w:t>Eliminations and other</w:t>
            </w:r>
          </w:p>
        </w:tc>
        <w:tc>
          <w:tcPr>
            <w:tcW w:w="8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(298)</w:t>
            </w:r>
          </w:p>
        </w:tc>
        <w:tc>
          <w:tcPr>
            <w:tcW w:w="8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revenue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13,242</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13,878</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8,301</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10,701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Pretax segment income:</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1,328</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tcPr>
          <w:p>
            <w:pPr>
              <w:ind w:left="420"/>
              <w:spacing w:after="0" w:line="176" w:lineRule="exact"/>
              <w:rPr>
                <w:sz w:val="20"/>
                <w:szCs w:val="20"/>
                <w:color w:val="auto"/>
              </w:rPr>
            </w:pPr>
            <w:r>
              <w:rPr>
                <w:rFonts w:ascii="Arial" w:cs="Arial" w:eastAsia="Arial" w:hAnsi="Arial"/>
                <w:sz w:val="13"/>
                <w:szCs w:val="13"/>
                <w:color w:val="auto"/>
              </w:rPr>
              <w:t xml:space="preserve">SchlumbergerSema </w:t>
            </w:r>
            <w:r>
              <w:rPr>
                <w:rFonts w:ascii="Arial" w:cs="Arial" w:eastAsia="Arial" w:hAnsi="Arial"/>
                <w:sz w:val="20"/>
                <w:szCs w:val="20"/>
                <w:color w:val="auto"/>
                <w:vertAlign w:val="superscript"/>
              </w:rPr>
              <w:t>2</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shd w:val="clear" w:color="auto" w:fill="CCEEFF"/>
          </w:tcPr>
          <w:p>
            <w:pPr>
              <w:ind w:left="420"/>
              <w:spacing w:after="0" w:line="176"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680" w:type="dxa"/>
            <w:vAlign w:val="bottom"/>
          </w:tcPr>
          <w:p>
            <w:pPr>
              <w:ind w:left="420"/>
              <w:spacing w:after="0"/>
              <w:rPr>
                <w:sz w:val="20"/>
                <w:szCs w:val="20"/>
                <w:color w:val="auto"/>
              </w:rPr>
            </w:pPr>
            <w:r>
              <w:rPr>
                <w:rFonts w:ascii="Arial" w:cs="Arial" w:eastAsia="Arial" w:hAnsi="Arial"/>
                <w:sz w:val="14"/>
                <w:szCs w:val="14"/>
                <w:color w:val="auto"/>
              </w:rPr>
              <w:t xml:space="preserve">Eliminations </w:t>
            </w:r>
            <w:r>
              <w:rPr>
                <w:rFonts w:ascii="Arial" w:cs="Arial" w:eastAsia="Arial" w:hAnsi="Arial"/>
                <w:sz w:val="22"/>
                <w:szCs w:val="22"/>
                <w:color w:val="auto"/>
                <w:vertAlign w:val="superscript"/>
              </w:rPr>
              <w:t>4</w:t>
            </w:r>
          </w:p>
        </w:tc>
        <w:tc>
          <w:tcPr>
            <w:tcW w:w="80" w:type="dxa"/>
            <w:vAlign w:val="bottom"/>
          </w:tcPr>
          <w:p>
            <w:pPr>
              <w:spacing w:after="0"/>
              <w:rPr>
                <w:sz w:val="24"/>
                <w:szCs w:val="2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(148)</w:t>
            </w:r>
          </w:p>
        </w:tc>
        <w:tc>
          <w:tcPr>
            <w:tcW w:w="80" w:type="dxa"/>
            <w:vAlign w:val="bottom"/>
          </w:tcPr>
          <w:p>
            <w:pPr>
              <w:spacing w:after="0"/>
              <w:rPr>
                <w:sz w:val="24"/>
                <w:szCs w:val="2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4"/>
                <w:szCs w:val="2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4"/>
                <w:szCs w:val="2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(169)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segment income before minority interest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1,237</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ind w:left="420"/>
              <w:spacing w:after="0"/>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5"/>
                <w:szCs w:val="15"/>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pretax segment income, before charges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1,237</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1,428</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(13)%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68</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364</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tcPr>
          <w:p>
            <w:pPr>
              <w:spacing w:after="0" w:line="176" w:lineRule="exact"/>
              <w:rPr>
                <w:sz w:val="20"/>
                <w:szCs w:val="20"/>
                <w:color w:val="auto"/>
              </w:rPr>
            </w:pPr>
            <w:r>
              <w:rPr>
                <w:rFonts w:ascii="Arial" w:cs="Arial" w:eastAsia="Arial" w:hAnsi="Arial"/>
                <w:sz w:val="13"/>
                <w:szCs w:val="13"/>
                <w:color w:val="auto"/>
              </w:rPr>
              <w:t xml:space="preserve">Charges (net of minority interest) </w:t>
            </w:r>
            <w:r>
              <w:rPr>
                <w:rFonts w:ascii="Arial" w:cs="Arial" w:eastAsia="Arial" w:hAnsi="Arial"/>
                <w:sz w:val="20"/>
                <w:szCs w:val="20"/>
                <w:color w:val="auto"/>
                <w:vertAlign w:val="superscript"/>
              </w:rPr>
              <w:t>5</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3,077</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120</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432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Taxes on income </w:t>
            </w:r>
            <w:r>
              <w:rPr>
                <w:rFonts w:ascii="Arial" w:cs="Arial" w:eastAsia="Arial" w:hAnsi="Arial"/>
                <w:sz w:val="20"/>
                <w:szCs w:val="20"/>
                <w:color w:val="auto"/>
                <w:vertAlign w:val="superscript"/>
              </w:rPr>
              <w:t>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282</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continuing operations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w w:val="99"/>
              </w:rPr>
              <w:t>(2,418)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discontinued operations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w w:val="99"/>
              </w:rPr>
              <w:t>(2,320)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Basic earnings (loss) per share:</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Continuing operations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(4.18)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0.87</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0.56</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ind w:left="420"/>
              <w:spacing w:after="0"/>
              <w:rPr>
                <w:sz w:val="20"/>
                <w:szCs w:val="20"/>
                <w:color w:val="auto"/>
              </w:rPr>
            </w:pPr>
            <w:r>
              <w:rPr>
                <w:rFonts w:ascii="Arial" w:cs="Arial" w:eastAsia="Arial" w:hAnsi="Arial"/>
                <w:sz w:val="14"/>
                <w:szCs w:val="14"/>
                <w:color w:val="auto"/>
              </w:rPr>
              <w:t>Discontinued operations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0.17</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0.11</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0.78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(4.01)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ind w:left="420"/>
              <w:spacing w:after="0"/>
              <w:rPr>
                <w:sz w:val="20"/>
                <w:szCs w:val="20"/>
                <w:color w:val="auto"/>
              </w:rPr>
            </w:pPr>
            <w:r>
              <w:rPr>
                <w:rFonts w:ascii="Arial" w:cs="Arial" w:eastAsia="Arial" w:hAnsi="Arial"/>
                <w:sz w:val="14"/>
                <w:szCs w:val="14"/>
                <w:color w:val="auto"/>
              </w:rPr>
              <w:t>Add back amortization of goodwill</w:t>
            </w:r>
          </w:p>
        </w:tc>
        <w:tc>
          <w:tcPr>
            <w:tcW w:w="80" w:type="dxa"/>
            <w:vAlign w:val="bottom"/>
          </w:tcPr>
          <w:p>
            <w:pPr>
              <w:spacing w:after="0"/>
              <w:rPr>
                <w:sz w:val="15"/>
                <w:szCs w:val="15"/>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0.50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0.17</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0.16</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Adjusted earnings (loss) per share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(4.01)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(loss) per share: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420"/>
              <w:spacing w:after="0" w:line="149" w:lineRule="exact"/>
              <w:rPr>
                <w:sz w:val="20"/>
                <w:szCs w:val="20"/>
                <w:color w:val="auto"/>
              </w:rPr>
            </w:pPr>
            <w:r>
              <w:rPr>
                <w:rFonts w:ascii="Arial" w:cs="Arial" w:eastAsia="Arial" w:hAnsi="Arial"/>
                <w:sz w:val="14"/>
                <w:szCs w:val="14"/>
                <w:color w:val="auto"/>
              </w:rPr>
              <w:t>Continuing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(4.18)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0.87</w:t>
            </w:r>
          </w:p>
        </w:tc>
        <w:tc>
          <w:tcPr>
            <w:tcW w:w="5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4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0.56</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Discontinued operations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0.17</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(4.01)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ind w:left="420"/>
              <w:spacing w:after="0"/>
              <w:rPr>
                <w:sz w:val="20"/>
                <w:szCs w:val="20"/>
                <w:color w:val="auto"/>
              </w:rPr>
            </w:pPr>
            <w:r>
              <w:rPr>
                <w:rFonts w:ascii="Arial" w:cs="Arial" w:eastAsia="Arial" w:hAnsi="Arial"/>
                <w:sz w:val="14"/>
                <w:szCs w:val="14"/>
                <w:color w:val="auto"/>
              </w:rPr>
              <w:t>Add back amortization of goodwill</w:t>
            </w:r>
          </w:p>
        </w:tc>
        <w:tc>
          <w:tcPr>
            <w:tcW w:w="80" w:type="dxa"/>
            <w:vAlign w:val="bottom"/>
          </w:tcPr>
          <w:p>
            <w:pPr>
              <w:spacing w:after="0"/>
              <w:rPr>
                <w:sz w:val="15"/>
                <w:szCs w:val="15"/>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0.50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0.17</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0.15</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Adjusted earnings (loss) per share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(4.01)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0.75</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20" w:type="dxa"/>
            <w:vAlign w:val="bottom"/>
            <w:vMerge w:val="restart"/>
          </w:tcPr>
          <w:p>
            <w:pPr>
              <w:spacing w:after="0"/>
              <w:rPr>
                <w:sz w:val="24"/>
                <w:szCs w:val="24"/>
                <w:color w:val="auto"/>
              </w:rPr>
            </w:pPr>
          </w:p>
        </w:tc>
        <w:tc>
          <w:tcPr>
            <w:tcW w:w="6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FINANCIAL DATA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20"/>
                <w:szCs w:val="20"/>
                <w:color w:val="auto"/>
              </w:rPr>
            </w:pPr>
            <w:r>
              <w:rPr>
                <w:rFonts w:ascii="Arial" w:cs="Arial" w:eastAsia="Arial" w:hAnsi="Arial"/>
                <w:sz w:val="14"/>
                <w:szCs w:val="14"/>
                <w:color w:val="auto"/>
              </w:rPr>
              <w:t>Income as % of operating revenue, continuing operations</w:t>
            </w:r>
          </w:p>
        </w:tc>
        <w:tc>
          <w:tcPr>
            <w:tcW w:w="8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as % of operating revenue, continuing operations excluding charges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stockholders’ equity, continuing operations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stockholders’ equity, continuing operations excluding charges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 additions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1,364</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2,038</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expense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1,246</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1,165</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Avg. number of shares outstanding:</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ind w:left="42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579</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574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570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549</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544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Assuming dilution</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579</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 DECEMBER 31: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680" w:type="dxa"/>
            <w:vAlign w:val="bottom"/>
          </w:tcPr>
          <w:p>
            <w:pPr>
              <w:spacing w:after="0"/>
              <w:rPr>
                <w:sz w:val="20"/>
                <w:szCs w:val="20"/>
                <w:color w:val="auto"/>
              </w:rPr>
            </w:pPr>
            <w:r>
              <w:rPr>
                <w:rFonts w:ascii="Arial" w:cs="Arial" w:eastAsia="Arial" w:hAnsi="Arial"/>
                <w:sz w:val="14"/>
                <w:szCs w:val="14"/>
                <w:color w:val="auto"/>
              </w:rPr>
              <w:t xml:space="preserve">Liquidity </w:t>
            </w:r>
            <w:r>
              <w:rPr>
                <w:rFonts w:ascii="Arial" w:cs="Arial" w:eastAsia="Arial" w:hAnsi="Arial"/>
                <w:sz w:val="22"/>
                <w:szCs w:val="22"/>
                <w:color w:val="auto"/>
                <w:vertAlign w:val="superscript"/>
              </w:rPr>
              <w:t>7</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(5,021)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color w:val="auto"/>
                <w:w w:val="94"/>
              </w:rPr>
              <w:t>(5,037)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422</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1,231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731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735</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3,502</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19,435</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22,326</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17,173</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15,081</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16,078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-8439785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-8439785</wp:posOffset>
            </wp:positionV>
            <wp:extent cx="2159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-8439785</wp:posOffset>
            </wp:positionV>
            <wp:extent cx="3873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-8439785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-8439785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-8439785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-8439785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-8439785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-8439785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-8439785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-8439785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-8439785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-8439785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-8439785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-8439785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-5473065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-5473065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-5473065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-5473065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-5473065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-5473065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-5473065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-5473065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-5473065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-5473065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-5473065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-5473065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-5473065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-5473065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-5473065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-4358005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-4358005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-4358005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-4358005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-4358005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-4358005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-4358005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-4358005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-4358005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-4358005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-4358005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-4358005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-4358005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-4358005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-4358005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-3337560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-3337560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-3337560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-3337560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-3337560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-3337560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-3337560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-3337560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-3337560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-3337560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-3337560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-3337560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-3337560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-3337560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-3337560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-3080385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-3080385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-3080385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-3080385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-3080385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-3080385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-3080385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-3080385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-3080385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-3080385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-3080385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-3080385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-3080385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-3080385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-3080385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57" w:orient="portrait"/>
          <w:cols w:equalWidth="0" w:num="1">
            <w:col w:w="11420"/>
          </w:cols>
          <w:pgMar w:left="240" w:top="274"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Long-term debt</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6,029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6,216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5,606</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8,378</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8,295</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7,721</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employees continuing operations</w:t>
            </w: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78,000</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80,000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59,000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54,000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58,000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660" w:hanging="314"/>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Restated, in part, for organization changes and discontinued operations.</w:t>
      </w:r>
    </w:p>
    <w:p>
      <w:pPr>
        <w:ind w:left="660" w:hanging="314"/>
        <w:spacing w:after="0" w:line="221"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Sema plc was acquired on April 1, 2001.</w:t>
      </w:r>
    </w:p>
    <w:p>
      <w:pPr>
        <w:ind w:left="660" w:hanging="314"/>
        <w:spacing w:after="0"/>
        <w:tabs>
          <w:tab w:leader="none" w:pos="66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Principally includes the Cards, Terminals, Meters North America and the divested Resource Management Systems (sold in 2001) and Retail Petroleum Services (sold in 1998) businesses.</w:t>
      </w:r>
    </w:p>
    <w:p>
      <w:pPr>
        <w:spacing w:after="0" w:line="10" w:lineRule="exact"/>
        <w:rPr>
          <w:rFonts w:ascii="Arial" w:cs="Arial" w:eastAsia="Arial" w:hAnsi="Arial"/>
          <w:sz w:val="12"/>
          <w:szCs w:val="12"/>
          <w:color w:val="auto"/>
        </w:rPr>
      </w:pPr>
    </w:p>
    <w:p>
      <w:pPr>
        <w:ind w:left="660" w:hanging="314"/>
        <w:spacing w:after="0" w:line="221"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amortization of goodwill and other acquisition related intangibles.</w:t>
      </w:r>
    </w:p>
    <w:p>
      <w:pPr>
        <w:ind w:left="660" w:hanging="314"/>
        <w:spacing w:after="0" w:line="221"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For details of Charges, see pages 23-24 of this Report.</w:t>
      </w:r>
    </w:p>
    <w:p>
      <w:pPr>
        <w:ind w:left="660" w:right="80" w:hanging="314"/>
        <w:spacing w:after="0" w:line="258" w:lineRule="auto"/>
        <w:tabs>
          <w:tab w:leader="none" w:pos="66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 2002, the provision for income tax before the net tax expense on the charges was $246 million. In 2001, the provision for income taxes, before the tax expense on the charges was $391 million. In 2000, the provision for income taxes, before the tax benefit on the charges was $208 million. In 1999, the provision for income taxes, before the tax benefit on the charge and the tax expense on the gain on the sale of RPS financial instruments, was $124 million. In 1998, the provision for income taxes, before the tax benefit charge, was $324 million.</w:t>
      </w:r>
    </w:p>
    <w:p>
      <w:pPr>
        <w:ind w:left="660" w:hanging="314"/>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As defined on page 27 of this Report.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164" w:lineRule="exact"/>
        <w:rPr>
          <w:sz w:val="20"/>
          <w:szCs w:val="20"/>
          <w:color w:val="auto"/>
        </w:rPr>
      </w:pPr>
    </w:p>
    <w:p>
      <w:pPr>
        <w:ind w:left="8100"/>
        <w:spacing w:after="0"/>
        <w:rPr>
          <w:sz w:val="20"/>
          <w:szCs w:val="20"/>
          <w:color w:val="auto"/>
        </w:rPr>
      </w:pPr>
      <w:r>
        <w:rPr>
          <w:rFonts w:ascii="Arial" w:cs="Arial" w:eastAsia="Arial" w:hAnsi="Arial"/>
          <w:sz w:val="15"/>
          <w:szCs w:val="15"/>
          <w:i w:val="1"/>
          <w:iCs w:val="1"/>
          <w:color w:val="auto"/>
        </w:rPr>
        <w:t>(Stated in thousands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10" w:type="dxa"/>
            <w:vAlign w:val="bottom"/>
          </w:tcPr>
          <w:p>
            <w:pPr>
              <w:spacing w:after="0"/>
              <w:rPr>
                <w:sz w:val="15"/>
                <w:szCs w:val="15"/>
                <w:color w:val="auto"/>
              </w:rPr>
            </w:pPr>
          </w:p>
        </w:tc>
        <w:tc>
          <w:tcPr>
            <w:tcW w:w="81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592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81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w w:val="86"/>
              </w:rPr>
              <w:t>13,242,062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13,877,501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9,545,138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139,068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242,258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13,381,130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14,119,759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9,968,393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Cost of goods sold and services</w:t>
            </w:r>
          </w:p>
        </w:tc>
        <w:tc>
          <w:tcPr>
            <w:tcW w:w="1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w w:val="86"/>
              </w:rPr>
              <w:t>13,619,003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10,898,216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7,595,162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607,315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1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366,742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410,448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647,594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Interest</w:t>
            </w: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367,973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384,896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15,608,627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13,024,131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9,034,394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 before taxes and minority interest</w:t>
            </w:r>
          </w:p>
        </w:tc>
        <w:tc>
          <w:tcPr>
            <w:tcW w:w="11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1"/>
              </w:rPr>
              <w:t>(2,227,497)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1,095,628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933,999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Taxes on income</w:t>
            </w: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282,820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565,403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 before minority interest</w:t>
            </w:r>
          </w:p>
        </w:tc>
        <w:tc>
          <w:tcPr>
            <w:tcW w:w="11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1"/>
              </w:rPr>
              <w:t>(2,510,317)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91,879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(28,545)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w:t>
            </w:r>
          </w:p>
        </w:tc>
        <w:tc>
          <w:tcPr>
            <w:tcW w:w="11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1"/>
              </w:rPr>
              <w:t>(2,418,438)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98,443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20,537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 (Loss)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5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1"/>
              </w:rPr>
              <w:t>(2,319,995)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1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5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1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Add back amortization of goodwill</w:t>
            </w:r>
          </w:p>
        </w:tc>
        <w:tc>
          <w:tcPr>
            <w:tcW w:w="110" w:type="dxa"/>
            <w:vAlign w:val="bottom"/>
          </w:tcPr>
          <w:p>
            <w:pPr>
              <w:spacing w:after="0"/>
              <w:rPr>
                <w:sz w:val="19"/>
                <w:szCs w:val="19"/>
                <w:color w:val="auto"/>
              </w:rPr>
            </w:pPr>
          </w:p>
        </w:tc>
        <w:tc>
          <w:tcPr>
            <w:tcW w:w="125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Adjusted earnings (loss) per share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5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1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5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1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gridSpan w:val="2"/>
          </w:tcPr>
          <w:p>
            <w:pPr>
              <w:ind w:left="420"/>
              <w:spacing w:after="0"/>
              <w:rPr>
                <w:sz w:val="20"/>
                <w:szCs w:val="20"/>
                <w:color w:val="auto"/>
              </w:rPr>
            </w:pPr>
            <w:r>
              <w:rPr>
                <w:rFonts w:ascii="Arial" w:cs="Arial" w:eastAsia="Arial" w:hAnsi="Arial"/>
                <w:sz w:val="18"/>
                <w:szCs w:val="18"/>
                <w:color w:val="auto"/>
              </w:rPr>
              <w:t>Add back amortization of goodwill</w:t>
            </w:r>
          </w:p>
        </w:tc>
        <w:tc>
          <w:tcPr>
            <w:tcW w:w="110" w:type="dxa"/>
            <w:vAlign w:val="bottom"/>
          </w:tcPr>
          <w:p>
            <w:pPr>
              <w:spacing w:after="0"/>
              <w:rPr>
                <w:sz w:val="19"/>
                <w:szCs w:val="19"/>
                <w:color w:val="auto"/>
              </w:rPr>
            </w:pPr>
          </w:p>
        </w:tc>
        <w:tc>
          <w:tcPr>
            <w:tcW w:w="125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Adjusted earnings (loss) per share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5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1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578,588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578,588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580,214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580,076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-2933700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-2933700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-2933700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-2933700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-2933700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-2933700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-2933700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-2933700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-2933700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-1656080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-1656080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-1656080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-1656080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-1656080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-1656080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-1656080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-1656080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-1656080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-377825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-377825</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-377825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-377825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-377825</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-377825</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-377825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-377825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-377825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18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i w:val="1"/>
                <w:iCs w:val="1"/>
                <w:color w:val="auto"/>
              </w:rPr>
              <w:t>(Stated in thousands)</w:t>
            </w:r>
          </w:p>
        </w:tc>
        <w:tc>
          <w:tcPr>
            <w:tcW w:w="0" w:type="dxa"/>
            <w:vAlign w:val="bottom"/>
          </w:tcPr>
          <w:p>
            <w:pPr>
              <w:spacing w:after="0"/>
              <w:rPr>
                <w:sz w:val="1"/>
                <w:szCs w:val="1"/>
                <w:color w:val="auto"/>
              </w:rPr>
            </w:pPr>
          </w:p>
        </w:tc>
      </w:tr>
      <w:tr>
        <w:trPr>
          <w:trHeight w:val="272"/>
        </w:trPr>
        <w:tc>
          <w:tcPr>
            <w:tcW w:w="8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3"/>
                <w:szCs w:val="23"/>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168,110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1,567,906</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1,439,997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Receivables less allowance for doubtful accounts(2002—$172,871; 2001—$145,268)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3,489,406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4,028,450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1,043,057</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1,204,263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435,887</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481,074</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7,185,440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7,704,890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407,500</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687,524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4,663,756</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4,827,879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1,018,483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1,028,954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4,229,993</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6,260,969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558,664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i w:val="1"/>
                <w:iCs w:val="1"/>
                <w:color w:val="auto"/>
              </w:rPr>
              <w:t>Deferred Taxes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147,013</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536,822</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19,435,195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22,326,367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4,580,762</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4,506,634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625,058</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587,328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109,565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420"/>
              <w:spacing w:after="0"/>
              <w:rPr>
                <w:sz w:val="20"/>
                <w:szCs w:val="20"/>
                <w:color w:val="auto"/>
              </w:rPr>
            </w:pPr>
            <w:r>
              <w:rPr>
                <w:rFonts w:ascii="Arial" w:cs="Arial" w:eastAsia="Arial" w:hAnsi="Arial"/>
                <w:sz w:val="18"/>
                <w:szCs w:val="18"/>
                <w:color w:val="auto"/>
              </w:rPr>
              <w:t>Long-term debt—current portion</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452,577</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&amp; short-term loans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682,956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6,450,918</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6,217,785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i w:val="1"/>
                <w:iCs w:val="1"/>
                <w:color w:val="auto"/>
              </w:rPr>
              <w:t>Long-term Debt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6,028,549</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6,215,709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544,456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i w:val="1"/>
                <w:iCs w:val="1"/>
                <w:color w:val="auto"/>
              </w:rPr>
              <w:t>Other Liabilities</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251,607</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13,275,530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13,310,987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Minority Interest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553,527</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2,170,965</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2,045,437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retained for use in the business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5,560,712</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8,314,766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420"/>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(1,578,358)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(1,694,884)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(547,181)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(286,838)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5,606,138</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8,378,481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19,435,195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22,326,367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-3811270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-3811270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-3811270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-3811270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-3811270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-3811270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i w:val="1"/>
                <w:iCs w:val="1"/>
                <w:color w:val="auto"/>
                <w:w w:val="86"/>
              </w:rPr>
              <w:t>(Stated in thousands)</w:t>
            </w:r>
          </w:p>
        </w:tc>
        <w:tc>
          <w:tcPr>
            <w:tcW w:w="0" w:type="dxa"/>
            <w:vAlign w:val="bottom"/>
          </w:tcPr>
          <w:p>
            <w:pPr>
              <w:spacing w:after="0"/>
              <w:rPr>
                <w:sz w:val="1"/>
                <w:szCs w:val="1"/>
                <w:color w:val="auto"/>
              </w:rPr>
            </w:pPr>
          </w:p>
        </w:tc>
      </w:tr>
      <w:tr>
        <w:trPr>
          <w:trHeight w:val="272"/>
        </w:trPr>
        <w:tc>
          <w:tcPr>
            <w:tcW w:w="76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23"/>
                <w:szCs w:val="23"/>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(2,418,438)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501,680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714,497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1,535,304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1,874,669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1,256,206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Non-cash charges and gains on sale of businesses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3,196,923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271,174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Gain on sale of drilling rigs</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(86,858)</w:t>
            </w:r>
          </w:p>
        </w:tc>
        <w:tc>
          <w:tcPr>
            <w:tcW w:w="120" w:type="dxa"/>
            <w:vAlign w:val="bottom"/>
          </w:tcPr>
          <w:p>
            <w:pPr>
              <w:spacing w:after="0"/>
              <w:rPr>
                <w:sz w:val="18"/>
                <w:szCs w:val="18"/>
                <w:color w:val="auto"/>
              </w:rPr>
            </w:pPr>
          </w:p>
        </w:tc>
        <w:tc>
          <w:tcPr>
            <w:tcW w:w="1300" w:type="dxa"/>
            <w:vAlign w:val="bottom"/>
            <w:gridSpan w:val="3"/>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(64,280)</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(61,715)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(48,702)</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17,595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losses on accounts receivable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66,425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56,619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(increase) in receivables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542,669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(907,535)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Decrease (increase) in inventories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72,383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92"/>
              <w:spacing w:after="0"/>
              <w:rPr>
                <w:sz w:val="20"/>
                <w:szCs w:val="20"/>
                <w:color w:val="auto"/>
              </w:rPr>
            </w:pPr>
            <w:r>
              <w:rPr>
                <w:rFonts w:ascii="Arial" w:cs="Arial" w:eastAsia="Arial" w:hAnsi="Arial"/>
                <w:sz w:val="18"/>
                <w:szCs w:val="18"/>
                <w:color w:val="auto"/>
              </w:rPr>
              <w:t>(259,290)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(increase) in other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47,938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(8,048)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(Decrease) increase in accounts payable and accrued liabilities</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(592,878)</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204,751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(decrease) in estimated liability for taxes on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28,470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Increase in postretirement benefits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39,659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28,417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(144,158)</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(162,602)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(221,900)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2,174,457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1,568,341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1,657,785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Purchases of fixed assets</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(1,360,241)</w:t>
            </w:r>
          </w:p>
        </w:tc>
        <w:tc>
          <w:tcPr>
            <w:tcW w:w="120" w:type="dxa"/>
            <w:vAlign w:val="bottom"/>
          </w:tcPr>
          <w:p>
            <w:pPr>
              <w:spacing w:after="0"/>
              <w:rPr>
                <w:sz w:val="18"/>
                <w:szCs w:val="18"/>
                <w:color w:val="auto"/>
              </w:rPr>
            </w:pPr>
          </w:p>
        </w:tc>
        <w:tc>
          <w:tcPr>
            <w:tcW w:w="1300" w:type="dxa"/>
            <w:vAlign w:val="bottom"/>
            <w:gridSpan w:val="3"/>
          </w:tcPr>
          <w:p>
            <w:pPr>
              <w:jc w:val="right"/>
              <w:ind w:right="392"/>
              <w:spacing w:after="0"/>
              <w:rPr>
                <w:sz w:val="20"/>
                <w:szCs w:val="20"/>
                <w:color w:val="auto"/>
              </w:rPr>
            </w:pPr>
            <w:r>
              <w:rPr>
                <w:rFonts w:ascii="Arial" w:cs="Arial" w:eastAsia="Arial" w:hAnsi="Arial"/>
                <w:sz w:val="18"/>
                <w:szCs w:val="18"/>
                <w:color w:val="auto"/>
                <w:w w:val="86"/>
              </w:rPr>
              <w:t>(2,038,450)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(1,289,564)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(344,705)</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(416,188)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Capitalization of intangible assets</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(169,354)</w:t>
            </w:r>
          </w:p>
        </w:tc>
        <w:tc>
          <w:tcPr>
            <w:tcW w:w="120" w:type="dxa"/>
            <w:vAlign w:val="bottom"/>
          </w:tcPr>
          <w:p>
            <w:pPr>
              <w:spacing w:after="0"/>
              <w:rPr>
                <w:sz w:val="18"/>
                <w:szCs w:val="18"/>
                <w:color w:val="auto"/>
              </w:rPr>
            </w:pPr>
          </w:p>
        </w:tc>
        <w:tc>
          <w:tcPr>
            <w:tcW w:w="1300" w:type="dxa"/>
            <w:vAlign w:val="bottom"/>
            <w:gridSpan w:val="3"/>
          </w:tcPr>
          <w:p>
            <w:pPr>
              <w:jc w:val="right"/>
              <w:ind w:right="392"/>
              <w:spacing w:after="0"/>
              <w:rPr>
                <w:sz w:val="20"/>
                <w:szCs w:val="20"/>
                <w:color w:val="auto"/>
              </w:rPr>
            </w:pPr>
            <w:r>
              <w:rPr>
                <w:rFonts w:ascii="Arial" w:cs="Arial" w:eastAsia="Arial" w:hAnsi="Arial"/>
                <w:sz w:val="18"/>
                <w:szCs w:val="18"/>
                <w:color w:val="auto"/>
              </w:rPr>
              <w:t>(29,782)</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Sales/retirements of fixed assets &amp; 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276,022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Acquisition of Sema plc</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(132,155)</w:t>
            </w:r>
          </w:p>
        </w:tc>
        <w:tc>
          <w:tcPr>
            <w:tcW w:w="120" w:type="dxa"/>
            <w:vAlign w:val="bottom"/>
          </w:tcPr>
          <w:p>
            <w:pPr>
              <w:spacing w:after="0"/>
              <w:rPr>
                <w:sz w:val="18"/>
                <w:szCs w:val="18"/>
                <w:color w:val="auto"/>
              </w:rPr>
            </w:pPr>
          </w:p>
        </w:tc>
        <w:tc>
          <w:tcPr>
            <w:tcW w:w="1300" w:type="dxa"/>
            <w:vAlign w:val="bottom"/>
            <w:gridSpan w:val="3"/>
          </w:tcPr>
          <w:p>
            <w:pPr>
              <w:jc w:val="right"/>
              <w:ind w:right="392"/>
              <w:spacing w:after="0"/>
              <w:rPr>
                <w:sz w:val="20"/>
                <w:szCs w:val="20"/>
                <w:color w:val="auto"/>
              </w:rPr>
            </w:pPr>
            <w:r>
              <w:rPr>
                <w:rFonts w:ascii="Arial" w:cs="Arial" w:eastAsia="Arial" w:hAnsi="Arial"/>
                <w:sz w:val="18"/>
                <w:szCs w:val="18"/>
                <w:color w:val="auto"/>
                <w:w w:val="86"/>
              </w:rPr>
              <w:t>(4,778,498)</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 acquisitions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(44,431)</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(452,951)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(1,075,446)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Other acquisition related payments</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(70,340)</w:t>
            </w:r>
          </w:p>
        </w:tc>
        <w:tc>
          <w:tcPr>
            <w:tcW w:w="120" w:type="dxa"/>
            <w:vAlign w:val="bottom"/>
          </w:tcPr>
          <w:p>
            <w:pPr>
              <w:spacing w:after="0"/>
              <w:rPr>
                <w:sz w:val="18"/>
                <w:szCs w:val="18"/>
                <w:color w:val="auto"/>
              </w:rPr>
            </w:pPr>
          </w:p>
        </w:tc>
        <w:tc>
          <w:tcPr>
            <w:tcW w:w="1300" w:type="dxa"/>
            <w:vAlign w:val="bottom"/>
            <w:gridSpan w:val="3"/>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Business divestitures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259,271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902,953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Sale of drilling rigs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95,000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Option payment on sale of drilling rigs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Sale (purchase) of investments, net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51,334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2,430,911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9"/>
              </w:rPr>
              <w:t>(1,414,699)</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w w:val="86"/>
              </w:rPr>
              <w:t>(4,351,181)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(1,760,022)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(433,134)</w:t>
            </w:r>
          </w:p>
        </w:tc>
        <w:tc>
          <w:tcPr>
            <w:tcW w:w="120" w:type="dxa"/>
            <w:vAlign w:val="bottom"/>
          </w:tcPr>
          <w:p>
            <w:pPr>
              <w:spacing w:after="0"/>
              <w:rPr>
                <w:sz w:val="18"/>
                <w:szCs w:val="18"/>
                <w:color w:val="auto"/>
              </w:rPr>
            </w:pPr>
          </w:p>
        </w:tc>
        <w:tc>
          <w:tcPr>
            <w:tcW w:w="1300" w:type="dxa"/>
            <w:vAlign w:val="bottom"/>
            <w:gridSpan w:val="3"/>
          </w:tcPr>
          <w:p>
            <w:pPr>
              <w:jc w:val="right"/>
              <w:ind w:right="392"/>
              <w:spacing w:after="0"/>
              <w:rPr>
                <w:sz w:val="20"/>
                <w:szCs w:val="20"/>
                <w:color w:val="auto"/>
              </w:rPr>
            </w:pPr>
            <w:r>
              <w:rPr>
                <w:rFonts w:ascii="Arial" w:cs="Arial" w:eastAsia="Arial" w:hAnsi="Arial"/>
                <w:sz w:val="18"/>
                <w:szCs w:val="18"/>
                <w:color w:val="auto"/>
              </w:rPr>
              <w:t>(430,328)</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(426,465)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107,810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67,275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42,795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933,709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4,815,028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Payments of principal on long-term debt</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(1,179,321)</w:t>
            </w:r>
          </w:p>
        </w:tc>
        <w:tc>
          <w:tcPr>
            <w:tcW w:w="120" w:type="dxa"/>
            <w:vAlign w:val="bottom"/>
          </w:tcPr>
          <w:p>
            <w:pPr>
              <w:spacing w:after="0"/>
              <w:rPr>
                <w:sz w:val="18"/>
                <w:szCs w:val="18"/>
                <w:color w:val="auto"/>
              </w:rPr>
            </w:pPr>
          </w:p>
        </w:tc>
        <w:tc>
          <w:tcPr>
            <w:tcW w:w="1300" w:type="dxa"/>
            <w:vAlign w:val="bottom"/>
            <w:gridSpan w:val="3"/>
          </w:tcPr>
          <w:p>
            <w:pPr>
              <w:jc w:val="right"/>
              <w:ind w:right="392"/>
              <w:spacing w:after="0"/>
              <w:rPr>
                <w:sz w:val="20"/>
                <w:szCs w:val="20"/>
                <w:color w:val="auto"/>
              </w:rPr>
            </w:pPr>
            <w:r>
              <w:rPr>
                <w:rFonts w:ascii="Arial" w:cs="Arial" w:eastAsia="Arial" w:hAnsi="Arial"/>
                <w:sz w:val="18"/>
                <w:szCs w:val="18"/>
                <w:color w:val="auto"/>
                <w:w w:val="86"/>
              </w:rPr>
              <w:t>(2,092,670)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(724,911)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(decrease) increase in short-term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(308,623)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370,608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(812,284)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2,784,398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36,346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before translation effect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(16,180)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6,586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92"/>
              <w:spacing w:after="0"/>
              <w:rPr>
                <w:sz w:val="20"/>
                <w:szCs w:val="20"/>
                <w:color w:val="auto"/>
              </w:rPr>
            </w:pPr>
            <w:r>
              <w:rPr>
                <w:rFonts w:ascii="Arial" w:cs="Arial" w:eastAsia="Arial" w:hAnsi="Arial"/>
                <w:sz w:val="18"/>
                <w:szCs w:val="18"/>
                <w:color w:val="auto"/>
              </w:rPr>
              <w:t>(12,374)</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177,704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160,718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168,110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177,704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620" w:type="dxa"/>
            <w:vAlign w:val="bottom"/>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2"/>
        </w:trPr>
        <w:tc>
          <w:tcPr>
            <w:tcW w:w="7620" w:type="dxa"/>
            <w:vAlign w:val="bottom"/>
            <w:gridSpan w:val="3"/>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Includes multiclient seismic data costs.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620" w:type="dxa"/>
            <w:vAlign w:val="bottom"/>
            <w:gridSpan w:val="3"/>
          </w:tcPr>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-463550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-463550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-463550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-463550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-463550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-463550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-463550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-463550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-463550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i w:val="1"/>
                <w:iCs w:val="1"/>
                <w:color w:val="auto"/>
                <w:w w:val="91"/>
              </w:rPr>
              <w:t>(Stated in thousands)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gridSpan w:val="12"/>
          </w:tcPr>
          <w:p>
            <w:pPr>
              <w:jc w:val="right"/>
              <w:ind w:right="500"/>
              <w:spacing w:after="0"/>
              <w:rPr>
                <w:sz w:val="20"/>
                <w:szCs w:val="20"/>
                <w:color w:val="auto"/>
              </w:rPr>
            </w:pPr>
            <w:r>
              <w:rPr>
                <w:rFonts w:ascii="Arial" w:cs="Arial" w:eastAsia="Arial" w:hAnsi="Arial"/>
                <w:sz w:val="14"/>
                <w:szCs w:val="14"/>
                <w:b w:val="1"/>
                <w:bCs w:val="1"/>
                <w:color w:val="auto"/>
                <w:w w:val="98"/>
              </w:rPr>
              <w:t>Accumulated Other Comprehensive</w:t>
            </w:r>
          </w:p>
        </w:tc>
        <w:tc>
          <w:tcPr>
            <w:tcW w:w="24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73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Income (Loss)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73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7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gridSpan w:val="5"/>
            <w:vMerge w:val="continue"/>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 w:type="dxa"/>
            <w:vAlign w:val="bottom"/>
          </w:tcPr>
          <w:p>
            <w:pPr>
              <w:spacing w:after="0"/>
              <w:rPr>
                <w:sz w:val="22"/>
                <w:szCs w:val="22"/>
                <w:color w:val="auto"/>
              </w:rPr>
            </w:pPr>
          </w:p>
        </w:tc>
        <w:tc>
          <w:tcPr>
            <w:tcW w:w="73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7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In</w:t>
            </w:r>
          </w:p>
        </w:tc>
        <w:tc>
          <w:tcPr>
            <w:tcW w:w="8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Retained</w:t>
            </w: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Marked to</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0"/>
              </w:rPr>
              <w:t>Pension</w:t>
            </w: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Issued</w:t>
            </w: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Treasury</w:t>
            </w:r>
          </w:p>
        </w:tc>
        <w:tc>
          <w:tcPr>
            <w:tcW w:w="8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5"/>
                <w:szCs w:val="15"/>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Market</w:t>
            </w:r>
          </w:p>
        </w:tc>
        <w:tc>
          <w:tcPr>
            <w:tcW w:w="240" w:type="dxa"/>
            <w:vAlign w:val="bottom"/>
          </w:tcPr>
          <w:p>
            <w:pPr>
              <w:spacing w:after="0"/>
              <w:rPr>
                <w:sz w:val="15"/>
                <w:szCs w:val="15"/>
                <w:color w:val="auto"/>
              </w:rPr>
            </w:pPr>
          </w:p>
        </w:tc>
        <w:tc>
          <w:tcPr>
            <w:tcW w:w="10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8"/>
              </w:rPr>
              <w:t>Liability</w:t>
            </w: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Adjustment</w:t>
            </w:r>
          </w:p>
        </w:tc>
        <w:tc>
          <w:tcPr>
            <w:tcW w:w="24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7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1,820,186</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 (1,878,612)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7,916,612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(137,158)</w:t>
            </w:r>
          </w:p>
        </w:tc>
        <w:tc>
          <w:tcPr>
            <w:tcW w:w="41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311,016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 w:type="dxa"/>
            <w:vAlign w:val="bottom"/>
          </w:tcPr>
          <w:p>
            <w:pPr>
              <w:spacing w:after="0"/>
              <w:rPr>
                <w:sz w:val="9"/>
                <w:szCs w:val="9"/>
                <w:color w:val="auto"/>
              </w:rPr>
            </w:pPr>
          </w:p>
        </w:tc>
        <w:tc>
          <w:tcPr>
            <w:tcW w:w="73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(28,487)</w:t>
            </w:r>
          </w:p>
        </w:tc>
        <w:tc>
          <w:tcPr>
            <w:tcW w:w="41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3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Sales of businesses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26,441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730" w:type="dxa"/>
            <w:vAlign w:val="bottom"/>
          </w:tcPr>
          <w:p>
            <w:pPr>
              <w:jc w:val="right"/>
              <w:spacing w:after="0" w:line="149" w:lineRule="exact"/>
              <w:rPr>
                <w:sz w:val="20"/>
                <w:szCs w:val="20"/>
                <w:color w:val="auto"/>
              </w:rPr>
            </w:pPr>
            <w:r>
              <w:rPr>
                <w:rFonts w:ascii="Arial" w:cs="Arial" w:eastAsia="Arial" w:hAnsi="Arial"/>
                <w:sz w:val="14"/>
                <w:szCs w:val="14"/>
                <w:color w:val="auto"/>
              </w:rPr>
              <w:t>26,441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to optionees less shares exchanged</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61,224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99,057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42,495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26,594</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734,596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734,596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Dividends declared ($0.75 per share)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(427,732)</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40,000</w:t>
            </w: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7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1,963,905</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(1,752,961)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8,223,476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(139,204)</w:t>
            </w:r>
          </w:p>
        </w:tc>
        <w:tc>
          <w:tcPr>
            <w:tcW w:w="41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 w:type="dxa"/>
            <w:vAlign w:val="bottom"/>
          </w:tcPr>
          <w:p>
            <w:pPr>
              <w:spacing w:after="0"/>
              <w:rPr>
                <w:sz w:val="9"/>
                <w:szCs w:val="9"/>
                <w:color w:val="auto"/>
              </w:rPr>
            </w:pPr>
          </w:p>
        </w:tc>
        <w:tc>
          <w:tcPr>
            <w:tcW w:w="73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(171,930)</w:t>
            </w:r>
          </w:p>
        </w:tc>
        <w:tc>
          <w:tcPr>
            <w:tcW w:w="41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3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(171,930)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RMS disposition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73,865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730" w:type="dxa"/>
            <w:vAlign w:val="bottom"/>
          </w:tcPr>
          <w:p>
            <w:pPr>
              <w:jc w:val="right"/>
              <w:spacing w:after="0" w:line="149" w:lineRule="exact"/>
              <w:rPr>
                <w:sz w:val="20"/>
                <w:szCs w:val="20"/>
                <w:color w:val="auto"/>
              </w:rPr>
            </w:pPr>
            <w:r>
              <w:rPr>
                <w:rFonts w:ascii="Arial" w:cs="Arial" w:eastAsia="Arial" w:hAnsi="Arial"/>
                <w:sz w:val="14"/>
                <w:szCs w:val="14"/>
                <w:color w:val="auto"/>
              </w:rPr>
              <w:t>73,865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(49,569)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83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Sales to optionees less shares exchanged</w:t>
            </w: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17,130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25,420</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46,397</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32,568</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522,217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522,217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Dividends declared ($0.75 per share)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(430,927)</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17,849</w:t>
            </w: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7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2001</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2,045,437</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(1,694,884)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8,314,766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(49,569)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(237,269)</w:t>
            </w:r>
          </w:p>
        </w:tc>
        <w:tc>
          <w:tcPr>
            <w:tcW w:w="41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374,583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 w:type="dxa"/>
            <w:vAlign w:val="bottom"/>
          </w:tcPr>
          <w:p>
            <w:pPr>
              <w:spacing w:after="0"/>
              <w:rPr>
                <w:sz w:val="9"/>
                <w:szCs w:val="9"/>
                <w:color w:val="auto"/>
              </w:rPr>
            </w:pPr>
          </w:p>
        </w:tc>
        <w:tc>
          <w:tcPr>
            <w:tcW w:w="73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(55,422)</w:t>
            </w:r>
          </w:p>
        </w:tc>
        <w:tc>
          <w:tcPr>
            <w:tcW w:w="41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3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Reed Hycalog disposition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22,063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730" w:type="dxa"/>
            <w:vAlign w:val="bottom"/>
          </w:tcPr>
          <w:p>
            <w:pPr>
              <w:jc w:val="right"/>
              <w:spacing w:after="0" w:line="149" w:lineRule="exact"/>
              <w:rPr>
                <w:sz w:val="20"/>
                <w:szCs w:val="20"/>
                <w:color w:val="auto"/>
              </w:rPr>
            </w:pPr>
            <w:r>
              <w:rPr>
                <w:rFonts w:ascii="Arial" w:cs="Arial" w:eastAsia="Arial" w:hAnsi="Arial"/>
                <w:sz w:val="14"/>
                <w:szCs w:val="14"/>
                <w:color w:val="auto"/>
              </w:rPr>
              <w:t>22,063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(33,291)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83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Minimum pension liability (US/UK Plans)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w w:val="93"/>
              </w:rPr>
              <w:t>(313,564)</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83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(313,564)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110,000</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Investment Grant Prideco stock</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9,871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730" w:type="dxa"/>
            <w:vAlign w:val="bottom"/>
          </w:tcPr>
          <w:p>
            <w:pPr>
              <w:jc w:val="right"/>
              <w:spacing w:after="0" w:line="149" w:lineRule="exact"/>
              <w:rPr>
                <w:sz w:val="20"/>
                <w:szCs w:val="20"/>
                <w:color w:val="auto"/>
              </w:rPr>
            </w:pPr>
            <w:r>
              <w:rPr>
                <w:rFonts w:ascii="Arial" w:cs="Arial" w:eastAsia="Arial" w:hAnsi="Arial"/>
                <w:sz w:val="14"/>
                <w:szCs w:val="14"/>
                <w:color w:val="auto"/>
              </w:rPr>
              <w:t>9,871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to optionees less shares exchanged</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25,410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41,671</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58,056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49,754</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(2,319,995)</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83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(2,319,995)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($0.75 per share)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(434,059)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Technoguide acquisition</w:t>
            </w: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34,496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25,036</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7,437</w:t>
            </w: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7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2,170,965</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 (1,578,358)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5,560,712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(72,989)</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3"/>
              </w:rPr>
              <w:t>(203,564)</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(270,628)</w:t>
            </w:r>
          </w:p>
        </w:tc>
        <w:tc>
          <w:tcPr>
            <w:tcW w:w="41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3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(2,580,338)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6614795</wp:posOffset>
            </wp:positionH>
            <wp:positionV relativeFrom="paragraph">
              <wp:posOffset>-3973830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-3973830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-3973830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-2910840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-2910840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-2910840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-1658620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-1658620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-1658620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-29210</wp:posOffset>
            </wp:positionV>
            <wp:extent cx="43307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1240" w:type="dxa"/>
            <w:vAlign w:val="bottom"/>
            <w:gridSpan w:val="3"/>
          </w:tcPr>
          <w:p>
            <w:pPr>
              <w:ind w:left="340"/>
              <w:spacing w:after="0"/>
              <w:rPr>
                <w:sz w:val="20"/>
                <w:szCs w:val="20"/>
                <w:color w:val="auto"/>
              </w:rPr>
            </w:pPr>
            <w:r>
              <w:rPr>
                <w:rFonts w:ascii="Arial" w:cs="Arial" w:eastAsia="Arial" w:hAnsi="Arial"/>
                <w:sz w:val="14"/>
                <w:szCs w:val="14"/>
                <w:b w:val="1"/>
                <w:bCs w:val="1"/>
                <w:color w:val="auto"/>
              </w:rPr>
              <w:t>Issued</w:t>
            </w:r>
          </w:p>
        </w:tc>
        <w:tc>
          <w:tcPr>
            <w:tcW w:w="12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In Treasury</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667,054,806</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(101,123,676)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565,931,130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2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1,431,309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1,431,309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Sold to optionees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30,987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5,331,268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667,085,793</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5"/>
              </w:rPr>
              <w:t>(94,361,099)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572,724,694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2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1,752,833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1,752,833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2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Sold to optionees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8,385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1,399,686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1,408,071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667,094,178</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5"/>
              </w:rPr>
              <w:t>(91,203,780)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575,890,398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2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2,677,842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2,677,842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2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Sold to optionees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10,490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2,243,400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2,253,890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Technoguide</w:t>
            </w:r>
          </w:p>
        </w:tc>
        <w:tc>
          <w:tcPr>
            <w:tcW w:w="12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1,347,485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667,104,668</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5"/>
              </w:rPr>
              <w:t>(84,931,553)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582,173,115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Description</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Founded in 1927, Schlumberger Limited is a global technology services company consisting of three business segments: first, Schlumberger Oilfield Services, one of the leading providers of technology services and solutions to the international petroleum industry; second, SchlumbergerSema, an IT services company providing consulting and systems integration services, and network and infrastructure solutions, primarily to the global energy sector, including oil and gas, and other regional markets spanning the telecommunications, finance and public sectors and third, the Other business segment which principally comprises the Cards, Terminals and Meters North America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Accounting Policies</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Consolidated Financial Statements of Schlumberger Limited and its subsidiaries have been prepared in accordance with accounting principles generally accepted in the United States of America.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On December 20, 2002, Schlumberger completed the sale of its Reed Hycalog drillbits business. The proceeds included $259 million in cash and 9.7 million shares of Grant Prideco common stock with a value of $103 million. The results for the Reed Hycalog operations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 xml:space="preserve">Consolidated Statement of Income </w:t>
      </w:r>
      <w:r>
        <w:rPr>
          <w:rFonts w:ascii="Arial" w:cs="Arial" w:eastAsia="Arial" w:hAnsi="Arial"/>
          <w:sz w:val="18"/>
          <w:szCs w:val="18"/>
          <w:color w:val="auto"/>
        </w:rPr>
        <w:t>and, in 2002, includes results of operations of $32 million and gain on sale of $66 million. The net assets sold were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$185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income from these discontinued operations for 2002, 2001 and 2000 were as follows:</w:t>
      </w:r>
    </w:p>
    <w:p>
      <w:pPr>
        <w:spacing w:after="0" w:line="155" w:lineRule="exact"/>
        <w:rPr>
          <w:sz w:val="20"/>
          <w:szCs w:val="20"/>
          <w:color w:val="auto"/>
        </w:rPr>
      </w:pPr>
    </w:p>
    <w:p>
      <w:pPr>
        <w:ind w:left="8960"/>
        <w:spacing w:after="0"/>
        <w:rPr>
          <w:sz w:val="20"/>
          <w:szCs w:val="20"/>
          <w:color w:val="auto"/>
        </w:rPr>
      </w:pPr>
      <w:r>
        <w:rPr>
          <w:rFonts w:ascii="Arial" w:cs="Arial" w:eastAsia="Arial" w:hAnsi="Arial"/>
          <w:sz w:val="14"/>
          <w:szCs w:val="14"/>
          <w:i w:val="1"/>
          <w:iCs w:val="1"/>
          <w:color w:val="auto"/>
        </w:rPr>
        <w:t>(Stated in millions)</w:t>
      </w:r>
    </w:p>
    <w:p>
      <w:pPr>
        <w:ind w:left="9400"/>
        <w:spacing w:after="0" w:line="221" w:lineRule="auto"/>
        <w:rPr>
          <w:sz w:val="20"/>
          <w:szCs w:val="20"/>
          <w:color w:val="auto"/>
        </w:rPr>
      </w:pPr>
      <w:r>
        <w:rPr>
          <w:rFonts w:ascii="Arial" w:cs="Arial" w:eastAsia="Arial" w:hAnsi="Arial"/>
          <w:sz w:val="14"/>
          <w:szCs w:val="14"/>
          <w:b w:val="1"/>
          <w:bCs w:val="1"/>
          <w:color w:val="auto"/>
        </w:rPr>
        <w:t>Operating</w:t>
      </w:r>
    </w:p>
    <w:p>
      <w:pPr>
        <w:ind w:left="8740"/>
        <w:spacing w:after="0"/>
        <w:tabs>
          <w:tab w:leader="none" w:pos="9460" w:val="left"/>
        </w:tabs>
        <w:rPr>
          <w:sz w:val="20"/>
          <w:szCs w:val="20"/>
          <w:color w:val="auto"/>
        </w:rPr>
      </w:pPr>
      <w:r>
        <w:rPr>
          <w:rFonts w:ascii="Arial" w:cs="Arial" w:eastAsia="Arial" w:hAnsi="Arial"/>
          <w:sz w:val="14"/>
          <w:szCs w:val="14"/>
          <w:b w:val="1"/>
          <w:bCs w:val="1"/>
          <w:color w:val="auto"/>
        </w:rPr>
        <w:t>Revenue</w:t>
      </w:r>
      <w:r>
        <w:rPr>
          <w:sz w:val="20"/>
          <w:szCs w:val="20"/>
          <w:color w:val="auto"/>
        </w:rPr>
        <w:tab/>
      </w:r>
      <w:r>
        <w:rPr>
          <w:rFonts w:ascii="Arial" w:cs="Arial" w:eastAsia="Arial" w:hAnsi="Arial"/>
          <w:sz w:val="14"/>
          <w:szCs w:val="14"/>
          <w:b w:val="1"/>
          <w:bCs w:val="1"/>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60325</wp:posOffset>
            </wp:positionV>
            <wp:extent cx="7886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820" w:type="dxa"/>
            <w:vAlign w:val="bottom"/>
            <w:shd w:val="clear" w:color="auto" w:fill="CCEEFF"/>
          </w:tcPr>
          <w:p>
            <w:pPr>
              <w:jc w:val="right"/>
              <w:ind w:right="3372"/>
              <w:spacing w:after="0"/>
              <w:rPr>
                <w:sz w:val="20"/>
                <w:szCs w:val="20"/>
                <w:color w:val="auto"/>
              </w:rPr>
            </w:pPr>
            <w:r>
              <w:rPr>
                <w:rFonts w:ascii="Arial" w:cs="Arial" w:eastAsia="Arial" w:hAnsi="Arial"/>
                <w:sz w:val="18"/>
                <w:szCs w:val="18"/>
                <w:b w:val="1"/>
                <w:bCs w:val="1"/>
                <w:color w:val="auto"/>
                <w:w w:val="84"/>
              </w:rPr>
              <w:t>2002</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r>
      <w:tr>
        <w:trPr>
          <w:trHeight w:val="216"/>
        </w:trPr>
        <w:tc>
          <w:tcPr>
            <w:tcW w:w="3820" w:type="dxa"/>
            <w:vAlign w:val="bottom"/>
          </w:tcPr>
          <w:p>
            <w:pPr>
              <w:jc w:val="right"/>
              <w:ind w:right="3372"/>
              <w:spacing w:after="0"/>
              <w:rPr>
                <w:sz w:val="20"/>
                <w:szCs w:val="20"/>
                <w:color w:val="auto"/>
              </w:rPr>
            </w:pPr>
            <w:r>
              <w:rPr>
                <w:rFonts w:ascii="Arial" w:cs="Arial" w:eastAsia="Arial" w:hAnsi="Arial"/>
                <w:sz w:val="18"/>
                <w:szCs w:val="18"/>
                <w:color w:val="auto"/>
                <w:w w:val="84"/>
              </w:rPr>
              <w:t>2001</w:t>
            </w:r>
          </w:p>
        </w:tc>
        <w:tc>
          <w:tcPr>
            <w:tcW w:w="3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245</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820" w:type="dxa"/>
            <w:vAlign w:val="bottom"/>
            <w:shd w:val="clear" w:color="auto" w:fill="CCEEFF"/>
          </w:tcPr>
          <w:p>
            <w:pPr>
              <w:jc w:val="right"/>
              <w:ind w:right="3372"/>
              <w:spacing w:after="0"/>
              <w:rPr>
                <w:sz w:val="20"/>
                <w:szCs w:val="20"/>
                <w:color w:val="auto"/>
              </w:rPr>
            </w:pPr>
            <w:r>
              <w:rPr>
                <w:rFonts w:ascii="Arial" w:cs="Arial" w:eastAsia="Arial" w:hAnsi="Arial"/>
                <w:sz w:val="18"/>
                <w:szCs w:val="18"/>
                <w:color w:val="auto"/>
                <w:w w:val="84"/>
              </w:rPr>
              <w:t>2000</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 in 2003</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the third quarter of 2003, Schlumberger completed the sales of its NPTest and Verification Systems businesses. The proceeds were $220 million in cash. The results for the NPTest and Verification Systems operations are reported as Discontinued Operations in the Consolidated Statement of Income. These dispositions were first presented as discontinued operations in the second quarter of 2003. The historic financial statements have been reclassified to give effect to those transactions for all periods presented. The disposition of NPTest resulted in a net loss of $12 million on the sale on net assets of approximately $160 million. The disposition of Verification Systems resulted in a net loss of $18 million on the sale on net assets of approximately $14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income from these discontinued operations for 2002, 2001 and 2000 were as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4"/>
                <w:szCs w:val="14"/>
                <w:i w:val="1"/>
                <w:iCs w:val="1"/>
                <w:color w:val="auto"/>
                <w:w w:val="88"/>
              </w:rPr>
              <w:t>(Stated in millions)</w:t>
            </w:r>
          </w:p>
        </w:tc>
      </w:tr>
      <w:tr>
        <w:trPr>
          <w:trHeight w:val="149"/>
        </w:trPr>
        <w:tc>
          <w:tcPr>
            <w:tcW w:w="6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Operating</w:t>
            </w:r>
          </w:p>
        </w:tc>
      </w:tr>
      <w:tr>
        <w:trPr>
          <w:trHeight w:val="174"/>
        </w:trPr>
        <w:tc>
          <w:tcPr>
            <w:tcW w:w="692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22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2"/>
              </w:rPr>
              <w:t>Income (Loss)</w:t>
            </w:r>
          </w:p>
        </w:tc>
      </w:tr>
      <w:tr>
        <w:trPr>
          <w:trHeight w:val="95"/>
        </w:trPr>
        <w:tc>
          <w:tcPr>
            <w:tcW w:w="69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6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920" w:type="dxa"/>
            <w:vAlign w:val="bottom"/>
            <w:shd w:val="clear" w:color="auto" w:fill="CCEEFF"/>
          </w:tcPr>
          <w:p>
            <w:pPr>
              <w:jc w:val="right"/>
              <w:ind w:right="6472"/>
              <w:spacing w:after="0"/>
              <w:rPr>
                <w:sz w:val="20"/>
                <w:szCs w:val="20"/>
                <w:color w:val="auto"/>
              </w:rPr>
            </w:pPr>
            <w:r>
              <w:rPr>
                <w:rFonts w:ascii="Arial" w:cs="Arial" w:eastAsia="Arial" w:hAnsi="Arial"/>
                <w:sz w:val="18"/>
                <w:szCs w:val="18"/>
                <w:b w:val="1"/>
                <w:bCs w:val="1"/>
                <w:color w:val="auto"/>
                <w:w w:val="84"/>
              </w:rPr>
              <w:t>2002</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r>
      <w:tr>
        <w:trPr>
          <w:trHeight w:val="216"/>
        </w:trPr>
        <w:tc>
          <w:tcPr>
            <w:tcW w:w="6920" w:type="dxa"/>
            <w:vAlign w:val="bottom"/>
          </w:tcPr>
          <w:p>
            <w:pPr>
              <w:jc w:val="right"/>
              <w:ind w:right="6472"/>
              <w:spacing w:after="0"/>
              <w:rPr>
                <w:sz w:val="20"/>
                <w:szCs w:val="20"/>
                <w:color w:val="auto"/>
              </w:rPr>
            </w:pPr>
            <w:r>
              <w:rPr>
                <w:rFonts w:ascii="Arial" w:cs="Arial" w:eastAsia="Arial" w:hAnsi="Arial"/>
                <w:sz w:val="18"/>
                <w:szCs w:val="18"/>
                <w:color w:val="auto"/>
                <w:w w:val="84"/>
              </w:rPr>
              <w:t>2001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181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6920" w:type="dxa"/>
            <w:vAlign w:val="bottom"/>
            <w:shd w:val="clear" w:color="auto" w:fill="CCEEFF"/>
          </w:tcPr>
          <w:p>
            <w:pPr>
              <w:jc w:val="right"/>
              <w:ind w:right="6472"/>
              <w:spacing w:after="0"/>
              <w:rPr>
                <w:sz w:val="20"/>
                <w:szCs w:val="20"/>
                <w:color w:val="auto"/>
              </w:rPr>
            </w:pPr>
            <w:r>
              <w:rPr>
                <w:rFonts w:ascii="Arial" w:cs="Arial" w:eastAsia="Arial" w:hAnsi="Arial"/>
                <w:sz w:val="18"/>
                <w:szCs w:val="18"/>
                <w:color w:val="auto"/>
                <w:w w:val="84"/>
              </w:rPr>
              <w:t>2000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Consolidated Financial Statements include the accounts of majority-owned subsidiaries. Significant 20% - 50% owned companies are carried on the equity method and classified in </w:t>
      </w:r>
      <w:r>
        <w:rPr>
          <w:rFonts w:ascii="Arial" w:cs="Arial" w:eastAsia="Arial" w:hAnsi="Arial"/>
          <w:sz w:val="18"/>
          <w:szCs w:val="18"/>
          <w:i w:val="1"/>
          <w:iCs w:val="1"/>
          <w:color w:val="auto"/>
        </w:rPr>
        <w:t>Investments in Affiliated Companies</w:t>
      </w:r>
      <w:r>
        <w:rPr>
          <w:rFonts w:ascii="Arial" w:cs="Arial" w:eastAsia="Arial" w:hAnsi="Arial"/>
          <w:sz w:val="18"/>
          <w:szCs w:val="18"/>
          <w:color w:val="auto"/>
        </w:rPr>
        <w:t xml:space="preserve">. The pro rata share of Schlumberger after-tax earnings is included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All inter-company accounts and transactions have been eliminated.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On an on-going basis, Schlumberger evaluates its estimates, including those related to bad debts, valuation of inventories and investments, recoverability of goodwill and intangible assets, income tax provision and deferred taxes, profit assumptions on long-term percentage-of-completion contracts, contingencies and litigation and actuarial assumptions for employee benefit plans. Schlumberger bases its estimates on historical experience and on various other assumptions that are believed to be reasonable under the circumstances, the results of</w:t>
      </w:r>
    </w:p>
    <w:p>
      <w:pPr>
        <w:sectPr>
          <w:pgSz w:w="11900" w:h="16838" w:orient="portrait"/>
          <w:cols w:equalWidth="0" w:num="1">
            <w:col w:w="11400"/>
          </w:cols>
          <w:pgMar w:left="240" w:top="274" w:right="259" w:bottom="1440" w:gutter="0" w:footer="0" w:header="0"/>
        </w:sectPr>
      </w:pPr>
    </w:p>
    <w:bookmarkStart w:id="9" w:name="page10"/>
    <w:bookmarkEnd w:id="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form the basis for making judgments about the carrying values of assets and liabilities that are not readily apparent from other sources. Actual results may differ from these estimates under different assumptions or conditions.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Services Revenue</w:t>
      </w:r>
    </w:p>
    <w:p>
      <w:pPr>
        <w:spacing w:after="0" w:line="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Schlumberger’s products and services are generally sold based upon purchase orders or contracts with the customer that include fixed or determinable prices and that do not include right of return or other similar provisions or other significant post delivery obligations. Revenue is recognized for products upon delivery, customer acceptance and when title passes. Revenue is recognized when services are rendered and collectibility is reasonably assured.</w:t>
      </w:r>
    </w:p>
    <w:p>
      <w:pPr>
        <w:spacing w:after="0" w:line="9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Certain revenues are recognized on a time and materials basis, or on a percentage of completion basis, depending on the contract, as services are provided. Revenue from time and material service contracts is recognized as the services are provided. Revenue from fixed price contracts is recognized over the contract term based on the percentage of the cost of services provided during the period compared to the total estimated cost of services to be provided over the entire contract. Losses on contracts are recognized during the period in which the loss first becomes probable and reasonably estimated.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Revenue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Revenue derived from the sale of licenses for its software, maintenance and related services may include installation, consulting and training services.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fee is fixed and determinable and collectibility is probable.</w:t>
      </w:r>
    </w:p>
    <w:p>
      <w:pPr>
        <w:spacing w:after="0" w:line="1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 and Collectibility</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Many sales are generated from complex contractual arrangements that require significant revenue recognition judgments, particularly in the areas of multiple element arrangements. Revenues from contracts with multiple element arrangements, such as those including installation and integration services, are recognized as each element is earned based on the relative fair value of each element and when there are no undelivered elements that are essential to the functionality of the delivered elements.</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assessment of collectibility is particularly critical in determining whether revenue should be recognized in the current market environment. As part of the revenue recognition process, Schlumberger determines whether trade and notes receivables are reasonably assured of collection based on various factors, including the ability to sell those receivables and whether there has been deterioration in the credit quality of customers that could result in the inability to sell the receivables. In situations where Schlumberger has the ability to sell the receivables without recourse, revenue is recognized to the extent of the value Schlumberger could reasonably expect to realize from the sale. Schlumberger defers revenue and related costs when it is uncertain as to whether it will be able to collect or sell the receivable. Schlumberger defers revenue but recognizes costs when it determines that the collection or sale of the receivable is unlikely.</w:t>
      </w:r>
    </w:p>
    <w:p>
      <w:pPr>
        <w:sectPr>
          <w:pgSz w:w="11900" w:h="16838" w:orient="portrait"/>
          <w:cols w:equalWidth="0" w:num="1">
            <w:col w:w="11360"/>
          </w:cols>
          <w:pgMar w:left="240" w:top="280"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Translation of Non-US Currencies</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Oilfield Services segment functional currency is primarily the US dollar. The SchlumbergerSema segment and Other segment functional currencies are primarily local currencies. All assets and liabilities recorded in functional currencies other than US dollars are translated at current exchange rates. The resulting adjustments are charged or credited directly to the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section of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Revenue and expenses are translated at the weighted-average exchange rates for the period. All realized and unrealized transaction gains and losses are included in income in the period in which they occur. Schlumberger’s policy is to hedge against unrealized gains and losses on a monthly basis. Included in the 2002 results were transaction losses of $2 million, compared with losses of $7 million and $4 million in 2001 and 2000, respectively.</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2002, contracts were outstanding for the US dollar equivalent of $1,594 million in various foreign currencies. These contracts mature on various dates in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Both short-term investments and fixed income investments, held to maturity comprise primarily eurodollar time deposits, certificates of deposit and commercial paper, euronotes and eurobonds, substantially all denominated in US dollars. They are stated at cost plus accrued interest, which approximates market. Substantially all the investments designated as held to maturity that were purchased and matured during the year had original maturities of less than three months. Short-term investments that are designated as trading are stated at market. The unrealized gains/losses on such securities at December 31, 2002 were not significant.</w:t>
      </w:r>
    </w:p>
    <w:p>
      <w:pPr>
        <w:spacing w:after="0" w:line="12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Schlumberger does not consider short-term investments to be cash equivalents as they generally have original maturities in excess of three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average cost or at market, whichever is lower. Inventory consists of materials, supplies and finished goods.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 and Depreciation</w:t>
      </w:r>
    </w:p>
    <w:p>
      <w:pPr>
        <w:spacing w:after="0" w:line="8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or assembled by subsidiaries of Schlumberger. 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Multiclient Seismic Data</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Schlumberger capitalizes the cost of obtaining multiclient surveys. Such costs are charged to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based on a percentage of estimated total revenue that Schlumberger expects to receive from the sales of such data. The carrying value of individual surveys is reviewed, at least annually, and adjustments to the value are made based upon the revised estimated revenues for the surveys.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costs incurred for the development of computer software that will be sold, leased or otherwise marketed are capitalized when technological feasibility has been established, generally when all of the planning, designing, coding and testing activities that are necessary in order to establish that the product can be produced to meet its design specifications including functions, features and technical performance requirements are completed. These capitalized costs are subject to an ongoing assessment of recoverability</w:t>
      </w:r>
    </w:p>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on anticipated future revenues and changes in hardware and software technologies. Costs that are capitalized include direct labor and related overheads.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Amortization of capitalized software development costs begins when the product is available for general release. Amortization is provided on the lesser of a product-by-product basis on the straight-line method or the sales ratio method over the estimated useful life. Unamortized capitalized software development costs determined to be in excess of the net realizable value of the product are expensed immediately.</w:t>
      </w:r>
    </w:p>
    <w:p>
      <w:pPr>
        <w:spacing w:after="0" w:line="127"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Schlumberger capitalizes certain costs of internally developed software. Capitalized costs include purchased materials and services, payroll and payroll related costs and interest costs. The costs of internally developed software is amortized on a straight-line basis over the estimated useful life which is principally 6 years.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an annual basis Schlumberger reviews the carrying value of its long-lived assets, including goodwill and intangible assets. In addition, whenever events or changes in circumstances indicate that the historical cost-carrying value of an asset may no longer be appropriate, a review is performed.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12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which was adopted by Schlumberger commencing January 1, 2002, goodwill ceased to be amortized.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on Income</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Approximately $2.5 billion of consolidated income retained for use in the business on December 31, 2002 represented undistributed earnings of consolidated subsidiaries and the pro rata Schlumberger share of 20%-50% owned companies. No provision is made for deferred income taxes on those earnings considered to be indefinitely reinvested or earnings that would not be taxed when remitted.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Basic earnings per share is calculated by dividing net income by the average number of common shares outstanding during the year. Diluted earnings per share is calculated by dividing net income by the average number of common shares outstanding assuming dilution, the calculation of which assumes that all stock options and warrants which are in the money are exercised at the beginning of the period and the proceeds used, by Schlumberger, to purchase shares at the average market price for the period. The following is a reconciliation from basic earnings per share to diluted earnings per share from continuing operations for each of the last three years:</w:t>
      </w:r>
    </w:p>
    <w:p>
      <w:pPr>
        <w:sectPr>
          <w:pgSz w:w="11900" w:h="16838" w:orient="portrait"/>
          <w:cols w:equalWidth="0" w:num="1">
            <w:col w:w="11420"/>
          </w:cols>
          <w:pgMar w:left="240" w:top="280" w:right="239" w:bottom="1440" w:gutter="0" w:footer="0" w:header="0"/>
        </w:sectPr>
      </w:pPr>
    </w:p>
    <w:bookmarkStart w:id="12" w:name="page13"/>
    <w:bookmarkEnd w:id="12"/>
    <w:tbl>
      <w:tblPr>
        <w:tblLayout w:type="fixed"/>
        <w:tblInd w:w="14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gridSpan w:val="8"/>
          </w:tcPr>
          <w:p>
            <w:pPr>
              <w:jc w:val="right"/>
              <w:ind w:right="80"/>
              <w:spacing w:after="0"/>
              <w:rPr>
                <w:sz w:val="20"/>
                <w:szCs w:val="20"/>
                <w:color w:val="auto"/>
              </w:rPr>
            </w:pPr>
            <w:r>
              <w:rPr>
                <w:rFonts w:ascii="Arial" w:cs="Arial" w:eastAsia="Arial" w:hAnsi="Arial"/>
                <w:sz w:val="14"/>
                <w:szCs w:val="14"/>
                <w:i w:val="1"/>
                <w:iCs w:val="1"/>
                <w:color w:val="auto"/>
                <w:w w:val="99"/>
              </w:rPr>
              <w:t>(Stated in thousands except per share amounts)</w:t>
            </w:r>
          </w:p>
        </w:tc>
      </w:tr>
      <w:tr>
        <w:trPr>
          <w:trHeight w:val="149"/>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0"/>
              </w:rPr>
              <w:t>Earnings (loss)</w:t>
            </w:r>
          </w:p>
        </w:tc>
      </w:tr>
      <w:tr>
        <w:trPr>
          <w:trHeight w:val="149"/>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3"/>
              </w:rPr>
              <w:t>Per Share from</w:t>
            </w:r>
          </w:p>
        </w:tc>
      </w:tr>
      <w:tr>
        <w:trPr>
          <w:trHeight w:val="149"/>
        </w:trPr>
        <w:tc>
          <w:tcPr>
            <w:tcW w:w="5340" w:type="dxa"/>
            <w:vAlign w:val="bottom"/>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from Continuing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Continuing</w:t>
            </w:r>
          </w:p>
        </w:tc>
      </w:tr>
      <w:tr>
        <w:trPr>
          <w:trHeight w:val="174"/>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Operations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Operations</w:t>
            </w:r>
          </w:p>
        </w:tc>
      </w:tr>
      <w:tr>
        <w:trPr>
          <w:trHeight w:val="95"/>
        </w:trPr>
        <w:tc>
          <w:tcPr>
            <w:tcW w:w="5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9"/>
              </w:rPr>
              <w:t>(2,418,438)</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578,588</w:t>
            </w:r>
          </w:p>
        </w:tc>
        <w:tc>
          <w:tcPr>
            <w:tcW w:w="340" w:type="dxa"/>
            <w:vAlign w:val="bottom"/>
            <w:gridSpan w:val="2"/>
          </w:tcPr>
          <w:p>
            <w:pPr>
              <w:ind w:left="24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(4.18)</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Effects of dilution: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5340" w:type="dxa"/>
            <w:vAlign w:val="bottom"/>
          </w:tcPr>
          <w:p>
            <w:pPr>
              <w:ind w:left="44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5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3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(2,418,438)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578,588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(4.18)</w:t>
            </w:r>
          </w:p>
        </w:tc>
      </w:tr>
      <w:tr>
        <w:trPr>
          <w:trHeight w:val="132"/>
        </w:trPr>
        <w:tc>
          <w:tcPr>
            <w:tcW w:w="5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5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501,680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574,328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0.87</w:t>
            </w:r>
          </w:p>
        </w:tc>
        <w:tc>
          <w:tcPr>
            <w:tcW w:w="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Effects of dilution: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5340" w:type="dxa"/>
            <w:vAlign w:val="bottom"/>
          </w:tcPr>
          <w:p>
            <w:pPr>
              <w:ind w:left="44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5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501,680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580,214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0.87</w:t>
            </w:r>
          </w:p>
        </w:tc>
        <w:tc>
          <w:tcPr>
            <w:tcW w:w="60" w:type="dxa"/>
            <w:vAlign w:val="bottom"/>
            <w:shd w:val="clear" w:color="auto" w:fill="CCEEFF"/>
          </w:tcPr>
          <w:p>
            <w:pPr>
              <w:spacing w:after="0"/>
              <w:rPr>
                <w:sz w:val="18"/>
                <w:szCs w:val="18"/>
                <w:color w:val="auto"/>
              </w:rPr>
            </w:pPr>
          </w:p>
        </w:tc>
      </w:tr>
      <w:tr>
        <w:trPr>
          <w:trHeight w:val="132"/>
        </w:trPr>
        <w:tc>
          <w:tcPr>
            <w:tcW w:w="5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5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714,497</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570,028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Effects of dilution: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5340" w:type="dxa"/>
            <w:vAlign w:val="bottom"/>
          </w:tcPr>
          <w:p>
            <w:pPr>
              <w:ind w:left="44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r>
      <w:tr>
        <w:trPr>
          <w:trHeight w:val="102"/>
        </w:trPr>
        <w:tc>
          <w:tcPr>
            <w:tcW w:w="5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714,497</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580,076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r>
      <w:tr>
        <w:trPr>
          <w:trHeight w:val="132"/>
        </w:trPr>
        <w:tc>
          <w:tcPr>
            <w:tcW w:w="5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-2018665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-2018665</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-2018665</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-2018665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-2018665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-2018665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-2018665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-2018665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-1024255</wp:posOffset>
            </wp:positionV>
            <wp:extent cx="201104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1104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0" w:type="dxa"/>
            <w:vAlign w:val="bottom"/>
          </w:tcPr>
          <w:p>
            <w:pPr>
              <w:spacing w:after="0"/>
              <w:rPr>
                <w:sz w:val="20"/>
                <w:szCs w:val="20"/>
                <w:color w:val="auto"/>
              </w:rPr>
            </w:pPr>
            <w:r>
              <w:rPr>
                <w:rFonts w:ascii="Arial" w:cs="Arial" w:eastAsia="Arial" w:hAnsi="Arial"/>
                <w:sz w:val="11"/>
                <w:szCs w:val="11"/>
                <w:color w:val="auto"/>
              </w:rPr>
              <w:t>1</w:t>
            </w:r>
          </w:p>
        </w:tc>
        <w:tc>
          <w:tcPr>
            <w:tcW w:w="5680" w:type="dxa"/>
            <w:vAlign w:val="bottom"/>
            <w:vMerge w:val="restart"/>
          </w:tcPr>
          <w:p>
            <w:pPr>
              <w:ind w:left="200"/>
              <w:spacing w:after="0"/>
              <w:rPr>
                <w:sz w:val="20"/>
                <w:szCs w:val="20"/>
                <w:color w:val="auto"/>
              </w:rPr>
            </w:pPr>
            <w:r>
              <w:rPr>
                <w:rFonts w:ascii="Arial" w:cs="Arial" w:eastAsia="Arial" w:hAnsi="Arial"/>
                <w:sz w:val="18"/>
                <w:szCs w:val="18"/>
                <w:color w:val="auto"/>
                <w:w w:val="86"/>
              </w:rPr>
              <w:t>There is no dilution of shares or earnings per share in 2002 due to the net loss.</w:t>
            </w: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5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is a reconciliation of reported net income (loss) to adjusted net income (loss) following the adoption of SFAS 142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on January 1, 2002 – see</w:t>
      </w:r>
      <w:r>
        <w:rPr>
          <w:rFonts w:ascii="Arial" w:cs="Arial" w:eastAsia="Arial" w:hAnsi="Arial"/>
          <w:sz w:val="18"/>
          <w:szCs w:val="18"/>
          <w:i w:val="1"/>
          <w:iCs w:val="1"/>
          <w:color w:val="auto"/>
        </w:rPr>
        <w:t xml:space="preserve"> New Accounting Standards </w:t>
      </w:r>
      <w:r>
        <w:rPr>
          <w:rFonts w:ascii="Arial" w:cs="Arial" w:eastAsia="Arial" w:hAnsi="Arial"/>
          <w:sz w:val="18"/>
          <w:szCs w:val="18"/>
          <w:color w:val="auto"/>
        </w:rPr>
        <w:t>below.</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5"/>
          </w:tcPr>
          <w:p>
            <w:pPr>
              <w:ind w:left="360"/>
              <w:spacing w:after="0"/>
              <w:rPr>
                <w:sz w:val="20"/>
                <w:szCs w:val="20"/>
                <w:color w:val="auto"/>
              </w:rPr>
            </w:pPr>
            <w:r>
              <w:rPr>
                <w:rFonts w:ascii="Arial" w:cs="Arial" w:eastAsia="Arial" w:hAnsi="Arial"/>
                <w:sz w:val="14"/>
                <w:szCs w:val="14"/>
                <w:i w:val="1"/>
                <w:iCs w:val="1"/>
                <w:color w:val="auto"/>
                <w:w w:val="85"/>
              </w:rPr>
              <w:t>(Stated in thousands)</w:t>
            </w:r>
          </w:p>
        </w:tc>
      </w:tr>
      <w:tr>
        <w:trPr>
          <w:trHeight w:val="174"/>
        </w:trPr>
        <w:tc>
          <w:tcPr>
            <w:tcW w:w="5920" w:type="dxa"/>
            <w:vAlign w:val="bottom"/>
          </w:tcPr>
          <w:p>
            <w:pPr>
              <w:spacing w:after="0"/>
              <w:rPr>
                <w:sz w:val="15"/>
                <w:szCs w:val="15"/>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680" w:type="dxa"/>
            <w:vAlign w:val="bottom"/>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r>
      <w:tr>
        <w:trPr>
          <w:trHeight w:val="95"/>
        </w:trPr>
        <w:tc>
          <w:tcPr>
            <w:tcW w:w="59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(Loss)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0"/>
              </w:rPr>
              <w:t>$(2,319,995)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$522,217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$734,596</w:t>
            </w:r>
          </w:p>
        </w:tc>
        <w:tc>
          <w:tcPr>
            <w:tcW w:w="20" w:type="dxa"/>
            <w:vAlign w:val="bottom"/>
          </w:tcPr>
          <w:p>
            <w:pPr>
              <w:spacing w:after="0"/>
              <w:rPr>
                <w:sz w:val="18"/>
                <w:szCs w:val="18"/>
                <w:color w:val="auto"/>
              </w:rPr>
            </w:pPr>
          </w:p>
        </w:tc>
      </w:tr>
      <w:tr>
        <w:trPr>
          <w:trHeight w:val="228"/>
        </w:trPr>
        <w:tc>
          <w:tcPr>
            <w:tcW w:w="5920" w:type="dxa"/>
            <w:vAlign w:val="bottom"/>
          </w:tcPr>
          <w:p>
            <w:pPr>
              <w:spacing w:after="0"/>
              <w:rPr>
                <w:sz w:val="20"/>
                <w:szCs w:val="20"/>
                <w:color w:val="auto"/>
              </w:rPr>
            </w:pPr>
            <w:r>
              <w:rPr>
                <w:rFonts w:ascii="Arial" w:cs="Arial" w:eastAsia="Arial" w:hAnsi="Arial"/>
                <w:sz w:val="18"/>
                <w:szCs w:val="18"/>
                <w:color w:val="auto"/>
              </w:rPr>
              <w:t>Goodwill amortization</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291,574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94,746</w:t>
            </w:r>
          </w:p>
        </w:tc>
        <w:tc>
          <w:tcPr>
            <w:tcW w:w="20" w:type="dxa"/>
            <w:vAlign w:val="bottom"/>
          </w:tcPr>
          <w:p>
            <w:pPr>
              <w:spacing w:after="0"/>
              <w:rPr>
                <w:sz w:val="19"/>
                <w:szCs w:val="19"/>
                <w:color w:val="auto"/>
              </w:rPr>
            </w:pPr>
          </w:p>
        </w:tc>
      </w:tr>
      <w:tr>
        <w:trPr>
          <w:trHeight w:val="96"/>
        </w:trPr>
        <w:tc>
          <w:tcPr>
            <w:tcW w:w="59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0"/>
              </w:rPr>
              <w:t>$(2,319,995)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$813,791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$829,342</w:t>
            </w:r>
          </w:p>
        </w:tc>
        <w:tc>
          <w:tcPr>
            <w:tcW w:w="20" w:type="dxa"/>
            <w:vAlign w:val="bottom"/>
          </w:tcPr>
          <w:p>
            <w:pPr>
              <w:spacing w:after="0"/>
              <w:rPr>
                <w:sz w:val="18"/>
                <w:szCs w:val="18"/>
                <w:color w:val="auto"/>
              </w:rPr>
            </w:pPr>
          </w:p>
        </w:tc>
      </w:tr>
      <w:tr>
        <w:trPr>
          <w:trHeight w:val="132"/>
        </w:trPr>
        <w:tc>
          <w:tcPr>
            <w:tcW w:w="59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Engineering</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research and engineering expenditures are expensed as incurred, including costs relating to patents or rights that may result from such expenditures. Included in 2001 expenditures was a charge of $25 million for in-process R&amp;D related to the Bull CP8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June 2001, SFAS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were issued. SFAS 141 was adopted by Schlumberger for acquisitions subsequent to June 30, 2001. SFAS 142 was adopted by Schlumberger commencing January 1, 2002. As required by SFAS 142, Schlumberger undertook an initial review of goodwill impairment in the first quarter of 2002 and completed an “event driven” review in the fourth quarter of 2002. The findings of the independent valuation indicated there was</w:t>
      </w:r>
    </w:p>
    <w:p>
      <w:pPr>
        <w:sectPr>
          <w:pgSz w:w="11900" w:h="16838" w:orient="portrait"/>
          <w:cols w:equalWidth="0" w:num="1">
            <w:col w:w="11400"/>
          </w:cols>
          <w:pgMar w:left="240" w:top="263" w:right="259" w:bottom="1440" w:gutter="0" w:footer="0" w:header="0"/>
        </w:sectPr>
      </w:pPr>
    </w:p>
    <w:bookmarkStart w:id="13" w:name="page14"/>
    <w:bookmarkEnd w:id="13"/>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impairment writedown of $2.6 billion which was approved by the Board of Directors in December 2002 in conjunction with the approval of the new strategic plan for SchlumbergerSema.</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Amortization of goodwill and workforce ceased with effect from January 1, 2002. Assembled workforce, net of deferred taxes, of $175 million was reclassified to </w:t>
      </w:r>
      <w:r>
        <w:rPr>
          <w:rFonts w:ascii="Arial" w:cs="Arial" w:eastAsia="Arial" w:hAnsi="Arial"/>
          <w:sz w:val="18"/>
          <w:szCs w:val="18"/>
          <w:i w:val="1"/>
          <w:iCs w:val="1"/>
          <w:color w:val="auto"/>
        </w:rPr>
        <w:t>Goodwill</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goodwill and other intangibles included in Schlumberger’s results are as follows:</w:t>
      </w:r>
    </w:p>
    <w:p>
      <w:pPr>
        <w:spacing w:after="0" w:line="155" w:lineRule="exact"/>
        <w:rPr>
          <w:sz w:val="20"/>
          <w:szCs w:val="20"/>
          <w:color w:val="auto"/>
        </w:rPr>
      </w:pPr>
    </w:p>
    <w:p>
      <w:pPr>
        <w:ind w:left="8960"/>
        <w:spacing w:after="0"/>
        <w:rPr>
          <w:sz w:val="20"/>
          <w:szCs w:val="20"/>
          <w:color w:val="auto"/>
        </w:rPr>
      </w:pPr>
      <w:r>
        <w:rPr>
          <w:rFonts w:ascii="Arial" w:cs="Arial" w:eastAsia="Arial" w:hAnsi="Arial"/>
          <w:sz w:val="14"/>
          <w:szCs w:val="14"/>
          <w:i w:val="1"/>
          <w:iCs w:val="1"/>
          <w:color w:val="auto"/>
        </w:rPr>
        <w:t>(Stated in millions)</w:t>
      </w:r>
    </w:p>
    <w:tbl>
      <w:tblPr>
        <w:tblLayout w:type="fixed"/>
        <w:tblInd w:w="1440" w:type="dxa"/>
        <w:tblCellMar>
          <w:top w:w="0" w:type="dxa"/>
          <w:left w:w="0" w:type="dxa"/>
          <w:bottom w:w="0" w:type="dxa"/>
          <w:right w:w="0" w:type="dxa"/>
        </w:tblCellMar>
      </w:tblPr>
      <w:tr>
        <w:trPr>
          <w:trHeight w:val="174"/>
        </w:trPr>
        <w:tc>
          <w:tcPr>
            <w:tcW w:w="7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3"/>
          </w:tcPr>
          <w:p>
            <w:pPr>
              <w:ind w:left="14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81"/>
        </w:trPr>
        <w:tc>
          <w:tcPr>
            <w:tcW w:w="7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r>
      <w:tr>
        <w:trPr>
          <w:trHeight w:val="263"/>
        </w:trPr>
        <w:tc>
          <w:tcPr>
            <w:tcW w:w="7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2002</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2000</w:t>
            </w:r>
          </w:p>
        </w:tc>
      </w:tr>
      <w:tr>
        <w:trPr>
          <w:trHeight w:val="95"/>
        </w:trPr>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r>
      <w:tr>
        <w:trPr>
          <w:trHeight w:val="102"/>
        </w:trPr>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Workforce</w:t>
            </w:r>
          </w:p>
        </w:tc>
        <w:tc>
          <w:tcPr>
            <w:tcW w:w="8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b w:val="1"/>
                <w:bCs w:val="1"/>
                <w:color w:val="auto"/>
                <w:w w:val="88"/>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108"/>
        </w:trPr>
        <w:tc>
          <w:tcPr>
            <w:tcW w:w="7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r>
      <w:tr>
        <w:trPr>
          <w:trHeight w:val="102"/>
        </w:trPr>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16"/>
        </w:trPr>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101</w:t>
            </w:r>
          </w:p>
        </w:tc>
      </w:tr>
      <w:tr>
        <w:trPr>
          <w:trHeight w:val="132"/>
        </w:trPr>
        <w:tc>
          <w:tcPr>
            <w:tcW w:w="7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3558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June 2001, SFAS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was issued. SFAS 143 will be adopted by Schlumberger commencing January 1, 2003.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Schlumberger does not believe that the implementation of this standard will have any material effect on its financial position and results of operations.</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August 2001, SFAS 144 (</w:t>
      </w:r>
      <w:r>
        <w:rPr>
          <w:rFonts w:ascii="Arial" w:cs="Arial" w:eastAsia="Arial" w:hAnsi="Arial"/>
          <w:sz w:val="18"/>
          <w:szCs w:val="18"/>
          <w:i w:val="1"/>
          <w:iCs w:val="1"/>
          <w:color w:val="auto"/>
        </w:rPr>
        <w:t>Accounting for Impairment or Disposal of Long-Lived Assets</w:t>
      </w:r>
      <w:r>
        <w:rPr>
          <w:rFonts w:ascii="Arial" w:cs="Arial" w:eastAsia="Arial" w:hAnsi="Arial"/>
          <w:sz w:val="18"/>
          <w:szCs w:val="18"/>
          <w:color w:val="auto"/>
        </w:rPr>
        <w:t>) was issued. SFAS 144 was adopted by Schlumberger commencing January 1, 2002 and did not have a material effect on its financial position or results of operations.</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Effective January 1, 2002, Schlumberger adopted the FASB EITF Abstract 01-14, (</w:t>
      </w:r>
      <w:r>
        <w:rPr>
          <w:rFonts w:ascii="Arial" w:cs="Arial" w:eastAsia="Arial" w:hAnsi="Arial"/>
          <w:sz w:val="18"/>
          <w:szCs w:val="18"/>
          <w:i w:val="1"/>
          <w:iCs w:val="1"/>
          <w:color w:val="auto"/>
        </w:rPr>
        <w:t>Income Statement Characterization of Reimbursements Received for “Out-of-Pocket” Expenses Incurred</w:t>
      </w:r>
      <w:r>
        <w:rPr>
          <w:rFonts w:ascii="Arial" w:cs="Arial" w:eastAsia="Arial" w:hAnsi="Arial"/>
          <w:sz w:val="18"/>
          <w:szCs w:val="18"/>
          <w:color w:val="auto"/>
        </w:rPr>
        <w:t>). Prior year revenue has been restated to include reimbursable costs billed to customers which had been classified as a contra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now must be classified as revenue. The reclassification was only required in the Oilfield Services (OFS) segment as the SchlumbergerSema segment was already in compliance with the new standard. OFS </w:t>
      </w:r>
      <w:r>
        <w:rPr>
          <w:rFonts w:ascii="Arial" w:cs="Arial" w:eastAsia="Arial" w:hAnsi="Arial"/>
          <w:sz w:val="18"/>
          <w:szCs w:val="18"/>
          <w:i w:val="1"/>
          <w:iCs w:val="1"/>
          <w:color w:val="auto"/>
        </w:rPr>
        <w:t>operating revenue</w:t>
      </w:r>
      <w:r>
        <w:rPr>
          <w:rFonts w:ascii="Arial" w:cs="Arial" w:eastAsia="Arial" w:hAnsi="Arial"/>
          <w:sz w:val="18"/>
          <w:szCs w:val="18"/>
          <w:color w:val="auto"/>
        </w:rPr>
        <w:t xml:space="preserve"> and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increased in 2001 by $557 million and in 2000 by $416 million. There was no effect on cash flow or net income.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July 29, 2002, the Financial Accounting Standards Board issued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 standard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required companies to recognize costs associated with exit or disposal activities when they are incurred rather than at the date of a commitment to an exit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plan. Examples of costs covered by the standard include lease termination costs and certain employee severance costs that are associated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discontinued operation, plant closing, or other exit or disposal activity. Previous accounting guidance was provided by EITF Issue No. 94-3,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 Recognition for Certain Employee Termination Benefits and Other Costs to Exit an Activity [including Certain Costs Incurred in a Restructuring])</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SFAS 146 replaced Issue 94-3. Schlumberger will apply SFAS 146 prospectively to exit or disposal activities initiated after December 31, 2002. As a result,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 charges related to restructuring plans may be recorded over multiple reporting periods as opposed to the date the plan was approved.</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November 2002, FASB Interpretation No. 45 (</w:t>
      </w:r>
      <w:r>
        <w:rPr>
          <w:rFonts w:ascii="Arial" w:cs="Arial" w:eastAsia="Arial" w:hAnsi="Arial"/>
          <w:sz w:val="18"/>
          <w:szCs w:val="18"/>
          <w:i w:val="1"/>
          <w:iCs w:val="1"/>
          <w:color w:val="auto"/>
        </w:rPr>
        <w:t>Guarantor’s Accounting and Disclosure Requirements for Guarantees, Including Indirect Guarantees of</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 of Others</w:t>
      </w:r>
      <w:r>
        <w:rPr>
          <w:rFonts w:ascii="Arial" w:cs="Arial" w:eastAsia="Arial" w:hAnsi="Arial"/>
          <w:sz w:val="18"/>
          <w:szCs w:val="18"/>
          <w:color w:val="auto"/>
        </w:rPr>
        <w:t>) was issued. It requires certain accounting and disclosures of guarantees to third parties including indebtedness. The statement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on a prospective basis for guarantees issued or modified after December 31, 2002. Schlumberger does not believe that the implementation of this statement will have a material effect on its financial position or results of operations.</w:t>
      </w:r>
    </w:p>
    <w:p>
      <w:pPr>
        <w:spacing w:after="0" w:line="13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In January 2003, the Emerging Issues Task Force (EITF) issued No. 00-21 “</w:t>
      </w:r>
      <w:r>
        <w:rPr>
          <w:rFonts w:ascii="Arial" w:cs="Arial" w:eastAsia="Arial" w:hAnsi="Arial"/>
          <w:sz w:val="18"/>
          <w:szCs w:val="18"/>
          <w:i w:val="1"/>
          <w:iCs w:val="1"/>
          <w:color w:val="auto"/>
        </w:rPr>
        <w:t>Accounting for Revenue Arrangements with Multiple Deliverables</w:t>
      </w:r>
      <w:r>
        <w:rPr>
          <w:rFonts w:ascii="Arial" w:cs="Arial" w:eastAsia="Arial" w:hAnsi="Arial"/>
          <w:sz w:val="18"/>
          <w:szCs w:val="18"/>
          <w:color w:val="auto"/>
        </w:rPr>
        <w:t>”. This EITF establishes the criteria for recognizing revenue in arrangements when several items are bundled into one agreement. EITF 00-21 does not allow revenue recognition unless the fair value of the undelivered element(s) is available and the element has stand-alone value to the customer. EITF 00-21 also provides guidance on allocating the total contract revenue to the</w:t>
      </w:r>
    </w:p>
    <w:p>
      <w:pPr>
        <w:sectPr>
          <w:pgSz w:w="11900" w:h="16838" w:orient="portrait"/>
          <w:cols w:equalWidth="0" w:num="1">
            <w:col w:w="11400"/>
          </w:cols>
          <w:pgMar w:left="240" w:top="280" w:right="259" w:bottom="1440" w:gutter="0" w:footer="0" w:header="0"/>
        </w:sectPr>
      </w:pPr>
    </w:p>
    <w:bookmarkStart w:id="14" w:name="page15"/>
    <w:bookmarkEnd w:id="14"/>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individual elements based upon the available fair value of each deliverable. Schlumberger is in the process of determining if this pronouncement will have a material impact on its financial position or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Hanover Compressor Transaction</w:t>
      </w:r>
    </w:p>
    <w:p>
      <w:pPr>
        <w:spacing w:after="0" w:line="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August 2001, Schlumberger sold its Oilfield Services worldwide gas compression activity to Hanover Compressor Company. The proceeds included common stock of Hanover Compressor, with a value at closing of $173 million, which is restricted from marketability until August 30, 2004 and a $150 million long-term subordinated note maturing December 15, 2005.</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market value of Schlumberger’s investment in Hanover Compressor common stock was $80 million as of December 31, 2002. Following the decline in the market value of the stock below carrying value during the second quarter of 2002, Schlumberger has performed, and continues to perform, a periodic assessment in accordance with its policy to determine whether an other-than-temporary decline in fair value has occurred. Schlumberger evaluated the recoverability of its investment by reviewing recent information related to the industry and the operating results and financial position of Hanover Compressor and by considering Schlumberger’s requirement, ability and intent to hold the investment on a long-term basis. Schlumberger concluded that evidence existed at December 31, 2002 to support the recoverability of its carrying value, that there were no events or changes in circumstances specifically relating to the business prospects of Hanover Compressor, that the underlying business fundamentals are good with natural gas supplies reduced and higher natural gas prices in North America, that the decline in the market value of the stock is consistent with historical industry volatility and is largely attributable to the general market conditions. In addition, the recently announced Hanover cutbacks in workforce and capital expenditures coupled with no immediate debt maturities should provide adequate capital resources in the near-term. Schlumberger views the recent changes to Hanover Compressor’s senior management team as positive with respect to its investment. Accordingly, Schlumberger concluded that the decline in market value of its investment ($93 million) in Hanover Compressor as of December 31, 2002 was temporary in nature and has not reduced the cost basis of that investment. If the decline in value persists or should Schlumberger’s assessment change, Schlumberger would take a charge to its earnings for the amount that is deemed unrecoverable.</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$150 million long-term subordinated note has a mandatory prepayment upon the issuance, sale or other disposition by Hanover Compressor of any shares of capital stock or other equity interests pursuant to a public offering or a private placement otherwise prepayment is discretionary. As of December 31, 2002, Schlumberger considers the carrying value of the note to be fully collectible.</w:t>
      </w:r>
    </w:p>
    <w:p>
      <w:pPr>
        <w:spacing w:after="0" w:line="12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part of the sale agreement, Schlumberger agreed that the financing of the PIGAP II joint venture in Venezuela would be non-recourse to the buyer and would be executed prior to December 31, 2002. Accordingly, Schlumberger was obligated, with respect to the financing, to guarantee 30% (approximately $80 million) until the project was completed in 2002 and, if as of December 31, 2002, refinancing had not become non-recourse to the buyer or the project had not achieved substantial completion, Hanover Compressor had an option to put its interest in the joint venture back to Schlumberger.</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Schlumberger originally deferred the gain on the sale of the joint venture in 2001, there would be no impact on Schlumberger results of operations if Hanover Compressor were to exercise its option.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 (unaudited)</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an outcome of the turmoil in Venezuela, although the project reached substantial completion, the non-recourse financing for the project was not achieved by December 31, 2002. On January 30, 2003, Hanover Compressor gave notice of its intention to exercise its right to put its ownership interest in the joint venture back to Schlumberger. The put is subject to certain consents and other conditions. Schlumberger’s obligation to provide a guarantee with respect to the financing was eliminated.</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Charges – Continuing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charges/credits in continuing operations:</w:t>
      </w:r>
    </w:p>
    <w:p>
      <w:pPr>
        <w:spacing w:after="0" w:line="15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December 2002, a net charge of $3,081 million ($5.30 per share). On December 10, 2002, Schlumberger announced that the Board of Directors had approved an updated strategy for its SchlumbergerSema business segment. The new strategic plan outlook, current business values and the reorganization of SchlumbergerSema constitute significant events that required an impairment analysis to be performed in accordance with FAS 142. SchlumbergerSema was ‘valued’ on a stand-alone basis; each reporting unit within SchlumbergerSema was valued using a discounted cash flow analysis based on a long-term forecast prepared by SchlumbergerSema management with the assistance of a third party valuation expert. The implied multiples yielded by the discounted cash flow analysis were compared to observed trading multiples of comparable companies and recent transactions in the IT services industry to assess the fair value of the reporting units. The fair value was below the book value. As a result, goodwill was written down to its estimated fair value based on Schlumberger’s valuation. The impairment of goodwill mainly reflects the current difficulties of the telecommunications industry and the severely depressed market values of the IT companies serving SchlumbergerSema’s sector. Certain intangible assets were also identified and written down as part of this process.</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 recorded severance, facility and other costs in an effort to reduce costs at SchlumbergerSema and WesternGeco. These costs related to expenses that offer no future benefit to the ongoing operations of these businesses. During the fourth quarter, Schlumberger also recorded an impairment charge, to reflect a change in the business projections of the WesternGeco business, related to capitalized multiclient seismic library costs, a deferred tax valuation allowance and other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total of the above charges was $3,168 million. A summary, including the gain on the sale of drilling rigs of $87 million, is as follows: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$2,638</w:t>
            </w:r>
          </w:p>
        </w:tc>
        <w:tc>
          <w:tcPr>
            <w:tcW w:w="6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Intangibles impairment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SchlumbergerSema severance &amp; other</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WesternGeco severance &amp; other</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library impairment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r>
      <w:tr>
        <w:trPr>
          <w:trHeight w:val="222"/>
        </w:trPr>
        <w:tc>
          <w:tcPr>
            <w:tcW w:w="796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r>
      <w:tr>
        <w:trPr>
          <w:trHeight w:val="102"/>
        </w:trPr>
        <w:tc>
          <w:tcPr>
            <w:tcW w:w="79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Charges before tax and minority interest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3,225</w:t>
            </w:r>
          </w:p>
        </w:tc>
        <w:tc>
          <w:tcPr>
            <w:tcW w:w="6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 xml:space="preserve">Tax </w:t>
            </w:r>
            <w:r>
              <w:rPr>
                <w:rFonts w:ascii="Arial" w:cs="Arial" w:eastAsia="Arial" w:hAnsi="Arial"/>
                <w:sz w:val="22"/>
                <w:szCs w:val="22"/>
                <w:color w:val="auto"/>
                <w:vertAlign w:val="superscript"/>
              </w:rPr>
              <w:t>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108"/>
        </w:trPr>
        <w:tc>
          <w:tcPr>
            <w:tcW w:w="79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3,168</w:t>
            </w:r>
          </w:p>
        </w:tc>
        <w:tc>
          <w:tcPr>
            <w:tcW w:w="60" w:type="dxa"/>
            <w:vAlign w:val="bottom"/>
            <w:shd w:val="clear" w:color="auto" w:fill="CCEEFF"/>
          </w:tcPr>
          <w:p>
            <w:pPr>
              <w:spacing w:after="0"/>
              <w:rPr>
                <w:sz w:val="18"/>
                <w:szCs w:val="18"/>
                <w:color w:val="auto"/>
              </w:rPr>
            </w:pPr>
          </w:p>
        </w:tc>
      </w:tr>
      <w:tr>
        <w:trPr>
          <w:trHeight w:val="222"/>
        </w:trPr>
        <w:tc>
          <w:tcPr>
            <w:tcW w:w="7960" w:type="dxa"/>
            <w:vAlign w:val="bottom"/>
          </w:tcPr>
          <w:p>
            <w:pPr>
              <w:spacing w:after="0"/>
              <w:rPr>
                <w:sz w:val="20"/>
                <w:szCs w:val="20"/>
                <w:color w:val="auto"/>
              </w:rPr>
            </w:pPr>
            <w:r>
              <w:rPr>
                <w:rFonts w:ascii="Arial" w:cs="Arial" w:eastAsia="Arial" w:hAnsi="Arial"/>
                <w:sz w:val="18"/>
                <w:szCs w:val="18"/>
                <w:color w:val="auto"/>
              </w:rPr>
              <w:t>Gain on sale of drilling rigs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(87)</w:t>
            </w:r>
          </w:p>
        </w:tc>
      </w:tr>
      <w:tr>
        <w:trPr>
          <w:trHeight w:val="102"/>
        </w:trPr>
        <w:tc>
          <w:tcPr>
            <w:tcW w:w="79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$3,081</w:t>
            </w:r>
          </w:p>
        </w:tc>
        <w:tc>
          <w:tcPr>
            <w:tcW w:w="60" w:type="dxa"/>
            <w:vAlign w:val="bottom"/>
            <w:shd w:val="clear" w:color="auto" w:fill="CCEEFF"/>
          </w:tcPr>
          <w:p>
            <w:pPr>
              <w:spacing w:after="0"/>
              <w:rPr>
                <w:sz w:val="18"/>
                <w:szCs w:val="18"/>
                <w:color w:val="auto"/>
              </w:rPr>
            </w:pPr>
          </w:p>
        </w:tc>
      </w:tr>
      <w:tr>
        <w:trPr>
          <w:trHeight w:val="132"/>
        </w:trPr>
        <w:tc>
          <w:tcPr>
            <w:tcW w:w="79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deferred tax valuation allowance of $94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above charges before tax and minority interest and the gain on sale of drilling rigs are recorded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March 2002, a charge of $29 million (pretax $30 million and minority interest credit of $1 million; $0.05 per share – diluted) related to the financial/economic crisis in Argentina where in January, the government eliminated all US dollar contracts and</w:t>
      </w:r>
    </w:p>
    <w:p>
      <w:pPr>
        <w:sectPr>
          <w:pgSz w:w="11900" w:h="16838" w:orient="portrait"/>
          <w:cols w:equalWidth="0" w:num="1">
            <w:col w:w="11400"/>
          </w:cols>
          <w:pgMar w:left="240" w:top="274" w:right="259" w:bottom="1440" w:gutter="0" w:footer="0" w:header="0"/>
        </w:sectPr>
      </w:pPr>
    </w:p>
    <w:bookmarkStart w:id="16" w:name="page17"/>
    <w:bookmarkEnd w:id="16"/>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converted US dollar denominated accounts receivable into pesos. As a result, Schlumberger’s currency exposure increased significantly. With currency devaluation, an exchange loss (net of hedging) on net assets, primarily customer receivables, was incurred. In addition, a provision was recorded for downsizing facilities and headcount. The small SchlumbergerSema exposure in Argentina was also provided for. The pretax change is classified in </w:t>
      </w:r>
      <w:r>
        <w:rPr>
          <w:rFonts w:ascii="Arial" w:cs="Arial" w:eastAsia="Arial" w:hAnsi="Arial"/>
          <w:sz w:val="18"/>
          <w:szCs w:val="18"/>
          <w:i w:val="1"/>
          <w:iCs w:val="1"/>
          <w:color w:val="auto"/>
        </w:rPr>
        <w:t>Cost of goods sold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March 2001, a charge of $25 million ($0.04 per share – diluted) for in-process research and development related to the Bull CP8 acquisition.</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June 2001, a charge of $280 million ($0.48 per share – diluted) for the estimated impairment charge from the disposition of certain Resource Management Services businesses (Electricity and Water outside North America and worldwide Gas businesses). This charge included the writeoff of goodwill ($139 million) and cumulative translation adjustment ($79 million).</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In September 2001, a pretax credit of $42 million (after tax $3 million) representing the gain on the sale of the worldwide gas compression business, partially offset by an impairment charge relating to the expected disposition of certain activities. The proceeds from the sale of the worldwide gas compression business included $274 million in cash, a $150 million long-term subordinated note and newly issued Hanover Compressor Company shares with a value of $173 million. The shares have a three year marketability restriction. As part of the transaction, Schlumberger agreed that the financing of a certain joint venture project (PIGAP</w:t>
      </w:r>
    </w:p>
    <w:p>
      <w:pPr>
        <w:spacing w:after="0" w:line="3" w:lineRule="exact"/>
        <w:rPr>
          <w:sz w:val="20"/>
          <w:szCs w:val="20"/>
          <w:color w:val="auto"/>
        </w:rPr>
      </w:pPr>
    </w:p>
    <w:p>
      <w:pPr>
        <w:ind w:right="260" w:firstLine="8"/>
        <w:spacing w:after="0" w:line="254" w:lineRule="auto"/>
        <w:tabs>
          <w:tab w:leader="none" w:pos="219" w:val="left"/>
        </w:tabs>
        <w:numPr>
          <w:ilvl w:val="0"/>
          <w:numId w:val="3"/>
        </w:numPr>
        <w:rPr>
          <w:rFonts w:ascii="Arial" w:cs="Arial" w:eastAsia="Arial" w:hAnsi="Arial"/>
          <w:sz w:val="18"/>
          <w:szCs w:val="18"/>
          <w:color w:val="auto"/>
        </w:rPr>
      </w:pPr>
      <w:r>
        <w:rPr>
          <w:rFonts w:ascii="Arial" w:cs="Arial" w:eastAsia="Arial" w:hAnsi="Arial"/>
          <w:sz w:val="18"/>
          <w:szCs w:val="18"/>
          <w:color w:val="auto"/>
        </w:rPr>
        <w:t>would be non-recourse to the buyer and would be executed prior to December 31, 2002. Accordingly, Schlumberger was obligated with respect to the financing to guarantee 30% (approximately $80 million) until the project was completed in late 2002. If as of December 31, 2002 refinancing had not become non-recourse to the buyer or the project has not achieved substantial completion, the buyer has an option to put its interest in such joint venture back to Schlumberger. The gain on the sale of this joint venture was deferred.</w:t>
      </w:r>
    </w:p>
    <w:p>
      <w:pPr>
        <w:spacing w:after="0" w:line="130"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 December 2001, a pretax credit of $119 million (net – $5 million after tax and minority interest, $0.01 per share – diluted), consisting primarily of the following:</w:t>
      </w:r>
    </w:p>
    <w:p>
      <w:pPr>
        <w:ind w:left="780" w:hanging="326"/>
        <w:spacing w:after="0" w:line="208" w:lineRule="auto"/>
        <w:tabs>
          <w:tab w:leader="none" w:pos="780" w:val="left"/>
        </w:tabs>
        <w:numPr>
          <w:ilvl w:val="0"/>
          <w:numId w:val="4"/>
        </w:numPr>
        <w:rPr>
          <w:rFonts w:ascii="Arial" w:cs="Arial" w:eastAsia="Arial" w:hAnsi="Arial"/>
          <w:sz w:val="26"/>
          <w:szCs w:val="26"/>
          <w:color w:val="auto"/>
          <w:vertAlign w:val="superscript"/>
        </w:rPr>
      </w:pPr>
      <w:r>
        <w:rPr>
          <w:rFonts w:ascii="Arial" w:cs="Arial" w:eastAsia="Arial" w:hAnsi="Arial"/>
          <w:sz w:val="17"/>
          <w:szCs w:val="17"/>
          <w:color w:val="auto"/>
        </w:rPr>
        <w:t>A credit of $223 million ($117 million after tax) from the sale of the former Resource Management Services North American Water division.</w:t>
      </w:r>
    </w:p>
    <w:p>
      <w:pPr>
        <w:spacing w:after="0" w:line="102" w:lineRule="exact"/>
        <w:rPr>
          <w:rFonts w:ascii="Arial" w:cs="Arial" w:eastAsia="Arial" w:hAnsi="Arial"/>
          <w:sz w:val="26"/>
          <w:szCs w:val="26"/>
          <w:color w:val="auto"/>
          <w:vertAlign w:val="superscript"/>
        </w:rPr>
      </w:pPr>
    </w:p>
    <w:p>
      <w:pPr>
        <w:ind w:left="780" w:right="220" w:hanging="326"/>
        <w:spacing w:after="0" w:line="196" w:lineRule="auto"/>
        <w:tabs>
          <w:tab w:leader="none" w:pos="78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A pretax charge of $43 million ($37 million after tax) for employee termination costs, principally in Europe and the US, related to Oilfield Services and SchlumbergerSema in response to the prevailing business conditions.</w:t>
      </w:r>
    </w:p>
    <w:p>
      <w:pPr>
        <w:spacing w:after="0" w:line="1" w:lineRule="exact"/>
        <w:rPr>
          <w:rFonts w:ascii="Arial" w:cs="Arial" w:eastAsia="Arial" w:hAnsi="Arial"/>
          <w:sz w:val="27"/>
          <w:szCs w:val="27"/>
          <w:color w:val="auto"/>
          <w:vertAlign w:val="superscript"/>
        </w:rPr>
      </w:pPr>
    </w:p>
    <w:p>
      <w:pPr>
        <w:ind w:left="780" w:hanging="326"/>
        <w:spacing w:after="0" w:line="219" w:lineRule="auto"/>
        <w:tabs>
          <w:tab w:leader="none" w:pos="78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A tax charge for reorganization costs of $29 million.</w:t>
      </w:r>
    </w:p>
    <w:p>
      <w:pPr>
        <w:spacing w:after="0" w:line="102" w:lineRule="exact"/>
        <w:rPr>
          <w:rFonts w:ascii="Arial" w:cs="Arial" w:eastAsia="Arial" w:hAnsi="Arial"/>
          <w:sz w:val="27"/>
          <w:szCs w:val="27"/>
          <w:color w:val="auto"/>
          <w:vertAlign w:val="superscript"/>
        </w:rPr>
      </w:pPr>
    </w:p>
    <w:p>
      <w:pPr>
        <w:ind w:left="780" w:right="560" w:hanging="326"/>
        <w:spacing w:after="0" w:line="196" w:lineRule="auto"/>
        <w:tabs>
          <w:tab w:leader="none" w:pos="78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A further pretax charge of $28 million ($20 million after tax) related to the second quarter estimated loss on the divestiture of certain Resource Management Services businesses following the actual closing in the fourth quarter.</w:t>
      </w:r>
    </w:p>
    <w:p>
      <w:pPr>
        <w:spacing w:after="0" w:line="63" w:lineRule="exact"/>
        <w:rPr>
          <w:rFonts w:ascii="Arial" w:cs="Arial" w:eastAsia="Arial" w:hAnsi="Arial"/>
          <w:sz w:val="27"/>
          <w:szCs w:val="27"/>
          <w:color w:val="auto"/>
          <w:vertAlign w:val="superscript"/>
        </w:rPr>
      </w:pPr>
    </w:p>
    <w:p>
      <w:pPr>
        <w:ind w:left="780" w:right="80" w:hanging="326"/>
        <w:spacing w:after="0" w:line="203" w:lineRule="auto"/>
        <w:tabs>
          <w:tab w:leader="none" w:pos="78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A $33 million pretax asset writedown ($23 million after tax and minority interest) for technological impairment related to certain Land seismic assets in the newly formed joint venture.</w:t>
      </w:r>
    </w:p>
    <w:p>
      <w:pPr>
        <w:spacing w:after="0" w:line="14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 xml:space="preserve">The above 2001 pretax amounts are recorded: an aggregated $119 million charge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a $25 million charge in </w:t>
      </w:r>
      <w:r>
        <w:rPr>
          <w:rFonts w:ascii="Arial" w:cs="Arial" w:eastAsia="Arial" w:hAnsi="Arial"/>
          <w:sz w:val="18"/>
          <w:szCs w:val="18"/>
          <w:i w:val="1"/>
          <w:iCs w:val="1"/>
          <w:color w:val="auto"/>
        </w:rPr>
        <w:t>Research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engineering </w:t>
      </w:r>
      <w:r>
        <w:rPr>
          <w:rFonts w:ascii="Arial" w:cs="Arial" w:eastAsia="Arial" w:hAnsi="Arial"/>
          <w:sz w:val="18"/>
          <w:szCs w:val="18"/>
          <w:color w:val="auto"/>
        </w:rPr>
        <w:t>and a $10 million credit in</w:t>
      </w:r>
      <w:r>
        <w:rPr>
          <w:rFonts w:ascii="Arial" w:cs="Arial" w:eastAsia="Arial" w:hAnsi="Arial"/>
          <w:sz w:val="18"/>
          <w:szCs w:val="18"/>
          <w:i w:val="1"/>
          <w:iCs w:val="1"/>
          <w:color w:val="auto"/>
        </w:rPr>
        <w:t xml:space="preserve"> Minority interest</w:t>
      </w:r>
      <w:r>
        <w:rPr>
          <w:rFonts w:ascii="Arial" w:cs="Arial" w:eastAsia="Arial" w:hAnsi="Arial"/>
          <w:sz w:val="18"/>
          <w:szCs w:val="18"/>
          <w:color w:val="auto"/>
        </w:rPr>
        <w:t>.</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December 2000, a pretax charge of $84 million offset by a pretax gain of $82 million (net – $3 million after tax and minority interest, $0.00 per share – diluted), consisting of the following:</w:t>
      </w:r>
    </w:p>
    <w:p>
      <w:pPr>
        <w:spacing w:after="0" w:line="37" w:lineRule="exact"/>
        <w:rPr>
          <w:sz w:val="20"/>
          <w:szCs w:val="20"/>
          <w:color w:val="auto"/>
        </w:rPr>
      </w:pPr>
    </w:p>
    <w:p>
      <w:pPr>
        <w:ind w:left="780" w:right="480" w:hanging="326"/>
        <w:spacing w:after="0" w:line="203" w:lineRule="auto"/>
        <w:tabs>
          <w:tab w:leader="none" w:pos="78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A charge of $29 million ($25 million after tax) related primarily to the writedown of certain inventory and severance costs in the semiconductor business due to weak market conditions.</w:t>
      </w:r>
    </w:p>
    <w:p>
      <w:pPr>
        <w:sectPr>
          <w:pgSz w:w="11900" w:h="16838" w:orient="portrait"/>
          <w:cols w:equalWidth="0" w:num="1">
            <w:col w:w="11360"/>
          </w:cols>
          <w:pgMar w:left="240" w:top="280" w:right="299" w:bottom="1440" w:gutter="0" w:footer="0" w:header="0"/>
        </w:sectPr>
      </w:pPr>
    </w:p>
    <w:bookmarkStart w:id="17" w:name="page18"/>
    <w:bookmarkEnd w:id="17"/>
    <w:p>
      <w:pPr>
        <w:ind w:left="780" w:right="160" w:hanging="326"/>
        <w:spacing w:after="0" w:line="203" w:lineRule="auto"/>
        <w:tabs>
          <w:tab w:leader="none" w:pos="78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charge of $55 million ($39 million after tax and minority interest) related to the creation of the WesternGeco seismic joint venture, including asset impairments and severance costs for Schlumberger’s existing Geco-Prakla business.</w:t>
      </w:r>
    </w:p>
    <w:p>
      <w:pPr>
        <w:spacing w:after="0" w:line="62" w:lineRule="exact"/>
        <w:rPr>
          <w:rFonts w:ascii="Arial" w:cs="Arial" w:eastAsia="Arial" w:hAnsi="Arial"/>
          <w:sz w:val="27"/>
          <w:szCs w:val="27"/>
          <w:color w:val="auto"/>
          <w:vertAlign w:val="superscript"/>
        </w:rPr>
      </w:pPr>
    </w:p>
    <w:p>
      <w:pPr>
        <w:jc w:val="both"/>
        <w:ind w:left="780" w:hanging="326"/>
        <w:spacing w:after="0" w:line="216" w:lineRule="auto"/>
        <w:tabs>
          <w:tab w:leader="none" w:pos="78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A credit of $82 million ($61 million after tax) resulting from the gain on the sale of two Gas Services businesses in Europe. Revenue and operating net results for these divested activities were $110 million and a $740,000 loss, respectively, in 2000 (10 months) and $163 million and $2.7 million profit, respectively in 1999.</w:t>
      </w:r>
    </w:p>
    <w:p>
      <w:pPr>
        <w:spacing w:after="0" w:line="145"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 xml:space="preserve">The pretax gain on the sale of the Gas Services businesses is included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The pretax Semiconductor Solutions and WesternGeco charges are included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A $9 million credit is included in </w:t>
      </w:r>
      <w:r>
        <w:rPr>
          <w:rFonts w:ascii="Arial" w:cs="Arial" w:eastAsia="Arial" w:hAnsi="Arial"/>
          <w:sz w:val="16"/>
          <w:szCs w:val="16"/>
          <w:i w:val="1"/>
          <w:iCs w:val="1"/>
          <w:color w:val="auto"/>
        </w:rPr>
        <w:t>Minority interest</w:t>
      </w:r>
      <w:r>
        <w:rPr>
          <w:rFonts w:ascii="Arial" w:cs="Arial" w:eastAsia="Arial" w:hAnsi="Arial"/>
          <w:sz w:val="16"/>
          <w:szCs w:val="16"/>
          <w:color w:val="auto"/>
        </w:rPr>
        <w:t xml:space="preserve"> relating to the WesternGeco charges.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December 2002 pretax severance and facility charges is as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5"/>
          </w:tcPr>
          <w:p>
            <w:pPr>
              <w:ind w:left="280"/>
              <w:spacing w:after="0"/>
              <w:rPr>
                <w:sz w:val="20"/>
                <w:szCs w:val="20"/>
                <w:color w:val="auto"/>
              </w:rPr>
            </w:pPr>
            <w:r>
              <w:rPr>
                <w:rFonts w:ascii="Arial" w:cs="Arial" w:eastAsia="Arial" w:hAnsi="Arial"/>
                <w:sz w:val="14"/>
                <w:szCs w:val="14"/>
                <w:i w:val="1"/>
                <w:iCs w:val="1"/>
                <w:color w:val="auto"/>
                <w:w w:val="88"/>
              </w:rPr>
              <w:t>(Stated in millions)</w:t>
            </w:r>
          </w:p>
        </w:tc>
      </w:tr>
      <w:tr>
        <w:trPr>
          <w:trHeight w:val="174"/>
        </w:trPr>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Severance</w:t>
            </w:r>
          </w:p>
        </w:tc>
        <w:tc>
          <w:tcPr>
            <w:tcW w:w="680" w:type="dxa"/>
            <w:vAlign w:val="bottom"/>
            <w:gridSpan w:val="4"/>
          </w:tcPr>
          <w:p>
            <w:pPr>
              <w:ind w:left="160"/>
              <w:spacing w:after="0"/>
              <w:rPr>
                <w:sz w:val="20"/>
                <w:szCs w:val="20"/>
                <w:color w:val="auto"/>
              </w:rPr>
            </w:pPr>
            <w:r>
              <w:rPr>
                <w:rFonts w:ascii="Arial" w:cs="Arial" w:eastAsia="Arial" w:hAnsi="Arial"/>
                <w:sz w:val="14"/>
                <w:szCs w:val="14"/>
                <w:b w:val="1"/>
                <w:bCs w:val="1"/>
                <w:color w:val="auto"/>
                <w:w w:val="83"/>
              </w:rPr>
              <w:t>Facilities</w:t>
            </w:r>
          </w:p>
        </w:tc>
      </w:tr>
      <w:tr>
        <w:trPr>
          <w:trHeight w:val="95"/>
        </w:trPr>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6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3"/>
              </w:rPr>
              <w:t>Amount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5"/>
              </w:rPr>
              <w:t>Headcount</w:t>
            </w:r>
          </w:p>
        </w:tc>
        <w:tc>
          <w:tcPr>
            <w:tcW w:w="160" w:type="dxa"/>
            <w:vAlign w:val="bottom"/>
          </w:tcPr>
          <w:p>
            <w:pPr>
              <w:spacing w:after="0"/>
              <w:rPr>
                <w:sz w:val="22"/>
                <w:szCs w:val="22"/>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Amount</w:t>
            </w:r>
          </w:p>
        </w:tc>
      </w:tr>
      <w:tr>
        <w:trPr>
          <w:trHeight w:val="95"/>
        </w:trPr>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94.5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color w:val="auto"/>
              </w:rPr>
              <w:t>Paid in December 2002</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32.9</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r>
      <w:tr>
        <w:trPr>
          <w:trHeight w:val="102"/>
        </w:trPr>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61.6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8"/>
                <w:szCs w:val="18"/>
                <w:color w:val="auto"/>
              </w:rPr>
            </w:pPr>
          </w:p>
        </w:tc>
      </w:tr>
      <w:tr>
        <w:trPr>
          <w:trHeight w:val="132"/>
        </w:trPr>
        <w:tc>
          <w:tcPr>
            <w:tcW w:w="6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83629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3629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remaining severance costs are expected to be paid before September 30,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December 2001 charge included severance costs of $41 million (775 people) which have been paid.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December 2000 charges included severance costs of $9 million (380 people) which have been paid.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Sema plc</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February 12, 2001, Schlumberger announced that it had reached an agreement with the board of directors of Sema plc on the terms of a recommended offer for the entire issued and to be issued share capital of Sema plc.</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March 8, 2001, a wholly owned subsidiary of Schlumberger acquired, through market purchases, approximately 20% of the issued share capital of Sema at a cost of $1 billion.</w:t>
      </w:r>
    </w:p>
    <w:p>
      <w:pPr>
        <w:spacing w:after="0" w:line="11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April 6, 2001, the offer for the shares of Sema plc was declared unconditional in all respects. The aggregate consideration for the acquisition of 100% of the issued Sema shares was $5.15 billion (including expenses of the transaction) which was financed from existing cash resources and borrowings under a $3 billion credit facility.</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October 3, 2001, wholly owned subsidiaries of Schlumberger issued $1.9 billion European bonds (Euro 1.4 billion and £425 million). The average rate of these bonds is 5.9% with maturity from 2008 through 2032. The proceeds from the issues were used to repay short-term bank loans originally taken out by those subsidiaries to finance the acquisition of Sema plc.</w:t>
      </w:r>
    </w:p>
    <w:p>
      <w:pPr>
        <w:spacing w:after="0" w:line="12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 xml:space="preserve">The acquisition was accounted for using the purchase method of accounting and the goodwill and identifiable intangibles aggregated $5.19 billion which were being amortized on a straight-line basis in 2001. Effective January 1, 2002, with the adoption of SFAS 142 (see </w:t>
      </w:r>
      <w:r>
        <w:rPr>
          <w:rFonts w:ascii="Arial" w:cs="Arial" w:eastAsia="Arial" w:hAnsi="Arial"/>
          <w:sz w:val="16"/>
          <w:szCs w:val="16"/>
          <w:i w:val="1"/>
          <w:iCs w:val="1"/>
          <w:color w:val="auto"/>
        </w:rPr>
        <w:t>New Accounting Standards</w:t>
      </w:r>
      <w:r>
        <w:rPr>
          <w:rFonts w:ascii="Arial" w:cs="Arial" w:eastAsia="Arial" w:hAnsi="Arial"/>
          <w:sz w:val="16"/>
          <w:szCs w:val="16"/>
          <w:color w:val="auto"/>
        </w:rPr>
        <w:t>), amortization of goodwill and workforce ceased. Identifiable intangibles continue to be amortized on a straight-line basis over 10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value of goodwill and identifiable intangibles comprised the following:</w:t>
      </w:r>
    </w:p>
    <w:p>
      <w:pPr>
        <w:sectPr>
          <w:pgSz w:w="11900" w:h="16838" w:orient="portrait"/>
          <w:cols w:equalWidth="0" w:num="1">
            <w:col w:w="11380"/>
          </w:cols>
          <w:pgMar w:left="240" w:top="280" w:right="279" w:bottom="1440" w:gutter="0" w:footer="0" w:header="0"/>
        </w:sectPr>
      </w:pPr>
    </w:p>
    <w:bookmarkStart w:id="18" w:name="page19"/>
    <w:bookmarkEnd w:id="18"/>
    <w:tbl>
      <w:tblPr>
        <w:tblLayout w:type="fixed"/>
        <w:tblInd w:w="144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i w:val="1"/>
                <w:iCs w:val="1"/>
                <w:color w:val="auto"/>
                <w:w w:val="95"/>
              </w:rPr>
              <w:t>(Stated in billions)</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Cost (including expenses)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6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Purchase accounting adjustments</w:t>
            </w:r>
          </w:p>
        </w:tc>
        <w:tc>
          <w:tcPr>
            <w:tcW w:w="3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 acquired</w:t>
            </w: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r>
      <w:tr>
        <w:trPr>
          <w:trHeight w:val="108"/>
        </w:trPr>
        <w:tc>
          <w:tcPr>
            <w:tcW w:w="74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w:t>
            </w:r>
          </w:p>
        </w:tc>
        <w:tc>
          <w:tcPr>
            <w:tcW w:w="60" w:type="dxa"/>
            <w:vAlign w:val="bottom"/>
            <w:shd w:val="clear" w:color="auto" w:fill="CCEEFF"/>
          </w:tcPr>
          <w:p>
            <w:pPr>
              <w:spacing w:after="0"/>
              <w:rPr>
                <w:sz w:val="18"/>
                <w:szCs w:val="18"/>
                <w:color w:val="auto"/>
              </w:rPr>
            </w:pPr>
          </w:p>
        </w:tc>
      </w:tr>
      <w:tr>
        <w:trPr>
          <w:trHeight w:val="132"/>
        </w:trPr>
        <w:tc>
          <w:tcPr>
            <w:tcW w:w="74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Purchase accounting adjustments consisted primarily of severance costs ($84 million – 1781 people), facility reductions ($33 million), pension plan adjustments ($136 million) and tax restructuring costs ($50 million). At December 31, 2001, $26 million (593 people) of the severance costs had been paid. All remaining severance costs were paid in 2002.</w:t>
      </w:r>
    </w:p>
    <w:p>
      <w:pPr>
        <w:spacing w:after="0" w:line="12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financial reporting purposes, Schlumberger included the results of operations of Sema in its consolidated accounts commencing April 1, 2001. If Sema had been included in the consolidated financial statements of Schlumberger from January 1, consolidated revenue for the twelve months ended December 31, 2001 would have increased by $538 million (unaudited) to $14.3 billion (unaudited) and consolidated net income would have decreased by approximately $140 million (unaudited), to $382 million (unaudited), related primarily to increased interest expense and amortization of intangibles, and lower interest income. On a proforma basis, Schlumberger 2000 operating revenue and net income would have been $12 billion (unaudited) and $300 million (unaudited), respectively.</w:t>
      </w:r>
    </w:p>
    <w:p>
      <w:pPr>
        <w:spacing w:after="0" w:line="10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Sema is an IT services company (with approximately 22,000 employees at the date of acquisition) that provides its customers with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 Sema’s services and product offerings include systems integration and consulting; software products for the telecommunications, energy, transport and finance sectors; and outsourcing.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During 2002, subsidiaries of Schlumberger acquired the following:</w:t>
      </w:r>
    </w:p>
    <w:p>
      <w:pPr>
        <w:spacing w:after="0" w:line="77" w:lineRule="exact"/>
        <w:rPr>
          <w:sz w:val="20"/>
          <w:szCs w:val="20"/>
          <w:color w:val="auto"/>
        </w:rPr>
      </w:pPr>
    </w:p>
    <w:p>
      <w:pPr>
        <w:ind w:left="780" w:right="120" w:hanging="326"/>
        <w:spacing w:after="0" w:line="203" w:lineRule="auto"/>
        <w:tabs>
          <w:tab w:leader="none" w:pos="78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In March, Inside Reality, a Norwegian based company specializing in virtual reality technology for the oil and gas industry. The acquisition price was $18 million in cash. Assets acquired included intangible assets of $18 million.</w:t>
      </w:r>
    </w:p>
    <w:p>
      <w:pPr>
        <w:spacing w:after="0" w:line="62" w:lineRule="exact"/>
        <w:rPr>
          <w:rFonts w:ascii="Arial" w:cs="Arial" w:eastAsia="Arial" w:hAnsi="Arial"/>
          <w:sz w:val="27"/>
          <w:szCs w:val="27"/>
          <w:color w:val="auto"/>
          <w:vertAlign w:val="superscript"/>
        </w:rPr>
      </w:pPr>
    </w:p>
    <w:p>
      <w:pPr>
        <w:ind w:left="780" w:right="380" w:hanging="326"/>
        <w:spacing w:after="0" w:line="223" w:lineRule="auto"/>
        <w:tabs>
          <w:tab w:leader="none" w:pos="78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In April, DBR International Inc., a Canadian based company which manufacturers fluid analysis equipment and provides fluid analysis consulting services to the oil and gas industry. The acquisition price was $12 million in cash. Assets acquired included $6 million of goodwill.</w:t>
      </w:r>
    </w:p>
    <w:p>
      <w:pPr>
        <w:spacing w:after="0" w:line="61" w:lineRule="exact"/>
        <w:rPr>
          <w:rFonts w:ascii="Arial" w:cs="Arial" w:eastAsia="Arial" w:hAnsi="Arial"/>
          <w:sz w:val="25"/>
          <w:szCs w:val="25"/>
          <w:color w:val="auto"/>
          <w:vertAlign w:val="superscript"/>
        </w:rPr>
      </w:pPr>
    </w:p>
    <w:p>
      <w:pPr>
        <w:ind w:left="780" w:hanging="326"/>
        <w:spacing w:after="0" w:line="203" w:lineRule="auto"/>
        <w:tabs>
          <w:tab w:leader="none" w:pos="78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In April, A.Comeau and Associates, a Canadian based provider of electrical engineering products and services for artificially lifted wells. The purchase price was $6 million in cash. Assets acquired included goodwill of $6 million.</w:t>
      </w:r>
    </w:p>
    <w:p>
      <w:pPr>
        <w:spacing w:after="0" w:line="62" w:lineRule="exact"/>
        <w:rPr>
          <w:rFonts w:ascii="Arial" w:cs="Arial" w:eastAsia="Arial" w:hAnsi="Arial"/>
          <w:sz w:val="27"/>
          <w:szCs w:val="27"/>
          <w:color w:val="auto"/>
          <w:vertAlign w:val="superscript"/>
        </w:rPr>
      </w:pPr>
    </w:p>
    <w:p>
      <w:pPr>
        <w:ind w:left="780" w:right="240" w:hanging="326"/>
        <w:spacing w:after="0" w:line="216" w:lineRule="auto"/>
        <w:tabs>
          <w:tab w:leader="none" w:pos="78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In December, Technoguide AS, a software leader in the reservoir modeling domain. The purchase price was $68 million comprising of $8 million in cash and 1.35 million shares of Schlumberger stock valued at $60 million. Assets acquired included goodwill of $23 million and $44 million of intangible assets (primarily Intellectual Property).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2001, subsidiaries of Schlumberger acquired the following:</w:t>
      </w:r>
    </w:p>
    <w:p>
      <w:pPr>
        <w:spacing w:after="0" w:line="77" w:lineRule="exact"/>
        <w:rPr>
          <w:sz w:val="20"/>
          <w:szCs w:val="20"/>
          <w:color w:val="auto"/>
        </w:rPr>
      </w:pPr>
    </w:p>
    <w:p>
      <w:pPr>
        <w:jc w:val="both"/>
        <w:ind w:left="780" w:right="20" w:hanging="326"/>
        <w:spacing w:after="0" w:line="264" w:lineRule="auto"/>
        <w:tabs>
          <w:tab w:leader="none" w:pos="78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In March, Bull CP8, a market leader in microprocessor-based smart cards and associated systems applications for the banking, mobile communications and network security industries. The acquisition price was $313 million in cash. Assets acquired included identifiable intangibles (primarily patents) of $136 million and goodwill of $140 million. In-process R&amp;D, which aggregated $25 million, was charged to expense in the first quarter.</w:t>
      </w:r>
    </w:p>
    <w:p>
      <w:pPr>
        <w:sectPr>
          <w:pgSz w:w="11900" w:h="16838" w:orient="portrait"/>
          <w:cols w:equalWidth="0" w:num="1">
            <w:col w:w="11420"/>
          </w:cols>
          <w:pgMar w:left="240" w:top="276" w:right="239" w:bottom="1440" w:gutter="0" w:footer="0" w:header="0"/>
        </w:sectPr>
      </w:pPr>
    </w:p>
    <w:bookmarkStart w:id="19" w:name="page20"/>
    <w:bookmarkEnd w:id="19"/>
    <w:p>
      <w:pPr>
        <w:ind w:left="780" w:right="240" w:hanging="326"/>
        <w:spacing w:after="0" w:line="203" w:lineRule="auto"/>
        <w:tabs>
          <w:tab w:leader="none" w:pos="78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June, Infosynergy ASA, a Norwegian based company specializing in customer information and billing systems integration. The acquisition price was $29 million in cash. Assets acquired included goodwill of $29 million.</w:t>
      </w:r>
    </w:p>
    <w:p>
      <w:pPr>
        <w:spacing w:after="0" w:line="143" w:lineRule="exact"/>
        <w:rPr>
          <w:rFonts w:ascii="Arial" w:cs="Arial" w:eastAsia="Arial" w:hAnsi="Arial"/>
          <w:sz w:val="27"/>
          <w:szCs w:val="27"/>
          <w:color w:val="auto"/>
          <w:vertAlign w:val="superscript"/>
        </w:rPr>
      </w:pPr>
    </w:p>
    <w:p>
      <w:pPr>
        <w:ind w:left="780" w:right="240" w:hanging="326"/>
        <w:spacing w:after="0" w:line="224" w:lineRule="auto"/>
        <w:tabs>
          <w:tab w:leader="none" w:pos="78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In September, Sensor Highways Limited, a UK based market leader in the design, manufacture and deployment of a new generation of fiber optic sensors specializing in real-time data solutions to the oil and gas, process and power distribution industries. The acquisition price was $100 million, consisting of $70 million in cash and $30 million in notes. Assets acquired included identifiable intangibles of $48 million and goodwill of $50 million.</w:t>
      </w:r>
    </w:p>
    <w:p>
      <w:pPr>
        <w:spacing w:after="0" w:line="143" w:lineRule="exact"/>
        <w:rPr>
          <w:rFonts w:ascii="Arial" w:cs="Arial" w:eastAsia="Arial" w:hAnsi="Arial"/>
          <w:sz w:val="27"/>
          <w:szCs w:val="27"/>
          <w:color w:val="auto"/>
          <w:vertAlign w:val="superscript"/>
        </w:rPr>
      </w:pPr>
    </w:p>
    <w:p>
      <w:pPr>
        <w:ind w:left="780" w:right="40" w:hanging="326"/>
        <w:spacing w:after="0" w:line="216" w:lineRule="auto"/>
        <w:tabs>
          <w:tab w:leader="none" w:pos="78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In September, Phoenix Petroleum Services, a UK based leader in providing tools, technologies and techniques for optimizing production in artificially lifted wells, particularly those using submersible pumps. The acquisition price was $33 million in cash. Assets acquired included goodwill of $26 million.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2000, subsidiaries of Schlumberger acquired the following:</w:t>
      </w:r>
    </w:p>
    <w:p>
      <w:pPr>
        <w:spacing w:after="0" w:line="158" w:lineRule="exact"/>
        <w:rPr>
          <w:sz w:val="20"/>
          <w:szCs w:val="20"/>
          <w:color w:val="auto"/>
        </w:rPr>
      </w:pPr>
    </w:p>
    <w:p>
      <w:pPr>
        <w:ind w:left="780" w:right="220" w:hanging="326"/>
        <w:spacing w:after="0" w:line="203" w:lineRule="auto"/>
        <w:tabs>
          <w:tab w:leader="none" w:pos="78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In January, Telweb Inc., an Internet access company based in Quebec, Canada. The purchase price was $28 million and the assets acquired included goodwill of $28 million.</w:t>
      </w:r>
    </w:p>
    <w:p>
      <w:pPr>
        <w:spacing w:after="0" w:line="143" w:lineRule="exact"/>
        <w:rPr>
          <w:rFonts w:ascii="Arial" w:cs="Arial" w:eastAsia="Arial" w:hAnsi="Arial"/>
          <w:sz w:val="27"/>
          <w:szCs w:val="27"/>
          <w:color w:val="auto"/>
          <w:vertAlign w:val="superscript"/>
        </w:rPr>
      </w:pPr>
    </w:p>
    <w:p>
      <w:pPr>
        <w:ind w:left="780" w:right="260" w:hanging="326"/>
        <w:spacing w:after="0" w:line="203" w:lineRule="auto"/>
        <w:tabs>
          <w:tab w:leader="none" w:pos="78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In April, Operational Services, Inc., which provides a systematic approach to production management through efficient systems and processes. The purchase price was $13 million and the assets acquired included goodwill of $13 million.</w:t>
      </w:r>
    </w:p>
    <w:p>
      <w:pPr>
        <w:spacing w:after="0" w:line="143" w:lineRule="exact"/>
        <w:rPr>
          <w:rFonts w:ascii="Arial" w:cs="Arial" w:eastAsia="Arial" w:hAnsi="Arial"/>
          <w:sz w:val="27"/>
          <w:szCs w:val="27"/>
          <w:color w:val="auto"/>
          <w:vertAlign w:val="superscript"/>
        </w:rPr>
      </w:pPr>
    </w:p>
    <w:p>
      <w:pPr>
        <w:ind w:left="780" w:right="40" w:hanging="326"/>
        <w:spacing w:after="0" w:line="216" w:lineRule="auto"/>
        <w:tabs>
          <w:tab w:leader="none" w:pos="78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In May, substantially all of the assets of CellNet Data Systems, Inc., a provider of telemetry services for the development and deployment of large-scale automatic metering reading systems. The acquisition was handled through Chapter 11 procedure and was approved by the bankruptcy court. The purchase price was $209 million and there was no goodwill arising on the acquisition.</w:t>
      </w:r>
    </w:p>
    <w:p>
      <w:pPr>
        <w:spacing w:after="0" w:line="144" w:lineRule="exact"/>
        <w:rPr>
          <w:rFonts w:ascii="Arial" w:cs="Arial" w:eastAsia="Arial" w:hAnsi="Arial"/>
          <w:sz w:val="27"/>
          <w:szCs w:val="27"/>
          <w:color w:val="auto"/>
          <w:vertAlign w:val="superscript"/>
        </w:rPr>
      </w:pPr>
    </w:p>
    <w:p>
      <w:pPr>
        <w:ind w:left="780" w:hanging="326"/>
        <w:spacing w:after="0" w:line="203" w:lineRule="auto"/>
        <w:tabs>
          <w:tab w:leader="none" w:pos="78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In October, Data Marine Systems Limited, a global provider of telecommunications services for transmitting data from remote locations. The purchase price was $83 million and the assets acquired included goodwill of $75 million.</w:t>
      </w:r>
    </w:p>
    <w:p>
      <w:pPr>
        <w:spacing w:after="0" w:line="143" w:lineRule="exact"/>
        <w:rPr>
          <w:rFonts w:ascii="Arial" w:cs="Arial" w:eastAsia="Arial" w:hAnsi="Arial"/>
          <w:sz w:val="27"/>
          <w:szCs w:val="27"/>
          <w:color w:val="auto"/>
          <w:vertAlign w:val="superscript"/>
        </w:rPr>
      </w:pPr>
    </w:p>
    <w:p>
      <w:pPr>
        <w:ind w:left="780" w:right="620" w:hanging="326"/>
        <w:spacing w:after="0" w:line="212" w:lineRule="auto"/>
        <w:tabs>
          <w:tab w:leader="none" w:pos="780" w:val="left"/>
        </w:tabs>
        <w:numPr>
          <w:ilvl w:val="0"/>
          <w:numId w:val="10"/>
        </w:numPr>
        <w:rPr>
          <w:rFonts w:ascii="Arial" w:cs="Arial" w:eastAsia="Arial" w:hAnsi="Arial"/>
          <w:sz w:val="26"/>
          <w:szCs w:val="26"/>
          <w:color w:val="auto"/>
          <w:vertAlign w:val="superscript"/>
        </w:rPr>
      </w:pPr>
      <w:r>
        <w:rPr>
          <w:rFonts w:ascii="Arial" w:cs="Arial" w:eastAsia="Arial" w:hAnsi="Arial"/>
          <w:sz w:val="17"/>
          <w:szCs w:val="17"/>
          <w:color w:val="auto"/>
        </w:rPr>
        <w:t>In November, a 70% interest in the Convergent Group, a provider of business consulting, software engineering, system integration and project management services. The purchase price was $263 million and the assets acquired included goodwill of $214 million.</w:t>
      </w:r>
    </w:p>
    <w:p>
      <w:pPr>
        <w:spacing w:after="0" w:line="143" w:lineRule="exact"/>
        <w:rPr>
          <w:rFonts w:ascii="Arial" w:cs="Arial" w:eastAsia="Arial" w:hAnsi="Arial"/>
          <w:sz w:val="26"/>
          <w:szCs w:val="26"/>
          <w:color w:val="auto"/>
          <w:vertAlign w:val="superscript"/>
        </w:rPr>
      </w:pPr>
    </w:p>
    <w:p>
      <w:pPr>
        <w:ind w:left="780" w:right="220" w:hanging="326"/>
        <w:spacing w:after="0" w:line="227" w:lineRule="auto"/>
        <w:tabs>
          <w:tab w:leader="none" w:pos="780" w:val="left"/>
        </w:tabs>
        <w:numPr>
          <w:ilvl w:val="0"/>
          <w:numId w:val="10"/>
        </w:numPr>
        <w:rPr>
          <w:rFonts w:ascii="Arial" w:cs="Arial" w:eastAsia="Arial" w:hAnsi="Arial"/>
          <w:sz w:val="26"/>
          <w:szCs w:val="26"/>
          <w:color w:val="auto"/>
          <w:vertAlign w:val="superscript"/>
        </w:rPr>
      </w:pPr>
      <w:r>
        <w:rPr>
          <w:rFonts w:ascii="Arial" w:cs="Arial" w:eastAsia="Arial" w:hAnsi="Arial"/>
          <w:sz w:val="17"/>
          <w:szCs w:val="17"/>
          <w:color w:val="auto"/>
        </w:rPr>
        <w:t>In November, a 70% interest in WesternGeco, a new venture which combined the Schlumberger surface seismic business, Geco-Prakla, and the Western Geophysical seismic unit of Baker Hughes Incorporated. The purchase price was $720 million which comprised $500 million in cash and a 30% interest, valued at $220 million, in Geco-Prakla. There was no goodwill arising on the acquisition.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Proforma results pertaining to the above acquisitions are not presented as the impact was not significant.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Companies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 and Smith International Inc. operate a drilling fluids joint venture of which Schlumberger owns a 40% interest and records income using the equity method of accounting. Schlumberger’s investment on December 31, 2002 and 2001 was $592 million and $573 million, respectively. Schlumberger’s equity income from this joint venture in 2002 was $48 million, $51 million in 2001 and $33 million in 2000.</w:t>
      </w:r>
    </w:p>
    <w:p>
      <w:pPr>
        <w:sectPr>
          <w:pgSz w:w="11900" w:h="16838" w:orient="portrait"/>
          <w:cols w:equalWidth="0" w:num="1">
            <w:col w:w="11380"/>
          </w:cols>
          <w:pgMar w:left="240" w:top="28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Balance Sheet reflects the Schlumberger investment portfolio separated between current and long term, based on maturity. Under normal circumstances it is the intent of Schlumberger to hold the investments until maturity, with the exception of investments which are consider trading (December 31, 2002 – $0: December 31, 2001 – $146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Fixed income investments mature as follows: $138 million in 2004 and $270 million in 2005.</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December 31, 2002, there were no interest rate swap arrangements outstanding related to investments. Interest rate swap arrangements had no material effect on consolidated interest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Securitization</w:t>
      </w:r>
    </w:p>
    <w:p>
      <w:pPr>
        <w:spacing w:after="0" w:line="8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September 2000, a wholly owned subsidiary of Schlumberger entered into an agreement to sell, on an ongoing basis, up to $220 million of an undivided interest in its accounts receivable, and subsequently amended up to $250 million. The amount of receivables sold under this agreement totaled $155 million at December 31, 2002 and $176 million at December 31, 2001. Unless extended by amendment, the agreement expires in September 2003.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14"/>
          </w:tcPr>
          <w:p>
            <w:pPr>
              <w:jc w:val="right"/>
              <w:ind w:right="60"/>
              <w:spacing w:after="0"/>
              <w:rPr>
                <w:sz w:val="20"/>
                <w:szCs w:val="20"/>
                <w:color w:val="auto"/>
              </w:rPr>
            </w:pPr>
            <w:r>
              <w:rPr>
                <w:rFonts w:ascii="Arial" w:cs="Arial" w:eastAsia="Arial" w:hAnsi="Arial"/>
                <w:sz w:val="14"/>
                <w:szCs w:val="14"/>
                <w:i w:val="1"/>
                <w:iCs w:val="1"/>
                <w:color w:val="auto"/>
                <w:w w:val="93"/>
              </w:rPr>
              <w:t>(Stated 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5"/>
              </w:rPr>
              <w:t>As at December 31,</w:t>
            </w: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28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8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10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$1,010</w:t>
            </w:r>
          </w:p>
        </w:tc>
        <w:tc>
          <w:tcPr>
            <w:tcW w:w="66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560" w:type="dxa"/>
            <w:vAlign w:val="bottom"/>
            <w:gridSpan w:val="6"/>
          </w:tcPr>
          <w:p>
            <w:pPr>
              <w:jc w:val="right"/>
              <w:spacing w:after="0"/>
              <w:rPr>
                <w:sz w:val="20"/>
                <w:szCs w:val="20"/>
                <w:color w:val="auto"/>
              </w:rPr>
            </w:pPr>
            <w:r>
              <w:rPr>
                <w:rFonts w:ascii="Arial" w:cs="Arial" w:eastAsia="Arial" w:hAnsi="Arial"/>
                <w:sz w:val="18"/>
                <w:szCs w:val="18"/>
                <w:b w:val="1"/>
                <w:bCs w:val="1"/>
                <w:color w:val="auto"/>
              </w:rPr>
              <w:t>118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Less reserves for obsolescence</w:t>
            </w:r>
          </w:p>
        </w:tc>
        <w:tc>
          <w:tcPr>
            <w:tcW w:w="100" w:type="dxa"/>
            <w:vAlign w:val="bottom"/>
          </w:tcPr>
          <w:p>
            <w:pPr>
              <w:spacing w:after="0"/>
              <w:rPr>
                <w:sz w:val="19"/>
                <w:szCs w:val="19"/>
                <w:color w:val="auto"/>
              </w:rPr>
            </w:pPr>
          </w:p>
        </w:tc>
        <w:tc>
          <w:tcPr>
            <w:tcW w:w="560" w:type="dxa"/>
            <w:vAlign w:val="bottom"/>
            <w:gridSpan w:val="6"/>
          </w:tcPr>
          <w:p>
            <w:pPr>
              <w:jc w:val="right"/>
              <w:spacing w:after="0"/>
              <w:rPr>
                <w:sz w:val="20"/>
                <w:szCs w:val="20"/>
                <w:color w:val="auto"/>
              </w:rPr>
            </w:pPr>
            <w:r>
              <w:rPr>
                <w:rFonts w:ascii="Arial" w:cs="Arial" w:eastAsia="Arial" w:hAnsi="Arial"/>
                <w:sz w:val="18"/>
                <w:szCs w:val="18"/>
                <w:b w:val="1"/>
                <w:bCs w:val="1"/>
                <w:color w:val="auto"/>
              </w:rPr>
              <w:t>223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$1,043</w:t>
            </w:r>
          </w:p>
        </w:tc>
        <w:tc>
          <w:tcPr>
            <w:tcW w:w="66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w w:val="82"/>
              </w:rPr>
              <w:t>Fixed Assets</w:t>
            </w:r>
          </w:p>
        </w:tc>
        <w:tc>
          <w:tcPr>
            <w:tcW w:w="7720" w:type="dxa"/>
            <w:vAlign w:val="bottom"/>
            <w:gridSpan w:val="3"/>
            <w:vMerge w:val="restart"/>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4"/>
        </w:trPr>
        <w:tc>
          <w:tcPr>
            <w:tcW w:w="940" w:type="dxa"/>
            <w:vAlign w:val="bottom"/>
            <w:tcBorders>
              <w:bottom w:val="single" w:sz="8" w:color="auto"/>
            </w:tcBorders>
            <w:vMerge w:val="continue"/>
          </w:tcPr>
          <w:p>
            <w:pPr>
              <w:spacing w:after="0"/>
              <w:rPr>
                <w:sz w:val="24"/>
                <w:szCs w:val="24"/>
                <w:color w:val="auto"/>
              </w:rPr>
            </w:pPr>
          </w:p>
        </w:tc>
        <w:tc>
          <w:tcPr>
            <w:tcW w:w="7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660" w:type="dxa"/>
            <w:vAlign w:val="bottom"/>
            <w:gridSpan w:val="4"/>
          </w:tcPr>
          <w:p>
            <w:pPr>
              <w:spacing w:after="0"/>
              <w:rPr>
                <w:sz w:val="20"/>
                <w:szCs w:val="20"/>
                <w:color w:val="auto"/>
              </w:rPr>
            </w:pPr>
            <w:r>
              <w:rPr>
                <w:rFonts w:ascii="Arial" w:cs="Arial" w:eastAsia="Arial" w:hAnsi="Arial"/>
                <w:sz w:val="18"/>
                <w:szCs w:val="18"/>
                <w:color w:val="auto"/>
              </w:rPr>
              <w:t>A summary of fixed assets follows: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15"/>
          </w:tcPr>
          <w:p>
            <w:pPr>
              <w:ind w:left="4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As at December 31,</w:t>
            </w:r>
          </w:p>
        </w:tc>
        <w:tc>
          <w:tcPr>
            <w:tcW w:w="100" w:type="dxa"/>
            <w:vAlign w:val="bottom"/>
          </w:tcPr>
          <w:p>
            <w:pPr>
              <w:spacing w:after="0"/>
              <w:rPr>
                <w:sz w:val="12"/>
                <w:szCs w:val="12"/>
                <w:color w:val="auto"/>
              </w:rPr>
            </w:pPr>
          </w:p>
        </w:tc>
        <w:tc>
          <w:tcPr>
            <w:tcW w:w="460" w:type="dxa"/>
            <w:vAlign w:val="bottom"/>
            <w:gridSpan w:val="4"/>
          </w:tcPr>
          <w:p>
            <w:pPr>
              <w:ind w:left="60"/>
              <w:spacing w:after="0" w:line="148" w:lineRule="exact"/>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4"/>
          </w:tcPr>
          <w:p>
            <w:pPr>
              <w:jc w:val="right"/>
              <w:spacing w:after="0" w:line="148" w:lineRule="exact"/>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tcBorders>
              <w:top w:val="single" w:sz="8" w:color="auto"/>
            </w:tcBorders>
            <w:gridSpan w:val="2"/>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Land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5"/>
          </w:tcPr>
          <w:p>
            <w:pPr>
              <w:jc w:val="right"/>
              <w:spacing w:after="0"/>
              <w:rPr>
                <w:sz w:val="20"/>
                <w:szCs w:val="20"/>
                <w:color w:val="auto"/>
              </w:rPr>
            </w:pPr>
            <w:r>
              <w:rPr>
                <w:rFonts w:ascii="Arial" w:cs="Arial" w:eastAsia="Arial" w:hAnsi="Arial"/>
                <w:sz w:val="18"/>
                <w:szCs w:val="18"/>
                <w:b w:val="1"/>
                <w:bCs w:val="1"/>
                <w:color w:val="auto"/>
              </w:rPr>
              <w:t>63</w:t>
            </w:r>
          </w:p>
        </w:tc>
        <w:tc>
          <w:tcPr>
            <w:tcW w:w="8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&amp; Improvements</w:t>
            </w:r>
          </w:p>
        </w:tc>
        <w:tc>
          <w:tcPr>
            <w:tcW w:w="10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1,225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Machinery &amp; Equipment</w:t>
            </w:r>
          </w:p>
        </w:tc>
        <w:tc>
          <w:tcPr>
            <w:tcW w:w="100" w:type="dxa"/>
            <w:vAlign w:val="bottom"/>
          </w:tcPr>
          <w:p>
            <w:pPr>
              <w:spacing w:after="0"/>
              <w:rPr>
                <w:sz w:val="19"/>
                <w:szCs w:val="19"/>
                <w:color w:val="auto"/>
              </w:rPr>
            </w:pPr>
          </w:p>
        </w:tc>
        <w:tc>
          <w:tcPr>
            <w:tcW w:w="480" w:type="dxa"/>
            <w:vAlign w:val="bottom"/>
            <w:gridSpan w:val="5"/>
          </w:tcPr>
          <w:p>
            <w:pPr>
              <w:jc w:val="right"/>
              <w:spacing w:after="0"/>
              <w:rPr>
                <w:sz w:val="20"/>
                <w:szCs w:val="20"/>
                <w:color w:val="auto"/>
              </w:rPr>
            </w:pPr>
            <w:r>
              <w:rPr>
                <w:rFonts w:ascii="Arial" w:cs="Arial" w:eastAsia="Arial" w:hAnsi="Arial"/>
                <w:sz w:val="18"/>
                <w:szCs w:val="18"/>
                <w:b w:val="1"/>
                <w:bCs w:val="1"/>
                <w:color w:val="auto"/>
                <w:w w:val="83"/>
              </w:rPr>
              <w:t>10,314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6"/>
          </w:tcPr>
          <w:p>
            <w:pPr>
              <w:jc w:val="right"/>
              <w:spacing w:after="0"/>
              <w:rPr>
                <w:sz w:val="20"/>
                <w:szCs w:val="20"/>
                <w:color w:val="auto"/>
              </w:rPr>
            </w:pPr>
            <w:r>
              <w:rPr>
                <w:rFonts w:ascii="Arial" w:cs="Arial" w:eastAsia="Arial" w:hAnsi="Arial"/>
                <w:sz w:val="18"/>
                <w:szCs w:val="18"/>
                <w:color w:val="auto"/>
                <w:w w:val="83"/>
              </w:rPr>
              <w:t>10,047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w:t>
            </w:r>
          </w:p>
        </w:tc>
        <w:tc>
          <w:tcPr>
            <w:tcW w:w="10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11,602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83"/>
              </w:rPr>
              <w:t>11,179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480" w:type="dxa"/>
            <w:vAlign w:val="bottom"/>
            <w:gridSpan w:val="5"/>
          </w:tcPr>
          <w:p>
            <w:pPr>
              <w:jc w:val="right"/>
              <w:spacing w:after="0"/>
              <w:rPr>
                <w:sz w:val="20"/>
                <w:szCs w:val="20"/>
                <w:color w:val="auto"/>
              </w:rPr>
            </w:pPr>
            <w:r>
              <w:rPr>
                <w:rFonts w:ascii="Arial" w:cs="Arial" w:eastAsia="Arial" w:hAnsi="Arial"/>
                <w:sz w:val="18"/>
                <w:szCs w:val="18"/>
                <w:b w:val="1"/>
                <w:bCs w:val="1"/>
                <w:color w:val="auto"/>
              </w:rPr>
              <w:t>6,938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6,351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4,664</w:t>
            </w: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-2096135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-2096135</wp:posOffset>
            </wp:positionV>
            <wp:extent cx="69024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024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estimated useful lives of Buildings &amp; Improvements are primarily 30 to 40 years. For Machinery &amp; Equipment, 11% is being depreciated over 16 to 25 years, 10% over 10 to 15 years and 79% over 2 to 9 years.</w:t>
      </w:r>
    </w:p>
    <w:p>
      <w:pPr>
        <w:sectPr>
          <w:pgSz w:w="11900" w:h="16838" w:orient="portrait"/>
          <w:cols w:equalWidth="0" w:num="1">
            <w:col w:w="11400"/>
          </w:cols>
          <w:pgMar w:left="240" w:top="27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Multiclient Seismic Data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8"/>
          </w:tcPr>
          <w:p>
            <w:pPr>
              <w:jc w:val="right"/>
              <w:ind w:right="18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6"/>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$1,029</w:t>
            </w:r>
          </w:p>
        </w:tc>
        <w:tc>
          <w:tcPr>
            <w:tcW w:w="2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Capitalized in year</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7"/>
          </w:tcPr>
          <w:p>
            <w:pPr>
              <w:jc w:val="right"/>
              <w:spacing w:after="0"/>
              <w:rPr>
                <w:sz w:val="20"/>
                <w:szCs w:val="20"/>
                <w:color w:val="auto"/>
              </w:rPr>
            </w:pPr>
            <w:r>
              <w:rPr>
                <w:rFonts w:ascii="Arial" w:cs="Arial" w:eastAsia="Arial" w:hAnsi="Arial"/>
                <w:sz w:val="18"/>
                <w:szCs w:val="18"/>
                <w:b w:val="1"/>
                <w:bCs w:val="1"/>
                <w:color w:val="auto"/>
              </w:rPr>
              <w:t>345</w:t>
            </w:r>
          </w:p>
        </w:tc>
        <w:tc>
          <w:tcPr>
            <w:tcW w:w="200" w:type="dxa"/>
            <w:vAlign w:val="bottom"/>
          </w:tcPr>
          <w:p>
            <w:pPr>
              <w:spacing w:after="0"/>
              <w:rPr>
                <w:sz w:val="18"/>
                <w:szCs w:val="18"/>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Charged to cost of sales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8"/>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(172)</w:t>
            </w:r>
          </w:p>
        </w:tc>
        <w:tc>
          <w:tcPr>
            <w:tcW w:w="6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Impairment, charged to income</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8"/>
          </w:tcPr>
          <w:p>
            <w:pPr>
              <w:jc w:val="right"/>
              <w:ind w:right="140"/>
              <w:spacing w:after="0"/>
              <w:rPr>
                <w:sz w:val="20"/>
                <w:szCs w:val="20"/>
                <w:color w:val="auto"/>
              </w:rPr>
            </w:pPr>
            <w:r>
              <w:rPr>
                <w:rFonts w:ascii="Arial" w:cs="Arial" w:eastAsia="Arial" w:hAnsi="Arial"/>
                <w:sz w:val="18"/>
                <w:szCs w:val="18"/>
                <w:b w:val="1"/>
                <w:bCs w:val="1"/>
                <w:color w:val="auto"/>
              </w:rPr>
              <w:t>(184)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$1,018</w:t>
            </w:r>
          </w:p>
        </w:tc>
        <w:tc>
          <w:tcPr>
            <w:tcW w:w="2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4"/>
              </w:rPr>
              <w:t>$1,029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w w:val="89"/>
              </w:rPr>
              <w:t>Goodwill</w:t>
            </w:r>
          </w:p>
        </w:tc>
        <w:tc>
          <w:tcPr>
            <w:tcW w:w="74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4"/>
        </w:trPr>
        <w:tc>
          <w:tcPr>
            <w:tcW w:w="700" w:type="dxa"/>
            <w:vAlign w:val="bottom"/>
            <w:tcBorders>
              <w:bottom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860" w:type="dxa"/>
            <w:vAlign w:val="bottom"/>
            <w:gridSpan w:val="3"/>
          </w:tcPr>
          <w:p>
            <w:pPr>
              <w:spacing w:after="0"/>
              <w:rPr>
                <w:sz w:val="20"/>
                <w:szCs w:val="20"/>
                <w:color w:val="auto"/>
              </w:rPr>
            </w:pPr>
            <w:r>
              <w:rPr>
                <w:rFonts w:ascii="Arial" w:cs="Arial" w:eastAsia="Arial" w:hAnsi="Arial"/>
                <w:sz w:val="18"/>
                <w:szCs w:val="18"/>
                <w:color w:val="auto"/>
              </w:rPr>
              <w:t>The change in the carrying amount of goodwill is as follows: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9"/>
          </w:tcPr>
          <w:p>
            <w:pPr>
              <w:jc w:val="right"/>
              <w:ind w:right="20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6"/>
          </w:tcPr>
          <w:p>
            <w:pPr>
              <w:jc w:val="center"/>
              <w:ind w:left="35"/>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4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$ 6,261</w:t>
            </w:r>
          </w:p>
        </w:tc>
        <w:tc>
          <w:tcPr>
            <w:tcW w:w="2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4"/>
              </w:rPr>
              <w:t>$1,576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tcPr>
          <w:p>
            <w:pPr>
              <w:spacing w:after="0" w:line="217" w:lineRule="exact"/>
              <w:rPr>
                <w:sz w:val="20"/>
                <w:szCs w:val="20"/>
                <w:color w:val="auto"/>
              </w:rPr>
            </w:pPr>
            <w:r>
              <w:rPr>
                <w:rFonts w:ascii="Arial" w:cs="Arial" w:eastAsia="Arial" w:hAnsi="Arial"/>
                <w:sz w:val="18"/>
                <w:szCs w:val="18"/>
                <w:color w:val="auto"/>
              </w:rPr>
              <w:t xml:space="preserve">Reclassification of Assembled Workforce, net of deferred taxes </w:t>
            </w:r>
            <w:r>
              <w:rPr>
                <w:rFonts w:ascii="Arial" w:cs="Arial" w:eastAsia="Arial" w:hAnsi="Arial"/>
                <w:sz w:val="22"/>
                <w:szCs w:val="22"/>
                <w:color w:val="auto"/>
                <w:vertAlign w:val="superscript"/>
              </w:rPr>
              <w:t>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7"/>
          </w:tcPr>
          <w:p>
            <w:pPr>
              <w:jc w:val="right"/>
              <w:spacing w:after="0"/>
              <w:rPr>
                <w:sz w:val="20"/>
                <w:szCs w:val="20"/>
                <w:color w:val="auto"/>
              </w:rPr>
            </w:pPr>
            <w:r>
              <w:rPr>
                <w:rFonts w:ascii="Arial" w:cs="Arial" w:eastAsia="Arial" w:hAnsi="Arial"/>
                <w:sz w:val="18"/>
                <w:szCs w:val="18"/>
                <w:b w:val="1"/>
                <w:bCs w:val="1"/>
                <w:color w:val="auto"/>
              </w:rPr>
              <w:t>175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charged to income</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8"/>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Impact of change in exchange rates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7"/>
          </w:tcPr>
          <w:p>
            <w:pPr>
              <w:jc w:val="right"/>
              <w:spacing w:after="0"/>
              <w:rPr>
                <w:sz w:val="20"/>
                <w:szCs w:val="20"/>
                <w:color w:val="auto"/>
              </w:rPr>
            </w:pPr>
            <w:r>
              <w:rPr>
                <w:rFonts w:ascii="Arial" w:cs="Arial" w:eastAsia="Arial" w:hAnsi="Arial"/>
                <w:sz w:val="18"/>
                <w:szCs w:val="18"/>
                <w:b w:val="1"/>
                <w:bCs w:val="1"/>
                <w:color w:val="auto"/>
              </w:rPr>
              <w:t>370</w:t>
            </w:r>
          </w:p>
        </w:tc>
        <w:tc>
          <w:tcPr>
            <w:tcW w:w="200" w:type="dxa"/>
            <w:vAlign w:val="bottom"/>
          </w:tcPr>
          <w:p>
            <w:pPr>
              <w:spacing w:after="0"/>
              <w:rPr>
                <w:sz w:val="18"/>
                <w:szCs w:val="18"/>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charged to income</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93"/>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 xml:space="preserve">Other, including acquisitions and divestitures </w:t>
            </w:r>
            <w:r>
              <w:rPr>
                <w:rFonts w:ascii="Arial" w:cs="Arial" w:eastAsia="Arial" w:hAnsi="Arial"/>
                <w:sz w:val="22"/>
                <w:szCs w:val="22"/>
                <w:color w:val="auto"/>
                <w:vertAlign w:val="superscript"/>
              </w:rPr>
              <w:t>2</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7"/>
          </w:tcPr>
          <w:p>
            <w:pPr>
              <w:jc w:val="right"/>
              <w:spacing w:after="0"/>
              <w:rPr>
                <w:sz w:val="20"/>
                <w:szCs w:val="20"/>
                <w:color w:val="auto"/>
              </w:rPr>
            </w:pPr>
            <w:r>
              <w:rPr>
                <w:rFonts w:ascii="Arial" w:cs="Arial" w:eastAsia="Arial" w:hAnsi="Arial"/>
                <w:sz w:val="18"/>
                <w:szCs w:val="18"/>
                <w:b w:val="1"/>
                <w:bCs w:val="1"/>
                <w:color w:val="auto"/>
              </w:rPr>
              <w:t>62</w:t>
            </w:r>
          </w:p>
        </w:tc>
        <w:tc>
          <w:tcPr>
            <w:tcW w:w="200" w:type="dxa"/>
            <w:vAlign w:val="bottom"/>
          </w:tcPr>
          <w:p>
            <w:pPr>
              <w:spacing w:after="0"/>
              <w:rPr>
                <w:sz w:val="24"/>
                <w:szCs w:val="24"/>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5,064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$ 4,230</w:t>
            </w:r>
          </w:p>
        </w:tc>
        <w:tc>
          <w:tcPr>
            <w:tcW w:w="2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4"/>
              </w:rPr>
              <w:t>$6,261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vMerge w:val="restart"/>
          </w:tcPr>
          <w:p>
            <w:pPr>
              <w:jc w:val="right"/>
              <w:ind w:right="32"/>
              <w:spacing w:after="0"/>
              <w:rPr>
                <w:sz w:val="20"/>
                <w:szCs w:val="20"/>
                <w:color w:val="auto"/>
              </w:rPr>
            </w:pPr>
            <w:r>
              <w:rPr>
                <w:rFonts w:ascii="Arial" w:cs="Arial" w:eastAsia="Arial" w:hAnsi="Arial"/>
                <w:sz w:val="18"/>
                <w:szCs w:val="18"/>
                <w:color w:val="auto"/>
              </w:rPr>
              <w:t>1.</w:t>
            </w:r>
          </w:p>
        </w:tc>
        <w:tc>
          <w:tcPr>
            <w:tcW w:w="6160" w:type="dxa"/>
            <w:vAlign w:val="bottom"/>
            <w:gridSpan w:val="2"/>
            <w:vMerge w:val="restart"/>
          </w:tcPr>
          <w:p>
            <w:pPr>
              <w:ind w:left="200"/>
              <w:spacing w:after="0"/>
              <w:rPr>
                <w:sz w:val="20"/>
                <w:szCs w:val="20"/>
                <w:color w:val="auto"/>
              </w:rPr>
            </w:pPr>
            <w:r>
              <w:rPr>
                <w:rFonts w:ascii="Arial" w:cs="Arial" w:eastAsia="Arial" w:hAnsi="Arial"/>
                <w:sz w:val="18"/>
                <w:szCs w:val="18"/>
                <w:color w:val="auto"/>
              </w:rPr>
              <w:t>Following adoption of SFAS 142 on January 1, 2002.</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700" w:type="dxa"/>
            <w:vAlign w:val="bottom"/>
            <w:vMerge w:val="continue"/>
          </w:tcPr>
          <w:p>
            <w:pPr>
              <w:spacing w:after="0"/>
              <w:rPr>
                <w:sz w:val="24"/>
                <w:szCs w:val="24"/>
                <w:color w:val="auto"/>
              </w:rPr>
            </w:pPr>
          </w:p>
        </w:tc>
        <w:tc>
          <w:tcPr>
            <w:tcW w:w="61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6160" w:type="dxa"/>
            <w:vAlign w:val="bottom"/>
            <w:gridSpan w:val="2"/>
          </w:tcPr>
          <w:p>
            <w:pPr>
              <w:ind w:left="200"/>
              <w:spacing w:after="0"/>
              <w:rPr>
                <w:sz w:val="20"/>
                <w:szCs w:val="20"/>
                <w:color w:val="auto"/>
              </w:rPr>
            </w:pPr>
            <w:r>
              <w:rPr>
                <w:rFonts w:ascii="Arial" w:cs="Arial" w:eastAsia="Arial" w:hAnsi="Arial"/>
                <w:sz w:val="18"/>
                <w:szCs w:val="18"/>
                <w:color w:val="auto"/>
              </w:rPr>
              <w:t>2001 includes acquisition of Sema plc ($4.84 billion).</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860" w:type="dxa"/>
            <w:vAlign w:val="bottom"/>
            <w:gridSpan w:val="3"/>
          </w:tcPr>
          <w:p>
            <w:pPr>
              <w:spacing w:after="0"/>
              <w:rPr>
                <w:sz w:val="20"/>
                <w:szCs w:val="20"/>
                <w:color w:val="auto"/>
              </w:rPr>
            </w:pPr>
            <w:r>
              <w:rPr>
                <w:rFonts w:ascii="Arial" w:cs="Arial" w:eastAsia="Arial" w:hAnsi="Arial"/>
                <w:sz w:val="18"/>
                <w:szCs w:val="18"/>
                <w:color w:val="auto"/>
                <w:w w:val="94"/>
              </w:rPr>
              <w:t>The changes in the carrying amount of goodwill by business segment in 2002 is as follows: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8"/>
          </w:tcPr>
          <w:p>
            <w:pPr>
              <w:jc w:val="right"/>
              <w:ind w:right="8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Oilfield</w:t>
            </w:r>
          </w:p>
        </w:tc>
        <w:tc>
          <w:tcPr>
            <w:tcW w:w="20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Schlumberger</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Sema</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Other</w:t>
            </w:r>
          </w:p>
        </w:tc>
        <w:tc>
          <w:tcPr>
            <w:tcW w:w="40" w:type="dxa"/>
            <w:vAlign w:val="bottom"/>
          </w:tcPr>
          <w:p>
            <w:pPr>
              <w:spacing w:after="0"/>
              <w:rPr>
                <w:sz w:val="15"/>
                <w:szCs w:val="15"/>
                <w:color w:val="auto"/>
              </w:rPr>
            </w:pPr>
          </w:p>
        </w:tc>
        <w:tc>
          <w:tcPr>
            <w:tcW w:w="5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gridSpan w:val="4"/>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$1,980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00" w:type="dxa"/>
            <w:vAlign w:val="bottom"/>
            <w:shd w:val="clear" w:color="auto" w:fill="CCEEFF"/>
          </w:tcPr>
          <w:p>
            <w:pPr>
              <w:spacing w:after="0"/>
              <w:rPr>
                <w:sz w:val="18"/>
                <w:szCs w:val="18"/>
                <w:color w:val="auto"/>
              </w:rPr>
            </w:pPr>
          </w:p>
        </w:tc>
        <w:tc>
          <w:tcPr>
            <w:tcW w:w="4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6"/>
              </w:rPr>
              <w:t>$ 6,261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Reclassification of Assembled Workforce, net of deferred taxes</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w:t>
            </w: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charged to income</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(2,618)</w:t>
            </w:r>
          </w:p>
        </w:tc>
        <w:tc>
          <w:tcPr>
            <w:tcW w:w="56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93"/>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460" w:type="dxa"/>
            <w:vAlign w:val="bottom"/>
            <w:gridSpan w:val="6"/>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$2,092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00" w:type="dxa"/>
            <w:vAlign w:val="bottom"/>
            <w:shd w:val="clear" w:color="auto" w:fill="CCEEFF"/>
          </w:tcPr>
          <w:p>
            <w:pPr>
              <w:spacing w:after="0"/>
              <w:rPr>
                <w:sz w:val="18"/>
                <w:szCs w:val="18"/>
                <w:color w:val="auto"/>
              </w:rPr>
            </w:pPr>
          </w:p>
        </w:tc>
        <w:tc>
          <w:tcPr>
            <w:tcW w:w="4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6"/>
              </w:rPr>
              <w:t>$ 4,230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-4342765</wp:posOffset>
            </wp:positionV>
            <wp:extent cx="54419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-4342765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-2190115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-2190115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-2190115</wp:posOffset>
            </wp:positionV>
            <wp:extent cx="50990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Including acquisitions, divestitures and impact of change in exchange rates.</w:t>
      </w:r>
    </w:p>
    <w:p>
      <w:pPr>
        <w:sectPr>
          <w:pgSz w:w="11900" w:h="16838" w:orient="portrait"/>
          <w:cols w:equalWidth="0" w:num="1">
            <w:col w:w="10219"/>
          </w:cols>
          <w:pgMar w:left="240" w:top="274"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changes in the carrying amount of goodwill by business segment in 2001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4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96"/>
              </w:rPr>
              <w:t>Oilfield</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Schlumberger</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9"/>
          </w:tcPr>
          <w:p>
            <w:pPr>
              <w:ind w:lef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3"/>
              </w:rPr>
              <w:t>Services</w:t>
            </w:r>
          </w:p>
        </w:tc>
        <w:tc>
          <w:tcPr>
            <w:tcW w:w="160" w:type="dxa"/>
            <w:vAlign w:val="bottom"/>
          </w:tcPr>
          <w:p>
            <w:pPr>
              <w:spacing w:after="0"/>
              <w:rPr>
                <w:sz w:val="15"/>
                <w:szCs w:val="15"/>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Sema</w:t>
            </w:r>
          </w:p>
        </w:tc>
        <w:tc>
          <w:tcPr>
            <w:tcW w:w="220" w:type="dxa"/>
            <w:vAlign w:val="bottom"/>
          </w:tcPr>
          <w:p>
            <w:pPr>
              <w:spacing w:after="0"/>
              <w:rPr>
                <w:sz w:val="15"/>
                <w:szCs w:val="15"/>
                <w:color w:val="auto"/>
              </w:rPr>
            </w:pPr>
          </w:p>
        </w:tc>
        <w:tc>
          <w:tcPr>
            <w:tcW w:w="5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6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3"/>
              </w:rPr>
              <w:t>$ 1,036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$ 327</w:t>
            </w:r>
          </w:p>
        </w:tc>
        <w:tc>
          <w:tcPr>
            <w:tcW w:w="14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$ 1,576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8"/>
                <w:szCs w:val="18"/>
                <w:color w:val="auto"/>
              </w:rPr>
              <w:t>Acquisition of Sema plc</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w:t>
            </w:r>
          </w:p>
        </w:tc>
        <w:tc>
          <w:tcPr>
            <w:tcW w:w="1040" w:type="dxa"/>
            <w:vAlign w:val="bottom"/>
            <w:gridSpan w:val="6"/>
          </w:tcPr>
          <w:p>
            <w:pPr>
              <w:jc w:val="right"/>
              <w:ind w:right="100"/>
              <w:spacing w:after="0"/>
              <w:rPr>
                <w:sz w:val="20"/>
                <w:szCs w:val="20"/>
                <w:color w:val="auto"/>
              </w:rPr>
            </w:pPr>
            <w:r>
              <w:rPr>
                <w:rFonts w:ascii="Arial" w:cs="Arial" w:eastAsia="Arial" w:hAnsi="Arial"/>
                <w:sz w:val="18"/>
                <w:szCs w:val="18"/>
                <w:color w:val="auto"/>
              </w:rPr>
              <w:t>4,840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charged to income</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(32)</w:t>
            </w:r>
          </w:p>
        </w:tc>
        <w:tc>
          <w:tcPr>
            <w:tcW w:w="10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60" w:type="dxa"/>
            <w:vAlign w:val="bottom"/>
            <w:gridSpan w:val="3"/>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3"/>
              </w:rPr>
              <w:t>$ 1,980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3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$ 329</w:t>
            </w:r>
          </w:p>
        </w:tc>
        <w:tc>
          <w:tcPr>
            <w:tcW w:w="14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$ 6,261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718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Including other acquisitions, divestitures and impact of change in exchange rates.</w:t>
            </w: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300" w:type="dxa"/>
            <w:vAlign w:val="bottom"/>
            <w:gridSpan w:val="2"/>
            <w:vMerge w:val="continue"/>
          </w:tcPr>
          <w:p>
            <w:pPr>
              <w:spacing w:after="0"/>
              <w:rPr>
                <w:sz w:val="24"/>
                <w:szCs w:val="24"/>
                <w:color w:val="auto"/>
              </w:rPr>
            </w:pPr>
          </w:p>
        </w:tc>
        <w:tc>
          <w:tcPr>
            <w:tcW w:w="71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5"/>
              </w:rPr>
              <w:t>Intangible Assets</w:t>
            </w: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480" w:type="dxa"/>
            <w:vAlign w:val="bottom"/>
            <w:gridSpan w:val="4"/>
          </w:tcPr>
          <w:p>
            <w:pPr>
              <w:spacing w:after="0"/>
              <w:rPr>
                <w:sz w:val="20"/>
                <w:szCs w:val="20"/>
                <w:color w:val="auto"/>
              </w:rPr>
            </w:pPr>
            <w:r>
              <w:rPr>
                <w:rFonts w:ascii="Arial" w:cs="Arial" w:eastAsia="Arial" w:hAnsi="Arial"/>
                <w:sz w:val="18"/>
                <w:szCs w:val="18"/>
                <w:color w:val="auto"/>
              </w:rPr>
              <w:t>A summary of intangible assets follows: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9"/>
          </w:tcPr>
          <w:p>
            <w:pPr>
              <w:jc w:val="right"/>
              <w:ind w:right="2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4"/>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Dec. 31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2002</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6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560" w:type="dxa"/>
            <w:vAlign w:val="bottom"/>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book value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953</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gridSpan w:val="3"/>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394</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560" w:type="dxa"/>
            <w:vAlign w:val="bottom"/>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559</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-1864360</wp:posOffset>
            </wp:positionV>
            <wp:extent cx="3556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-1864360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-1864360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-1864360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-1864360</wp:posOffset>
            </wp:positionV>
            <wp:extent cx="27876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-1864360</wp:posOffset>
            </wp:positionV>
            <wp:extent cx="3898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-29210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 amortization charged to income was $118 million in 2002. In accordance with SFAS 142 (see New Accounting Standards), $259 million (net of amortization) has been reclassified to </w:t>
      </w:r>
      <w:r>
        <w:rPr>
          <w:rFonts w:ascii="Arial" w:cs="Arial" w:eastAsia="Arial" w:hAnsi="Arial"/>
          <w:sz w:val="18"/>
          <w:szCs w:val="18"/>
          <w:i w:val="1"/>
          <w:iCs w:val="1"/>
          <w:color w:val="auto"/>
        </w:rPr>
        <w:t>Goodwill</w:t>
      </w:r>
      <w:r>
        <w:rPr>
          <w:rFonts w:ascii="Arial" w:cs="Arial" w:eastAsia="Arial" w:hAnsi="Arial"/>
          <w:sz w:val="18"/>
          <w:szCs w:val="18"/>
          <w:color w:val="auto"/>
        </w:rPr>
        <w:t>.</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Intangible assets principally comprise patents, software, technology and other. At December 31, the gross book value, accumulated amortization and amortization periods of intangible assets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50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620" w:type="dxa"/>
            <w:vAlign w:val="bottom"/>
          </w:tcPr>
          <w:p>
            <w:pPr>
              <w:spacing w:after="0"/>
              <w:rPr>
                <w:sz w:val="20"/>
                <w:szCs w:val="20"/>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9"/>
              </w:rPr>
              <w:t>Book Value</w:t>
            </w:r>
          </w:p>
        </w:tc>
        <w:tc>
          <w:tcPr>
            <w:tcW w:w="48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62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9"/>
              </w:rPr>
              <w:t>Book Value</w:t>
            </w:r>
          </w:p>
        </w:tc>
        <w:tc>
          <w:tcPr>
            <w:tcW w:w="5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620" w:type="dxa"/>
            <w:vAlign w:val="bottom"/>
          </w:tcPr>
          <w:p>
            <w:pPr>
              <w:spacing w:after="0"/>
              <w:rPr>
                <w:sz w:val="15"/>
                <w:szCs w:val="15"/>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Periods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 years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640" w:firstLine="8"/>
        <w:spacing w:after="0" w:line="422" w:lineRule="auto"/>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2001, includes Assembled Workforce which was reclassified to goodwill following the adoption of SFAS 142 on January 1, 2002. The weighted average amortization period for all intangible assets is approximately 7 years.</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Amortization charged to income for the subsequent five years is estimated, based on the December 31, 2002 Gross Book Value, to be 2003 – $134 million, 2004 – $112 million, 2005 – $96 million, 2006 – $75 million and 2007 – $56 million.</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Debt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long-term debt by currency at December 31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41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41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2001</w:t>
            </w:r>
          </w:p>
        </w:tc>
        <w:tc>
          <w:tcPr>
            <w:tcW w:w="1370" w:type="dxa"/>
            <w:vAlign w:val="bottom"/>
            <w:gridSpan w:val="5"/>
          </w:tcPr>
          <w:p>
            <w:pPr>
              <w:ind w:left="31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 w:type="dxa"/>
            <w:vAlign w:val="bottom"/>
            <w:gridSpan w:val="2"/>
            <w:vMerge w:val="continue"/>
          </w:tcPr>
          <w:p>
            <w:pPr>
              <w:spacing w:after="0"/>
              <w:rPr>
                <w:sz w:val="12"/>
                <w:szCs w:val="12"/>
                <w:color w:val="auto"/>
              </w:rPr>
            </w:pPr>
          </w:p>
        </w:tc>
        <w:tc>
          <w:tcPr>
            <w:tcW w:w="41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Bonds</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CP</w:t>
            </w:r>
          </w:p>
        </w:tc>
        <w:tc>
          <w:tcPr>
            <w:tcW w:w="3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Others</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52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Bonds</w:t>
            </w:r>
          </w:p>
        </w:tc>
        <w:tc>
          <w:tcPr>
            <w:tcW w:w="320" w:type="dxa"/>
            <w:vAlign w:val="bottom"/>
          </w:tcPr>
          <w:p>
            <w:pPr>
              <w:spacing w:after="0"/>
              <w:rPr>
                <w:sz w:val="22"/>
                <w:szCs w:val="22"/>
                <w:color w:val="auto"/>
              </w:rPr>
            </w:pPr>
          </w:p>
        </w:tc>
        <w:tc>
          <w:tcPr>
            <w:tcW w:w="4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CP</w:t>
            </w:r>
          </w:p>
        </w:tc>
        <w:tc>
          <w:tcPr>
            <w:tcW w:w="26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Others</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724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w:t>
            </w:r>
          </w:p>
        </w:tc>
        <w:tc>
          <w:tcPr>
            <w:tcW w:w="11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$ 2,128</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30" w:type="dxa"/>
            <w:vAlign w:val="bottom"/>
            <w:gridSpan w:val="2"/>
            <w:shd w:val="clear" w:color="auto" w:fill="CCEEFF"/>
          </w:tcPr>
          <w:p>
            <w:pPr>
              <w:ind w:left="15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center"/>
              <w:ind w:left="172"/>
              <w:spacing w:after="0"/>
              <w:rPr>
                <w:sz w:val="20"/>
                <w:szCs w:val="20"/>
                <w:color w:val="auto"/>
              </w:rPr>
            </w:pPr>
            <w:r>
              <w:rPr>
                <w:rFonts w:ascii="Arial" w:cs="Arial" w:eastAsia="Arial" w:hAnsi="Arial"/>
                <w:sz w:val="18"/>
                <w:szCs w:val="18"/>
                <w:color w:val="auto"/>
                <w:w w:val="84"/>
              </w:rPr>
              <w:t>$ 335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$ 2,859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Euro</w:t>
            </w:r>
          </w:p>
        </w:tc>
        <w:tc>
          <w:tcPr>
            <w:tcW w:w="11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b w:val="1"/>
                <w:bCs w:val="1"/>
                <w:color w:val="auto"/>
                <w:w w:val="84"/>
              </w:rPr>
              <w:t>1,399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b w:val="1"/>
                <w:bCs w:val="1"/>
                <w:color w:val="auto"/>
                <w:w w:val="79"/>
              </w:rPr>
              <w:t>442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237</w:t>
            </w:r>
          </w:p>
        </w:tc>
        <w:tc>
          <w:tcPr>
            <w:tcW w:w="11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2,078</w:t>
            </w:r>
          </w:p>
        </w:tc>
        <w:tc>
          <w:tcPr>
            <w:tcW w:w="90" w:type="dxa"/>
            <w:vAlign w:val="bottom"/>
          </w:tcPr>
          <w:p>
            <w:pPr>
              <w:spacing w:after="0"/>
              <w:rPr>
                <w:sz w:val="18"/>
                <w:szCs w:val="18"/>
                <w:color w:val="auto"/>
              </w:rPr>
            </w:pPr>
          </w:p>
        </w:tc>
        <w:tc>
          <w:tcPr>
            <w:tcW w:w="430" w:type="dxa"/>
            <w:vAlign w:val="bottom"/>
            <w:gridSpan w:val="2"/>
          </w:tcPr>
          <w:p>
            <w:pPr>
              <w:ind w:left="30"/>
              <w:spacing w:after="0"/>
              <w:rPr>
                <w:sz w:val="20"/>
                <w:szCs w:val="20"/>
                <w:color w:val="auto"/>
              </w:rPr>
            </w:pPr>
            <w:r>
              <w:rPr>
                <w:rFonts w:ascii="Arial" w:cs="Arial" w:eastAsia="Arial" w:hAnsi="Arial"/>
                <w:sz w:val="18"/>
                <w:szCs w:val="18"/>
                <w:color w:val="auto"/>
                <w:w w:val="84"/>
              </w:rPr>
              <w:t>1,188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377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UK pound</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579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1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1,377</w:t>
            </w:r>
          </w:p>
        </w:tc>
        <w:tc>
          <w:tcPr>
            <w:tcW w:w="90" w:type="dxa"/>
            <w:vAlign w:val="bottom"/>
            <w:shd w:val="clear" w:color="auto" w:fill="CCEEFF"/>
          </w:tcPr>
          <w:p>
            <w:pPr>
              <w:spacing w:after="0"/>
              <w:rPr>
                <w:sz w:val="18"/>
                <w:szCs w:val="18"/>
                <w:color w:val="auto"/>
              </w:rPr>
            </w:pPr>
          </w:p>
        </w:tc>
        <w:tc>
          <w:tcPr>
            <w:tcW w:w="430" w:type="dxa"/>
            <w:vAlign w:val="bottom"/>
            <w:gridSpan w:val="2"/>
            <w:shd w:val="clear" w:color="auto" w:fill="CCEEFF"/>
          </w:tcPr>
          <w:p>
            <w:pPr>
              <w:ind w:left="150"/>
              <w:spacing w:after="0"/>
              <w:rPr>
                <w:sz w:val="20"/>
                <w:szCs w:val="20"/>
                <w:color w:val="auto"/>
              </w:rPr>
            </w:pPr>
            <w:r>
              <w:rPr>
                <w:rFonts w:ascii="Arial" w:cs="Arial" w:eastAsia="Arial" w:hAnsi="Arial"/>
                <w:sz w:val="18"/>
                <w:szCs w:val="18"/>
                <w:color w:val="auto"/>
                <w:w w:val="86"/>
              </w:rPr>
              <w:t>615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Canadian dollar</w:t>
            </w:r>
          </w:p>
        </w:tc>
        <w:tc>
          <w:tcPr>
            <w:tcW w:w="11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1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191</w:t>
            </w:r>
          </w:p>
        </w:tc>
        <w:tc>
          <w:tcPr>
            <w:tcW w:w="90" w:type="dxa"/>
            <w:vAlign w:val="bottom"/>
          </w:tcPr>
          <w:p>
            <w:pPr>
              <w:spacing w:after="0"/>
              <w:rPr>
                <w:sz w:val="18"/>
                <w:szCs w:val="18"/>
                <w:color w:val="auto"/>
              </w:rPr>
            </w:pPr>
          </w:p>
        </w:tc>
        <w:tc>
          <w:tcPr>
            <w:tcW w:w="430" w:type="dxa"/>
            <w:vAlign w:val="bottom"/>
            <w:gridSpan w:val="2"/>
          </w:tcPr>
          <w:p>
            <w:pPr>
              <w:ind w:left="170"/>
              <w:spacing w:after="0"/>
              <w:rPr>
                <w:sz w:val="20"/>
                <w:szCs w:val="20"/>
                <w:color w:val="auto"/>
              </w:rPr>
            </w:pPr>
            <w:r>
              <w:rPr>
                <w:rFonts w:ascii="Arial" w:cs="Arial" w:eastAsia="Arial" w:hAnsi="Arial"/>
                <w:sz w:val="18"/>
                <w:szCs w:val="18"/>
                <w:color w:val="auto"/>
                <w:w w:val="79"/>
              </w:rPr>
              <w:t>115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1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58</w:t>
            </w:r>
          </w:p>
        </w:tc>
        <w:tc>
          <w:tcPr>
            <w:tcW w:w="90" w:type="dxa"/>
            <w:vAlign w:val="bottom"/>
            <w:shd w:val="clear" w:color="auto" w:fill="CCEEFF"/>
          </w:tcPr>
          <w:p>
            <w:pPr>
              <w:spacing w:after="0"/>
              <w:rPr>
                <w:sz w:val="18"/>
                <w:szCs w:val="18"/>
                <w:color w:val="auto"/>
              </w:rPr>
            </w:pPr>
          </w:p>
        </w:tc>
        <w:tc>
          <w:tcPr>
            <w:tcW w:w="430" w:type="dxa"/>
            <w:vAlign w:val="bottom"/>
            <w:gridSpan w:val="2"/>
            <w:shd w:val="clear" w:color="auto" w:fill="CCEEFF"/>
          </w:tcPr>
          <w:p>
            <w:pPr>
              <w:ind w:left="1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110" w:type="dxa"/>
            <w:vAlign w:val="bottom"/>
          </w:tcPr>
          <w:p>
            <w:pPr>
              <w:spacing w:after="0"/>
              <w:rPr>
                <w:sz w:val="19"/>
                <w:szCs w:val="19"/>
                <w:color w:val="auto"/>
              </w:rPr>
            </w:pPr>
          </w:p>
        </w:tc>
        <w:tc>
          <w:tcPr>
            <w:tcW w:w="41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11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197</w:t>
            </w:r>
          </w:p>
        </w:tc>
        <w:tc>
          <w:tcPr>
            <w:tcW w:w="90" w:type="dxa"/>
            <w:vAlign w:val="bottom"/>
          </w:tcPr>
          <w:p>
            <w:pPr>
              <w:spacing w:after="0"/>
              <w:rPr>
                <w:sz w:val="19"/>
                <w:szCs w:val="19"/>
                <w:color w:val="auto"/>
              </w:rPr>
            </w:pPr>
          </w:p>
        </w:tc>
        <w:tc>
          <w:tcPr>
            <w:tcW w:w="430" w:type="dxa"/>
            <w:vAlign w:val="bottom"/>
            <w:gridSpan w:val="2"/>
          </w:tcPr>
          <w:p>
            <w:pPr>
              <w:ind w:left="1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3,188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4"/>
              </w:rPr>
              <w:t>1,745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1,096</w:t>
            </w:r>
          </w:p>
        </w:tc>
        <w:tc>
          <w:tcPr>
            <w:tcW w:w="11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$ 6,029</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30" w:type="dxa"/>
            <w:vAlign w:val="bottom"/>
            <w:gridSpan w:val="2"/>
            <w:shd w:val="clear" w:color="auto" w:fill="CCEEFF"/>
          </w:tcPr>
          <w:p>
            <w:pPr>
              <w:ind w:left="30"/>
              <w:spacing w:after="0"/>
              <w:rPr>
                <w:sz w:val="20"/>
                <w:szCs w:val="20"/>
                <w:color w:val="auto"/>
              </w:rPr>
            </w:pPr>
            <w:r>
              <w:rPr>
                <w:rFonts w:ascii="Arial" w:cs="Arial" w:eastAsia="Arial" w:hAnsi="Arial"/>
                <w:sz w:val="18"/>
                <w:szCs w:val="18"/>
                <w:color w:val="auto"/>
                <w:w w:val="84"/>
              </w:rPr>
              <w:t>1,918</w:t>
            </w:r>
          </w:p>
        </w:tc>
        <w:tc>
          <w:tcPr>
            <w:tcW w:w="760" w:type="dxa"/>
            <w:vAlign w:val="bottom"/>
            <w:gridSpan w:val="4"/>
            <w:shd w:val="clear" w:color="auto" w:fill="CCEEFF"/>
          </w:tcPr>
          <w:p>
            <w:pPr>
              <w:jc w:val="center"/>
              <w:ind w:left="172"/>
              <w:spacing w:after="0"/>
              <w:rPr>
                <w:sz w:val="20"/>
                <w:szCs w:val="20"/>
                <w:color w:val="auto"/>
              </w:rPr>
            </w:pPr>
            <w:r>
              <w:rPr>
                <w:rFonts w:ascii="Arial" w:cs="Arial" w:eastAsia="Arial" w:hAnsi="Arial"/>
                <w:sz w:val="18"/>
                <w:szCs w:val="18"/>
                <w:color w:val="auto"/>
                <w:w w:val="84"/>
              </w:rPr>
              <w:t>$ 335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$ 3,963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3302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444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During January 2002, two principal subsidiaries of Schlumberger in Europe initiated a Euro commercial paper program, which is guaranteed by Schlumberger Limited and supported by a long-term credit facility. Commercial paper borrowings are classified as long-term debt to the extent of their backup by available and unused committed facilities maturing in more than one year and the intent to maintain these obligations for longer than one year.</w:t>
      </w:r>
    </w:p>
    <w:p>
      <w:pPr>
        <w:spacing w:after="0" w:line="9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On April 4, 2002, the principal US subsidiary of Schlumberger issued $1 billion of 10 year notes with a coupon rate of 6.50% in the US market. The notes were issued under rule 144A without registration rights for life. The fair market value at December 31, 2002 was $1,112 million.</w:t>
      </w:r>
    </w:p>
    <w:p>
      <w:pPr>
        <w:spacing w:after="0" w:line="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At December 31, 2002, the borrowings in euro included $881 million of bonds at 5.25% due in 2008 and $518 million of bonds at 5.875% due in 2011 issued in the Euro market by the principal subsidiary in France. The aggregate fair market value at December 31, 2002 was $1,483 million.</w:t>
      </w:r>
    </w:p>
    <w:p>
      <w:pPr>
        <w:spacing w:after="0" w:line="72"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At December 31, 2002, the borrowings in UK pound included $398 million of bonds at 6.25% due in 2008 and $278 million of bonds at 6.50% due in 2032 issued in the Euro market by the principal subsidiary in the UK. The aggregate fair market value at December 31, 2002 was $734 million.</w:t>
      </w:r>
    </w:p>
    <w:p>
      <w:pPr>
        <w:spacing w:after="0" w:line="7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remainder of the long-term debt is at variable interest rates. Such rates are reset every six months or sooner. The carrying value of this long-term debt on December 31, 2002 approximates its fair market value. The weighted-average interest rate of the total debt outstanding on December 31, 2002 was 5.0%, including the effect of the interest rate swaps discussed below.</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Long-term debt on December 31, 2002, is due as follows: $410 million in 2004, $355 million in 2005, $315 million in 2006, $1,835 million in 2007 and $3,114 million thereafter.</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31, 2002, interest rate swap arrangements outstanding were: pay fixed/receive floating on US dollar debt of $800 million; pay fixed/receive floating on Japanese yen debt of $67 million. These arrangements mature at various dates to December 2009. Interest rate swap arrangements increased consolidated interest expense in 2002 by $37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Lines of Credit</w:t>
      </w:r>
    </w:p>
    <w:p>
      <w:pPr>
        <w:spacing w:after="0" w:line="8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On December 31, 2002, wholly owned subsidiaries of Schlumberger had separate lines of credit agreements aggregating $7.7 billion with commercial banks, of which $7.3 billion was committed and $3.7 billion was available and unused. It included $4.6 billion of committed facilities which support borrowings under commercial paper programs in the United States and Europe, of which $3.6 billion matures in January 2007 and $1 billion which matured in January 2003 was renewed for $500 million. Interest rates and other terms of borrowing under these lines of credit vary from country to country.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and Hedging Activities</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Commencing January 1, 2001, Schlumberger adopted SFAS 133 (Accounting for Derivative Instruments and Hedging Activities). Schlumberger uses derivative instruments such as interest rate swaps, currency</w:t>
      </w:r>
    </w:p>
    <w:p>
      <w:pPr>
        <w:sectPr>
          <w:pgSz w:w="11900" w:h="16838" w:orient="portrait"/>
          <w:cols w:equalWidth="0" w:num="1">
            <w:col w:w="11420"/>
          </w:cols>
          <w:pgMar w:left="240" w:top="274" w:right="239" w:bottom="1440" w:gutter="0" w:footer="0" w:header="0"/>
        </w:sectPr>
      </w:pPr>
    </w:p>
    <w:bookmarkStart w:id="24" w:name="page25"/>
    <w:bookmarkEnd w:id="2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swaps, forward currency contracts and foreign currency options. Forward currency contracts provide a hedge against currency fluctuations on assets/liabilities denominated in other than a functional currency. Options are usually entered into as a hedge against currency variations on firm commitments generally involving the construction of long-lived assets.</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 Schlumberger also maintains an interest rate risk management strategy that uses fixed rate debt and derivatives to minimize significant, unanticipated earnings fluctuations caused by interest rate volatility.</w:t>
      </w:r>
    </w:p>
    <w:p>
      <w:pPr>
        <w:spacing w:after="0" w:line="12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Schlumberger’s specific goals are (1) to manage interest rate sensitivity by modifying the repricing or maturity characteristics of certain of its debt and (2) to lower (where possible) the cost of borrowed funds.</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At December 31, 2002, Schlumberger recognized a net $83 million charge in Stockholders’ Equity relating to derivative instruments and hedging activities. This charge was primarily due to the change in the fair market value of Schlumberger’s US interest rate swaps as a result of declining interest rates.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Schlumberger is authorized to issue 1,500,000,000 shares of common stock, par value $0.01 per share, of which 582,173,115 and 575,890,398 shares were outstanding on December 31, 2002 and 2001,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Compensation Plans</w:t>
      </w:r>
    </w:p>
    <w:p>
      <w:pPr>
        <w:spacing w:after="0" w:line="83"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As of December 31, 2002, Schlumberger had two types of stock-based compensation plans, which are described below. Schlumberger applies APB Opinion 25 and related Interpretations in accounting for its plans. Accordingly, no compensation cost has been recognized for its stock option plans and its stock purchase plan. Had compensation cost for the stock-based Schlumberger plans been determined based on the fair value at the grant dates for awards under those plans, consistent with the method of SFAS 123, Schlumberger net income and earnings per share would have been the pro forma amounts indicated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ind w:left="280"/>
              <w:spacing w:after="0"/>
              <w:rPr>
                <w:sz w:val="20"/>
                <w:szCs w:val="20"/>
                <w:color w:val="auto"/>
              </w:rPr>
            </w:pPr>
            <w:r>
              <w:rPr>
                <w:rFonts w:ascii="Arial" w:cs="Arial" w:eastAsia="Arial" w:hAnsi="Arial"/>
                <w:sz w:val="14"/>
                <w:szCs w:val="14"/>
                <w:i w:val="1"/>
                <w:iCs w:val="1"/>
                <w:color w:val="auto"/>
                <w:w w:val="86"/>
              </w:rPr>
              <w:t>(Stated in millions except per share amounts)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2002</w:t>
            </w:r>
          </w:p>
        </w:tc>
        <w:tc>
          <w:tcPr>
            <w:tcW w:w="340" w:type="dxa"/>
            <w:vAlign w:val="bottom"/>
          </w:tcPr>
          <w:p>
            <w:pPr>
              <w:spacing w:after="0"/>
              <w:rPr>
                <w:sz w:val="15"/>
                <w:szCs w:val="15"/>
                <w:color w:val="auto"/>
              </w:rPr>
            </w:pPr>
          </w:p>
        </w:tc>
        <w:tc>
          <w:tcPr>
            <w:tcW w:w="1200" w:type="dxa"/>
            <w:vAlign w:val="bottom"/>
            <w:gridSpan w:val="2"/>
          </w:tcPr>
          <w:p>
            <w:pPr>
              <w:jc w:val="center"/>
              <w:ind w:left="677"/>
              <w:spacing w:after="0"/>
              <w:rPr>
                <w:sz w:val="20"/>
                <w:szCs w:val="20"/>
                <w:color w:val="auto"/>
              </w:rPr>
            </w:pPr>
            <w:r>
              <w:rPr>
                <w:rFonts w:ascii="Arial" w:cs="Arial" w:eastAsia="Arial" w:hAnsi="Arial"/>
                <w:sz w:val="14"/>
                <w:szCs w:val="14"/>
                <w:b w:val="1"/>
                <w:bCs w:val="1"/>
                <w:color w:val="auto"/>
                <w:w w:val="89"/>
              </w:rPr>
              <w:t>2001</w:t>
            </w:r>
          </w:p>
        </w:tc>
        <w:tc>
          <w:tcPr>
            <w:tcW w:w="1520" w:type="dxa"/>
            <w:vAlign w:val="bottom"/>
            <w:gridSpan w:val="2"/>
          </w:tcPr>
          <w:p>
            <w:pPr>
              <w:jc w:val="center"/>
              <w:ind w:left="1015"/>
              <w:spacing w:after="0"/>
              <w:rPr>
                <w:sz w:val="20"/>
                <w:szCs w:val="20"/>
                <w:color w:val="auto"/>
              </w:rPr>
            </w:pPr>
            <w:r>
              <w:rPr>
                <w:rFonts w:ascii="Arial" w:cs="Arial" w:eastAsia="Arial" w:hAnsi="Arial"/>
                <w:sz w:val="14"/>
                <w:szCs w:val="14"/>
                <w:b w:val="1"/>
                <w:bCs w:val="1"/>
                <w:color w:val="auto"/>
                <w:w w:val="83"/>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(2,320)</w:t>
            </w:r>
          </w:p>
        </w:tc>
        <w:tc>
          <w:tcPr>
            <w:tcW w:w="1200" w:type="dxa"/>
            <w:vAlign w:val="bottom"/>
            <w:gridSpan w:val="2"/>
          </w:tcPr>
          <w:p>
            <w:pPr>
              <w:jc w:val="center"/>
              <w:ind w:left="697"/>
              <w:spacing w:after="0"/>
              <w:rPr>
                <w:sz w:val="20"/>
                <w:szCs w:val="20"/>
                <w:color w:val="auto"/>
              </w:rPr>
            </w:pPr>
            <w:r>
              <w:rPr>
                <w:rFonts w:ascii="Arial" w:cs="Arial" w:eastAsia="Arial" w:hAnsi="Arial"/>
                <w:sz w:val="18"/>
                <w:szCs w:val="18"/>
                <w:color w:val="auto"/>
                <w:w w:val="93"/>
              </w:rPr>
              <w:t>$ 522</w:t>
            </w:r>
          </w:p>
        </w:tc>
        <w:tc>
          <w:tcPr>
            <w:tcW w:w="1520" w:type="dxa"/>
            <w:vAlign w:val="bottom"/>
            <w:gridSpan w:val="2"/>
          </w:tcPr>
          <w:p>
            <w:pPr>
              <w:jc w:val="center"/>
              <w:ind w:left="1015"/>
              <w:spacing w:after="0"/>
              <w:rPr>
                <w:sz w:val="20"/>
                <w:szCs w:val="20"/>
                <w:color w:val="auto"/>
              </w:rPr>
            </w:pPr>
            <w:r>
              <w:rPr>
                <w:rFonts w:ascii="Arial" w:cs="Arial" w:eastAsia="Arial" w:hAnsi="Arial"/>
                <w:sz w:val="18"/>
                <w:szCs w:val="18"/>
                <w:color w:val="auto"/>
                <w:w w:val="93"/>
              </w:rPr>
              <w:t>$ 735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(2,476)</w:t>
            </w:r>
          </w:p>
        </w:tc>
        <w:tc>
          <w:tcPr>
            <w:tcW w:w="1200" w:type="dxa"/>
            <w:vAlign w:val="bottom"/>
            <w:gridSpan w:val="2"/>
            <w:shd w:val="clear" w:color="auto" w:fill="CCEEFF"/>
          </w:tcPr>
          <w:p>
            <w:pPr>
              <w:jc w:val="center"/>
              <w:ind w:left="697"/>
              <w:spacing w:after="0"/>
              <w:rPr>
                <w:sz w:val="20"/>
                <w:szCs w:val="20"/>
                <w:color w:val="auto"/>
              </w:rPr>
            </w:pPr>
            <w:r>
              <w:rPr>
                <w:rFonts w:ascii="Arial" w:cs="Arial" w:eastAsia="Arial" w:hAnsi="Arial"/>
                <w:sz w:val="18"/>
                <w:szCs w:val="18"/>
                <w:color w:val="auto"/>
                <w:w w:val="93"/>
              </w:rPr>
              <w:t>$ 386</w:t>
            </w:r>
          </w:p>
        </w:tc>
        <w:tc>
          <w:tcPr>
            <w:tcW w:w="1520" w:type="dxa"/>
            <w:vAlign w:val="bottom"/>
            <w:gridSpan w:val="2"/>
            <w:shd w:val="clear" w:color="auto" w:fill="CCEEFF"/>
          </w:tcPr>
          <w:p>
            <w:pPr>
              <w:jc w:val="center"/>
              <w:ind w:left="1015"/>
              <w:spacing w:after="0"/>
              <w:rPr>
                <w:sz w:val="20"/>
                <w:szCs w:val="20"/>
                <w:color w:val="auto"/>
              </w:rPr>
            </w:pPr>
            <w:r>
              <w:rPr>
                <w:rFonts w:ascii="Arial" w:cs="Arial" w:eastAsia="Arial" w:hAnsi="Arial"/>
                <w:sz w:val="18"/>
                <w:szCs w:val="18"/>
                <w:color w:val="auto"/>
                <w:w w:val="93"/>
              </w:rPr>
              <w:t>$ 633</w:t>
            </w:r>
          </w:p>
        </w:tc>
        <w:tc>
          <w:tcPr>
            <w:tcW w:w="0" w:type="dxa"/>
            <w:vAlign w:val="bottom"/>
          </w:tcPr>
          <w:p>
            <w:pPr>
              <w:spacing w:after="0"/>
              <w:rPr>
                <w:sz w:val="1"/>
                <w:szCs w:val="1"/>
                <w:color w:val="auto"/>
              </w:rPr>
            </w:pPr>
          </w:p>
        </w:tc>
      </w:tr>
      <w:tr>
        <w:trPr>
          <w:trHeight w:val="322"/>
        </w:trPr>
        <w:tc>
          <w:tcPr>
            <w:tcW w:w="780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(4.01)</w:t>
            </w:r>
          </w:p>
        </w:tc>
        <w:tc>
          <w:tcPr>
            <w:tcW w:w="1200" w:type="dxa"/>
            <w:vAlign w:val="bottom"/>
            <w:gridSpan w:val="2"/>
            <w:shd w:val="clear" w:color="auto" w:fill="CCEEFF"/>
          </w:tcPr>
          <w:p>
            <w:pPr>
              <w:jc w:val="center"/>
              <w:ind w:left="697"/>
              <w:spacing w:after="0"/>
              <w:rPr>
                <w:sz w:val="20"/>
                <w:szCs w:val="20"/>
                <w:color w:val="auto"/>
              </w:rPr>
            </w:pPr>
            <w:r>
              <w:rPr>
                <w:rFonts w:ascii="Arial" w:cs="Arial" w:eastAsia="Arial" w:hAnsi="Arial"/>
                <w:sz w:val="18"/>
                <w:szCs w:val="18"/>
                <w:color w:val="auto"/>
                <w:w w:val="83"/>
              </w:rPr>
              <w:t>$ 0.91</w:t>
            </w:r>
          </w:p>
        </w:tc>
        <w:tc>
          <w:tcPr>
            <w:tcW w:w="1520" w:type="dxa"/>
            <w:vAlign w:val="bottom"/>
            <w:gridSpan w:val="2"/>
            <w:shd w:val="clear" w:color="auto" w:fill="CCEEFF"/>
          </w:tcPr>
          <w:p>
            <w:pPr>
              <w:jc w:val="center"/>
              <w:ind w:left="1015"/>
              <w:spacing w:after="0"/>
              <w:rPr>
                <w:sz w:val="20"/>
                <w:szCs w:val="20"/>
                <w:color w:val="auto"/>
              </w:rPr>
            </w:pPr>
            <w:r>
              <w:rPr>
                <w:rFonts w:ascii="Arial" w:cs="Arial" w:eastAsia="Arial" w:hAnsi="Arial"/>
                <w:sz w:val="18"/>
                <w:szCs w:val="18"/>
                <w:color w:val="auto"/>
                <w:w w:val="83"/>
              </w:rPr>
              <w:t>$ 1.29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Pro forma</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(4.28)</w:t>
            </w:r>
          </w:p>
        </w:tc>
        <w:tc>
          <w:tcPr>
            <w:tcW w:w="1200" w:type="dxa"/>
            <w:vAlign w:val="bottom"/>
            <w:gridSpan w:val="2"/>
          </w:tcPr>
          <w:p>
            <w:pPr>
              <w:jc w:val="center"/>
              <w:ind w:left="697"/>
              <w:spacing w:after="0"/>
              <w:rPr>
                <w:sz w:val="20"/>
                <w:szCs w:val="20"/>
                <w:color w:val="auto"/>
              </w:rPr>
            </w:pPr>
            <w:r>
              <w:rPr>
                <w:rFonts w:ascii="Arial" w:cs="Arial" w:eastAsia="Arial" w:hAnsi="Arial"/>
                <w:sz w:val="18"/>
                <w:szCs w:val="18"/>
                <w:color w:val="auto"/>
                <w:w w:val="83"/>
              </w:rPr>
              <w:t>$ 0.67</w:t>
            </w:r>
          </w:p>
        </w:tc>
        <w:tc>
          <w:tcPr>
            <w:tcW w:w="1520" w:type="dxa"/>
            <w:vAlign w:val="bottom"/>
            <w:gridSpan w:val="2"/>
          </w:tcPr>
          <w:p>
            <w:pPr>
              <w:jc w:val="center"/>
              <w:ind w:left="1015"/>
              <w:spacing w:after="0"/>
              <w:rPr>
                <w:sz w:val="20"/>
                <w:szCs w:val="20"/>
                <w:color w:val="auto"/>
              </w:rPr>
            </w:pPr>
            <w:r>
              <w:rPr>
                <w:rFonts w:ascii="Arial" w:cs="Arial" w:eastAsia="Arial" w:hAnsi="Arial"/>
                <w:sz w:val="18"/>
                <w:szCs w:val="18"/>
                <w:color w:val="auto"/>
                <w:w w:val="83"/>
              </w:rPr>
              <w:t>$ 1.11</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(4.01)</w:t>
            </w:r>
          </w:p>
        </w:tc>
        <w:tc>
          <w:tcPr>
            <w:tcW w:w="1200" w:type="dxa"/>
            <w:vAlign w:val="bottom"/>
            <w:gridSpan w:val="2"/>
          </w:tcPr>
          <w:p>
            <w:pPr>
              <w:jc w:val="center"/>
              <w:ind w:left="697"/>
              <w:spacing w:after="0"/>
              <w:rPr>
                <w:sz w:val="20"/>
                <w:szCs w:val="20"/>
                <w:color w:val="auto"/>
              </w:rPr>
            </w:pPr>
            <w:r>
              <w:rPr>
                <w:rFonts w:ascii="Arial" w:cs="Arial" w:eastAsia="Arial" w:hAnsi="Arial"/>
                <w:sz w:val="18"/>
                <w:szCs w:val="18"/>
                <w:color w:val="auto"/>
                <w:w w:val="83"/>
              </w:rPr>
              <w:t>$ 0.91</w:t>
            </w:r>
          </w:p>
        </w:tc>
        <w:tc>
          <w:tcPr>
            <w:tcW w:w="1520" w:type="dxa"/>
            <w:vAlign w:val="bottom"/>
            <w:gridSpan w:val="2"/>
          </w:tcPr>
          <w:p>
            <w:pPr>
              <w:jc w:val="center"/>
              <w:ind w:left="1015"/>
              <w:spacing w:after="0"/>
              <w:rPr>
                <w:sz w:val="20"/>
                <w:szCs w:val="20"/>
                <w:color w:val="auto"/>
              </w:rPr>
            </w:pPr>
            <w:r>
              <w:rPr>
                <w:rFonts w:ascii="Arial" w:cs="Arial" w:eastAsia="Arial" w:hAnsi="Arial"/>
                <w:sz w:val="18"/>
                <w:szCs w:val="18"/>
                <w:color w:val="auto"/>
                <w:w w:val="83"/>
              </w:rPr>
              <w:t>$ 1.27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(4.28)</w:t>
            </w:r>
          </w:p>
        </w:tc>
        <w:tc>
          <w:tcPr>
            <w:tcW w:w="1200" w:type="dxa"/>
            <w:vAlign w:val="bottom"/>
            <w:gridSpan w:val="2"/>
            <w:shd w:val="clear" w:color="auto" w:fill="CCEEFF"/>
          </w:tcPr>
          <w:p>
            <w:pPr>
              <w:jc w:val="center"/>
              <w:ind w:left="697"/>
              <w:spacing w:after="0"/>
              <w:rPr>
                <w:sz w:val="20"/>
                <w:szCs w:val="20"/>
                <w:color w:val="auto"/>
              </w:rPr>
            </w:pPr>
            <w:r>
              <w:rPr>
                <w:rFonts w:ascii="Arial" w:cs="Arial" w:eastAsia="Arial" w:hAnsi="Arial"/>
                <w:sz w:val="18"/>
                <w:szCs w:val="18"/>
                <w:color w:val="auto"/>
                <w:w w:val="83"/>
              </w:rPr>
              <w:t>$ 0.67</w:t>
            </w:r>
          </w:p>
        </w:tc>
        <w:tc>
          <w:tcPr>
            <w:tcW w:w="1520" w:type="dxa"/>
            <w:vAlign w:val="bottom"/>
            <w:gridSpan w:val="2"/>
            <w:shd w:val="clear" w:color="auto" w:fill="CCEEFF"/>
          </w:tcPr>
          <w:p>
            <w:pPr>
              <w:jc w:val="center"/>
              <w:ind w:left="1015"/>
              <w:spacing w:after="0"/>
              <w:rPr>
                <w:sz w:val="20"/>
                <w:szCs w:val="20"/>
                <w:color w:val="auto"/>
              </w:rPr>
            </w:pPr>
            <w:r>
              <w:rPr>
                <w:rFonts w:ascii="Arial" w:cs="Arial" w:eastAsia="Arial" w:hAnsi="Arial"/>
                <w:sz w:val="18"/>
                <w:szCs w:val="18"/>
                <w:color w:val="auto"/>
                <w:w w:val="83"/>
              </w:rPr>
              <w:t>$ 1.09</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Plans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2002, 2001, 2000 and in prior years, officers and key employees were granted stock options under Schlumberger stock option plans. For all of the stock options granted, the exercise price of each option equals the market price of Schlumberger stock on the date of grant; an option’s maximum term is ten years, and options generally vest in 20% increments over five years.</w:t>
      </w:r>
    </w:p>
    <w:p>
      <w:pPr>
        <w:spacing w:after="0" w:line="12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required by SFAS 123, the fair value of each grant is estimated on the date of grant using the multiple option Black-Scholes option-pricing model with the following weighted-average assumptions used for 2002, 2001 and 2000: dividend of $0.75; expected volatility of 32-36% for 2002 grants, 32-35% for 2001 grants and 27-33% for 2000 grants; risk-free interest rates for the 2002 grants of 4.34%-5.25% for officers and 3.04%-4.73% for the 2002 grants to all other employees; risk-free interest rates for the 2001 grants of 4.91% for officers and 3.87%-5.01% for the 2001 grants to all other employees; risk-free interest rates for the 2000 grants of 5.75%-6.84% for officers and 5.69%-6.72% for the 2000 grants to all other employees; and expected option lives of 6.6 years for officers and 5.07 years for other employees for 2002 grants, expected option lives of 5.51 years for officers and 5.02 years for other employees for 2001 grants, expected option lives of 7.16 years for officers and 5.49 years for other employees for 2000 grants.</w:t>
      </w:r>
    </w:p>
    <w:p>
      <w:pPr>
        <w:spacing w:after="0" w:line="1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summary of the status of the Schlumberger stock option plans as of December 31, 2002, 2001 and 2000, and changes during the years ending on those dates is presented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2000</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left="41"/>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exercise</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exercise</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left="61"/>
              <w:spacing w:after="0" w:line="149" w:lineRule="exact"/>
              <w:rPr>
                <w:sz w:val="20"/>
                <w:szCs w:val="20"/>
                <w:color w:val="auto"/>
              </w:rPr>
            </w:pPr>
            <w:r>
              <w:rPr>
                <w:rFonts w:ascii="Arial" w:cs="Arial" w:eastAsia="Arial" w:hAnsi="Arial"/>
                <w:sz w:val="14"/>
                <w:szCs w:val="14"/>
                <w:b w:val="1"/>
                <w:bCs w:val="1"/>
                <w:color w:val="auto"/>
                <w:w w:val="81"/>
              </w:rPr>
              <w:t>exercise</w:t>
            </w:r>
          </w:p>
        </w:tc>
        <w:tc>
          <w:tcPr>
            <w:tcW w:w="0" w:type="dxa"/>
            <w:vAlign w:val="bottom"/>
          </w:tcPr>
          <w:p>
            <w:pPr>
              <w:spacing w:after="0"/>
              <w:rPr>
                <w:sz w:val="1"/>
                <w:szCs w:val="1"/>
                <w:color w:val="auto"/>
              </w:rPr>
            </w:pPr>
          </w:p>
        </w:tc>
      </w:tr>
      <w:tr>
        <w:trPr>
          <w:trHeight w:val="174"/>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Fixed Options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price</w:t>
            </w: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price</w:t>
            </w: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32,836,340</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31,208,321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31,613,924</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7,314,617</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$55.14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4,110,468</w:t>
            </w:r>
          </w:p>
        </w:tc>
        <w:tc>
          <w:tcPr>
            <w:tcW w:w="740" w:type="dxa"/>
            <w:vAlign w:val="bottom"/>
          </w:tcPr>
          <w:p>
            <w:pPr>
              <w:jc w:val="right"/>
              <w:spacing w:after="0"/>
              <w:rPr>
                <w:sz w:val="20"/>
                <w:szCs w:val="20"/>
                <w:color w:val="auto"/>
              </w:rPr>
            </w:pPr>
            <w:r>
              <w:rPr>
                <w:rFonts w:ascii="Arial" w:cs="Arial" w:eastAsia="Arial" w:hAnsi="Arial"/>
                <w:sz w:val="18"/>
                <w:szCs w:val="18"/>
                <w:color w:val="auto"/>
              </w:rPr>
              <w:t>$61.55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5,643,500</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1"/>
              </w:rPr>
              <w:t>(2,296,593)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(1,444,588)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(5,447,870)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(984,680)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$66.69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(1,037,861)</w:t>
            </w:r>
          </w:p>
        </w:tc>
        <w:tc>
          <w:tcPr>
            <w:tcW w:w="740" w:type="dxa"/>
            <w:vAlign w:val="bottom"/>
          </w:tcPr>
          <w:p>
            <w:pPr>
              <w:jc w:val="right"/>
              <w:spacing w:after="0"/>
              <w:rPr>
                <w:sz w:val="20"/>
                <w:szCs w:val="20"/>
                <w:color w:val="auto"/>
              </w:rPr>
            </w:pPr>
            <w:r>
              <w:rPr>
                <w:rFonts w:ascii="Arial" w:cs="Arial" w:eastAsia="Arial" w:hAnsi="Arial"/>
                <w:sz w:val="18"/>
                <w:szCs w:val="18"/>
                <w:color w:val="auto"/>
              </w:rPr>
              <w:t>$71.27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(601,233)</w:t>
            </w:r>
          </w:p>
        </w:tc>
        <w:tc>
          <w:tcPr>
            <w:tcW w:w="740" w:type="dxa"/>
            <w:vAlign w:val="bottom"/>
          </w:tcPr>
          <w:p>
            <w:pPr>
              <w:jc w:val="right"/>
              <w:spacing w:after="0"/>
              <w:rPr>
                <w:sz w:val="20"/>
                <w:szCs w:val="20"/>
                <w:color w:val="auto"/>
              </w:rPr>
            </w:pPr>
            <w:r>
              <w:rPr>
                <w:rFonts w:ascii="Arial" w:cs="Arial" w:eastAsia="Arial" w:hAnsi="Arial"/>
                <w:sz w:val="18"/>
                <w:szCs w:val="18"/>
                <w:color w:val="auto"/>
              </w:rPr>
              <w:t>$62.03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36,869,684</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32,836,340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31,208,321</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year-end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21,142,473</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19,724,680</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16,277,868</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Weighted-average fair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value of options granted</w:t>
            </w: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during the year</w:t>
            </w:r>
          </w:p>
        </w:tc>
        <w:tc>
          <w:tcPr>
            <w:tcW w:w="114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21.51</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30.03</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-643255</wp:posOffset>
            </wp:positionV>
            <wp:extent cx="60452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-643255</wp:posOffset>
            </wp:positionV>
            <wp:extent cx="60452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-643255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-643255</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-643255</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currently outstanding and exercisable options by five ranges of exercise prices on December 31, 2002: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ind w:left="200"/>
              <w:spacing w:after="0"/>
              <w:rPr>
                <w:sz w:val="20"/>
                <w:szCs w:val="20"/>
                <w:color w:val="auto"/>
              </w:rPr>
            </w:pPr>
            <w:r>
              <w:rPr>
                <w:rFonts w:ascii="Arial" w:cs="Arial" w:eastAsia="Arial" w:hAnsi="Arial"/>
                <w:sz w:val="14"/>
                <w:szCs w:val="14"/>
                <w:b w:val="1"/>
                <w:bCs w:val="1"/>
                <w:color w:val="auto"/>
              </w:rPr>
              <w:t>Options Outstanding</w:t>
            </w: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gridSpan w:val="4"/>
          </w:tcPr>
          <w:p>
            <w:pPr>
              <w:ind w:left="3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85"/>
              </w:rPr>
              <w:t>Weighted-</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Weighted-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 w:type="dxa"/>
            <w:vAlign w:val="bottom"/>
          </w:tcPr>
          <w:p>
            <w:pPr>
              <w:spacing w:after="0"/>
              <w:rPr>
                <w:sz w:val="20"/>
                <w:szCs w:val="20"/>
                <w:color w:val="auto"/>
              </w:rPr>
            </w:pPr>
          </w:p>
        </w:tc>
        <w:tc>
          <w:tcPr>
            <w:tcW w:w="102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8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86"/>
              </w:rPr>
              <w:t>average</w:t>
            </w: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exercisable</w:t>
            </w:r>
          </w:p>
        </w:tc>
        <w:tc>
          <w:tcPr>
            <w:tcW w:w="20" w:type="dxa"/>
            <w:vAlign w:val="bottom"/>
          </w:tcPr>
          <w:p>
            <w:pPr>
              <w:spacing w:after="0"/>
              <w:rPr>
                <w:sz w:val="12"/>
                <w:szCs w:val="12"/>
                <w:color w:val="auto"/>
              </w:rPr>
            </w:pPr>
          </w:p>
        </w:tc>
        <w:tc>
          <w:tcPr>
            <w:tcW w:w="1020" w:type="dxa"/>
            <w:vAlign w:val="bottom"/>
            <w:gridSpan w:val="2"/>
          </w:tcPr>
          <w:p>
            <w:pPr>
              <w:jc w:val="center"/>
              <w:ind w:left="312"/>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Range of</w:t>
            </w:r>
          </w:p>
        </w:tc>
        <w:tc>
          <w:tcPr>
            <w:tcW w:w="50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68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86"/>
              </w:rPr>
              <w:t>remaining</w:t>
            </w: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exercise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20" w:type="dxa"/>
            <w:vAlign w:val="bottom"/>
          </w:tcPr>
          <w:p>
            <w:pPr>
              <w:spacing w:after="0"/>
              <w:rPr>
                <w:sz w:val="12"/>
                <w:szCs w:val="12"/>
                <w:color w:val="auto"/>
              </w:rPr>
            </w:pPr>
          </w:p>
        </w:tc>
        <w:tc>
          <w:tcPr>
            <w:tcW w:w="1020" w:type="dxa"/>
            <w:vAlign w:val="bottom"/>
            <w:gridSpan w:val="2"/>
          </w:tcPr>
          <w:p>
            <w:pPr>
              <w:jc w:val="center"/>
              <w:ind w:left="332"/>
              <w:spacing w:after="0" w:line="149" w:lineRule="exact"/>
              <w:rPr>
                <w:sz w:val="20"/>
                <w:szCs w:val="20"/>
                <w:color w:val="auto"/>
              </w:rPr>
            </w:pPr>
            <w:r>
              <w:rPr>
                <w:rFonts w:ascii="Arial" w:cs="Arial" w:eastAsia="Arial" w:hAnsi="Arial"/>
                <w:sz w:val="14"/>
                <w:szCs w:val="14"/>
                <w:b w:val="1"/>
                <w:bCs w:val="1"/>
                <w:color w:val="auto"/>
                <w:w w:val="81"/>
              </w:rPr>
              <w:t>exercise</w:t>
            </w:r>
          </w:p>
        </w:tc>
        <w:tc>
          <w:tcPr>
            <w:tcW w:w="0" w:type="dxa"/>
            <w:vAlign w:val="bottom"/>
          </w:tcPr>
          <w:p>
            <w:pPr>
              <w:spacing w:after="0"/>
              <w:rPr>
                <w:sz w:val="1"/>
                <w:szCs w:val="1"/>
                <w:color w:val="auto"/>
              </w:rPr>
            </w:pPr>
          </w:p>
        </w:tc>
      </w:tr>
      <w:tr>
        <w:trPr>
          <w:trHeight w:val="174"/>
        </w:trPr>
        <w:tc>
          <w:tcPr>
            <w:tcW w:w="5620" w:type="dxa"/>
            <w:vAlign w:val="bottom"/>
            <w:gridSpan w:val="4"/>
          </w:tcPr>
          <w:p>
            <w:pPr>
              <w:spacing w:after="0"/>
              <w:rPr>
                <w:sz w:val="20"/>
                <w:szCs w:val="20"/>
                <w:color w:val="auto"/>
              </w:rPr>
            </w:pPr>
            <w:r>
              <w:rPr>
                <w:rFonts w:ascii="Arial" w:cs="Arial" w:eastAsia="Arial" w:hAnsi="Arial"/>
                <w:sz w:val="14"/>
                <w:szCs w:val="14"/>
                <w:b w:val="1"/>
                <w:bCs w:val="1"/>
                <w:color w:val="auto"/>
              </w:rPr>
              <w:t>exercise prices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as of 12/31/02</w:t>
            </w: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86"/>
              </w:rPr>
              <w:t>contractual life</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12/31/02</w:t>
            </w:r>
          </w:p>
        </w:tc>
        <w:tc>
          <w:tcPr>
            <w:tcW w:w="20" w:type="dxa"/>
            <w:vAlign w:val="bottom"/>
          </w:tcPr>
          <w:p>
            <w:pPr>
              <w:spacing w:after="0"/>
              <w:rPr>
                <w:sz w:val="15"/>
                <w:szCs w:val="15"/>
                <w:color w:val="auto"/>
              </w:rPr>
            </w:pPr>
          </w:p>
        </w:tc>
        <w:tc>
          <w:tcPr>
            <w:tcW w:w="102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502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w w:val="89"/>
              </w:rPr>
              <w:t>- $22.073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114,170</w:t>
            </w:r>
          </w:p>
        </w:tc>
        <w:tc>
          <w:tcPr>
            <w:tcW w:w="1680" w:type="dxa"/>
            <w:vAlign w:val="bottom"/>
            <w:shd w:val="clear" w:color="auto" w:fill="CCEEFF"/>
          </w:tcPr>
          <w:p>
            <w:pPr>
              <w:jc w:val="center"/>
              <w:ind w:left="181"/>
              <w:spacing w:after="0"/>
              <w:rPr>
                <w:sz w:val="20"/>
                <w:szCs w:val="20"/>
                <w:color w:val="auto"/>
              </w:rPr>
            </w:pPr>
            <w:r>
              <w:rPr>
                <w:rFonts w:ascii="Arial" w:cs="Arial" w:eastAsia="Arial" w:hAnsi="Arial"/>
                <w:sz w:val="18"/>
                <w:szCs w:val="18"/>
                <w:color w:val="auto"/>
                <w:w w:val="85"/>
              </w:rPr>
              <w:t>2.71</w:t>
            </w:r>
          </w:p>
        </w:tc>
        <w:tc>
          <w:tcPr>
            <w:tcW w:w="1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$ 18.925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114,170</w:t>
            </w:r>
          </w:p>
        </w:tc>
        <w:tc>
          <w:tcPr>
            <w:tcW w:w="10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5"/>
              </w:rPr>
              <w:t>$ 18.925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24.142</w:t>
            </w:r>
          </w:p>
        </w:tc>
        <w:tc>
          <w:tcPr>
            <w:tcW w:w="5020" w:type="dxa"/>
            <w:vAlign w:val="bottom"/>
          </w:tcPr>
          <w:p>
            <w:pPr>
              <w:jc w:val="right"/>
              <w:ind w:right="4232"/>
              <w:spacing w:after="0"/>
              <w:rPr>
                <w:sz w:val="20"/>
                <w:szCs w:val="20"/>
                <w:color w:val="auto"/>
              </w:rPr>
            </w:pPr>
            <w:r>
              <w:rPr>
                <w:rFonts w:ascii="Arial" w:cs="Arial" w:eastAsia="Arial" w:hAnsi="Arial"/>
                <w:sz w:val="18"/>
                <w:szCs w:val="18"/>
                <w:color w:val="auto"/>
                <w:w w:val="89"/>
              </w:rPr>
              <w:t>- $30.710</w:t>
            </w:r>
          </w:p>
        </w:tc>
        <w:tc>
          <w:tcPr>
            <w:tcW w:w="920" w:type="dxa"/>
            <w:vAlign w:val="bottom"/>
          </w:tcPr>
          <w:p>
            <w:pPr>
              <w:jc w:val="right"/>
              <w:spacing w:after="0"/>
              <w:rPr>
                <w:sz w:val="20"/>
                <w:szCs w:val="20"/>
                <w:color w:val="auto"/>
              </w:rPr>
            </w:pPr>
            <w:r>
              <w:rPr>
                <w:rFonts w:ascii="Arial" w:cs="Arial" w:eastAsia="Arial" w:hAnsi="Arial"/>
                <w:sz w:val="18"/>
                <w:szCs w:val="18"/>
                <w:color w:val="auto"/>
              </w:rPr>
              <w:t>5,354,259</w:t>
            </w:r>
          </w:p>
        </w:tc>
        <w:tc>
          <w:tcPr>
            <w:tcW w:w="1680" w:type="dxa"/>
            <w:vAlign w:val="bottom"/>
          </w:tcPr>
          <w:p>
            <w:pPr>
              <w:jc w:val="center"/>
              <w:ind w:left="181"/>
              <w:spacing w:after="0"/>
              <w:rPr>
                <w:sz w:val="20"/>
                <w:szCs w:val="20"/>
                <w:color w:val="auto"/>
              </w:rPr>
            </w:pPr>
            <w:r>
              <w:rPr>
                <w:rFonts w:ascii="Arial" w:cs="Arial" w:eastAsia="Arial" w:hAnsi="Arial"/>
                <w:sz w:val="18"/>
                <w:szCs w:val="18"/>
                <w:color w:val="auto"/>
                <w:w w:val="85"/>
              </w:rPr>
              <w:t>2.18</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$ 27.634</w:t>
            </w:r>
          </w:p>
        </w:tc>
        <w:tc>
          <w:tcPr>
            <w:tcW w:w="900" w:type="dxa"/>
            <w:vAlign w:val="bottom"/>
          </w:tcPr>
          <w:p>
            <w:pPr>
              <w:jc w:val="right"/>
              <w:spacing w:after="0"/>
              <w:rPr>
                <w:sz w:val="20"/>
                <w:szCs w:val="20"/>
                <w:color w:val="auto"/>
              </w:rPr>
            </w:pPr>
            <w:r>
              <w:rPr>
                <w:rFonts w:ascii="Arial" w:cs="Arial" w:eastAsia="Arial" w:hAnsi="Arial"/>
                <w:sz w:val="18"/>
                <w:szCs w:val="18"/>
                <w:color w:val="auto"/>
              </w:rPr>
              <w:t>5,354,259</w:t>
            </w:r>
          </w:p>
        </w:tc>
        <w:tc>
          <w:tcPr>
            <w:tcW w:w="1020" w:type="dxa"/>
            <w:vAlign w:val="bottom"/>
            <w:gridSpan w:val="2"/>
          </w:tcPr>
          <w:p>
            <w:pPr>
              <w:jc w:val="center"/>
              <w:ind w:left="332"/>
              <w:spacing w:after="0"/>
              <w:rPr>
                <w:sz w:val="20"/>
                <w:szCs w:val="20"/>
                <w:color w:val="auto"/>
              </w:rPr>
            </w:pPr>
            <w:r>
              <w:rPr>
                <w:rFonts w:ascii="Arial" w:cs="Arial" w:eastAsia="Arial" w:hAnsi="Arial"/>
                <w:sz w:val="18"/>
                <w:szCs w:val="18"/>
                <w:color w:val="auto"/>
                <w:w w:val="85"/>
              </w:rPr>
              <w:t>$ 27.634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30.795</w:t>
            </w:r>
          </w:p>
        </w:tc>
        <w:tc>
          <w:tcPr>
            <w:tcW w:w="502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w w:val="89"/>
              </w:rPr>
              <w:t>- $44.843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4,290,878</w:t>
            </w:r>
          </w:p>
        </w:tc>
        <w:tc>
          <w:tcPr>
            <w:tcW w:w="1680" w:type="dxa"/>
            <w:vAlign w:val="bottom"/>
            <w:shd w:val="clear" w:color="auto" w:fill="CCEEFF"/>
          </w:tcPr>
          <w:p>
            <w:pPr>
              <w:jc w:val="center"/>
              <w:ind w:left="181"/>
              <w:spacing w:after="0"/>
              <w:rPr>
                <w:sz w:val="20"/>
                <w:szCs w:val="20"/>
                <w:color w:val="auto"/>
              </w:rPr>
            </w:pPr>
            <w:r>
              <w:rPr>
                <w:rFonts w:ascii="Arial" w:cs="Arial" w:eastAsia="Arial" w:hAnsi="Arial"/>
                <w:sz w:val="18"/>
                <w:szCs w:val="18"/>
                <w:color w:val="auto"/>
                <w:w w:val="85"/>
              </w:rPr>
              <w:t>3.97</w:t>
            </w:r>
          </w:p>
        </w:tc>
        <w:tc>
          <w:tcPr>
            <w:tcW w:w="1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$ 39.264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3,883,836</w:t>
            </w:r>
          </w:p>
        </w:tc>
        <w:tc>
          <w:tcPr>
            <w:tcW w:w="10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5"/>
              </w:rPr>
              <w:t>$ 38.990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46.075</w:t>
            </w:r>
          </w:p>
        </w:tc>
        <w:tc>
          <w:tcPr>
            <w:tcW w:w="5020" w:type="dxa"/>
            <w:vAlign w:val="bottom"/>
          </w:tcPr>
          <w:p>
            <w:pPr>
              <w:jc w:val="right"/>
              <w:ind w:right="4232"/>
              <w:spacing w:after="0"/>
              <w:rPr>
                <w:sz w:val="20"/>
                <w:szCs w:val="20"/>
                <w:color w:val="auto"/>
              </w:rPr>
            </w:pPr>
            <w:r>
              <w:rPr>
                <w:rFonts w:ascii="Arial" w:cs="Arial" w:eastAsia="Arial" w:hAnsi="Arial"/>
                <w:sz w:val="18"/>
                <w:szCs w:val="18"/>
                <w:color w:val="auto"/>
                <w:w w:val="89"/>
              </w:rPr>
              <w:t>- $65.330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16,516,490</w:t>
            </w:r>
          </w:p>
        </w:tc>
        <w:tc>
          <w:tcPr>
            <w:tcW w:w="1680" w:type="dxa"/>
            <w:vAlign w:val="bottom"/>
          </w:tcPr>
          <w:p>
            <w:pPr>
              <w:jc w:val="center"/>
              <w:ind w:left="181"/>
              <w:spacing w:after="0"/>
              <w:rPr>
                <w:sz w:val="20"/>
                <w:szCs w:val="20"/>
                <w:color w:val="auto"/>
              </w:rPr>
            </w:pPr>
            <w:r>
              <w:rPr>
                <w:rFonts w:ascii="Arial" w:cs="Arial" w:eastAsia="Arial" w:hAnsi="Arial"/>
                <w:sz w:val="18"/>
                <w:szCs w:val="18"/>
                <w:color w:val="auto"/>
                <w:w w:val="85"/>
              </w:rPr>
              <w:t>7.96</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$ 56.343</w:t>
            </w:r>
          </w:p>
        </w:tc>
        <w:tc>
          <w:tcPr>
            <w:tcW w:w="900" w:type="dxa"/>
            <w:vAlign w:val="bottom"/>
          </w:tcPr>
          <w:p>
            <w:pPr>
              <w:jc w:val="right"/>
              <w:spacing w:after="0"/>
              <w:rPr>
                <w:sz w:val="20"/>
                <w:szCs w:val="20"/>
                <w:color w:val="auto"/>
              </w:rPr>
            </w:pPr>
            <w:r>
              <w:rPr>
                <w:rFonts w:ascii="Arial" w:cs="Arial" w:eastAsia="Arial" w:hAnsi="Arial"/>
                <w:sz w:val="18"/>
                <w:szCs w:val="18"/>
                <w:color w:val="auto"/>
              </w:rPr>
              <w:t>4,528,477</w:t>
            </w:r>
          </w:p>
        </w:tc>
        <w:tc>
          <w:tcPr>
            <w:tcW w:w="1020" w:type="dxa"/>
            <w:vAlign w:val="bottom"/>
            <w:gridSpan w:val="2"/>
          </w:tcPr>
          <w:p>
            <w:pPr>
              <w:jc w:val="center"/>
              <w:ind w:left="332"/>
              <w:spacing w:after="0"/>
              <w:rPr>
                <w:sz w:val="20"/>
                <w:szCs w:val="20"/>
                <w:color w:val="auto"/>
              </w:rPr>
            </w:pPr>
            <w:r>
              <w:rPr>
                <w:rFonts w:ascii="Arial" w:cs="Arial" w:eastAsia="Arial" w:hAnsi="Arial"/>
                <w:sz w:val="18"/>
                <w:szCs w:val="18"/>
                <w:color w:val="auto"/>
                <w:w w:val="85"/>
              </w:rPr>
              <w:t>$ 55.207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71.315</w:t>
            </w:r>
          </w:p>
        </w:tc>
        <w:tc>
          <w:tcPr>
            <w:tcW w:w="502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w w:val="89"/>
              </w:rPr>
              <w:t>- $82.348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10,593,887</w:t>
            </w:r>
          </w:p>
        </w:tc>
        <w:tc>
          <w:tcPr>
            <w:tcW w:w="1680" w:type="dxa"/>
            <w:vAlign w:val="bottom"/>
            <w:shd w:val="clear" w:color="auto" w:fill="CCEEFF"/>
          </w:tcPr>
          <w:p>
            <w:pPr>
              <w:jc w:val="center"/>
              <w:ind w:left="181"/>
              <w:spacing w:after="0"/>
              <w:rPr>
                <w:sz w:val="20"/>
                <w:szCs w:val="20"/>
                <w:color w:val="auto"/>
              </w:rPr>
            </w:pPr>
            <w:r>
              <w:rPr>
                <w:rFonts w:ascii="Arial" w:cs="Arial" w:eastAsia="Arial" w:hAnsi="Arial"/>
                <w:sz w:val="18"/>
                <w:szCs w:val="18"/>
                <w:color w:val="auto"/>
                <w:w w:val="85"/>
              </w:rPr>
              <w:t>6.28</w:t>
            </w:r>
          </w:p>
        </w:tc>
        <w:tc>
          <w:tcPr>
            <w:tcW w:w="1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$ 80.566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7,261,731</w:t>
            </w:r>
          </w:p>
        </w:tc>
        <w:tc>
          <w:tcPr>
            <w:tcW w:w="10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5"/>
              </w:rPr>
              <w:t>$ 80.811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36,869,684</w:t>
            </w:r>
          </w:p>
        </w:tc>
        <w:tc>
          <w:tcPr>
            <w:tcW w:w="1680" w:type="dxa"/>
            <w:vAlign w:val="bottom"/>
            <w:shd w:val="clear" w:color="auto" w:fill="CCEEFF"/>
          </w:tcPr>
          <w:p>
            <w:pPr>
              <w:jc w:val="center"/>
              <w:ind w:left="181"/>
              <w:spacing w:after="0"/>
              <w:rPr>
                <w:sz w:val="20"/>
                <w:szCs w:val="20"/>
                <w:color w:val="auto"/>
              </w:rPr>
            </w:pPr>
            <w:r>
              <w:rPr>
                <w:rFonts w:ascii="Arial" w:cs="Arial" w:eastAsia="Arial" w:hAnsi="Arial"/>
                <w:sz w:val="18"/>
                <w:szCs w:val="18"/>
                <w:color w:val="auto"/>
                <w:w w:val="85"/>
              </w:rPr>
              <w:t>6.16</w:t>
            </w:r>
          </w:p>
        </w:tc>
        <w:tc>
          <w:tcPr>
            <w:tcW w:w="1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$ 57.030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21,142,473</w:t>
            </w:r>
          </w:p>
        </w:tc>
        <w:tc>
          <w:tcPr>
            <w:tcW w:w="10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5"/>
              </w:rPr>
              <w:t>$ 53.844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Stock Purchase Plan</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Schlumberger Discounted Stock Purchase Plan, Schlumberger is authorized to issue up to 22,012,245 shares of common stock to its employees. Under the terms of the Plan, employees can choose each year to have up to 10% of their annual earnings withheld to purchase Schlumberger common stock. The purchase price of the stock is 85% of the lower of its beginning or end of the Plan year market price. Under the Plan, Schlumberger sold 2,677,842, 1,752,833 and 1,431,309 shares to employees in 2002, 2001 and 2000, respectively. Proforma compensation cost has been computed for the fair value of the employees’ purchase rights, which was estimated using the Black-Scholes model with the following assumptions for 2002, 2001 and 2000: Dividend of $0.75; expected life of one year; expected volatility of 34% for 2002, 36% for 2001 and 38% for 2000; and risk-free interest rates of 1.74% for 2002, 3.03% for 2001, 5.71% for 2000. The weighted-average fair value of those purchase rights granted in 2002, 2001 and 2000, was $13.324, $15.540 and $23.141,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Expense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subsidiaries operate in more than 100 taxing jurisdictions where statutory tax rates generally vary from 0% to 50%.</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2002, pretax book income in the US included gains from a business divestiture aggregating approximately $143 million. Pretax book income from continuing operations subject to US and non-US income taxes for each of the three years ended December 31,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2002</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40"/>
              <w:spacing w:after="0"/>
              <w:rPr>
                <w:sz w:val="20"/>
                <w:szCs w:val="20"/>
                <w:color w:val="auto"/>
              </w:rPr>
            </w:pPr>
            <w:r>
              <w:rPr>
                <w:rFonts w:ascii="Arial" w:cs="Arial" w:eastAsia="Arial" w:hAnsi="Arial"/>
                <w:sz w:val="14"/>
                <w:szCs w:val="14"/>
                <w:b w:val="1"/>
                <w:bCs w:val="1"/>
                <w:color w:val="auto"/>
                <w:w w:val="89"/>
              </w:rPr>
              <w:t>2001</w:t>
            </w: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Outside United States</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(2,376)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7"/>
              </w:rPr>
              <w:t>(2,227)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-29210</wp:posOffset>
            </wp:positionV>
            <wp:extent cx="3898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444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4475" cy="29845"/>
                    </a:xfrm>
                    <a:prstGeom prst="rect">
                      <a:avLst/>
                    </a:prstGeom>
                    <a:noFill/>
                  </pic:spPr>
                </pic:pic>
              </a:graphicData>
            </a:graphic>
          </wp:anchor>
        </w:drawing>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Schlumberger has net deferred tax assets of $583 million on December 31, 2002 including a partial valuation allowance of $147 million relating to a certain European net operating loss, and $488 million on December 31, 2001. Significant components of net deferred tax assets at December 31, 2002 included postretirement and other long-term benefits ($200 million), current employee benefits ($225 million), fixed assets, inventory and other ($123 million) and net operating losses ($182 million less a partial valuation allowance of $147 million). At December 31, 2001, it included postretirement and other long-term benefits ($186 million), current employee benefits ($93 million), fixed assets, inventory and other ($120 million) and net operating losses ($49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right"/>
              <w:ind w:right="30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343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1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209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100" w:type="dxa"/>
            <w:vAlign w:val="bottom"/>
          </w:tcPr>
          <w:p>
            <w:pPr>
              <w:spacing w:after="0"/>
              <w:rPr>
                <w:sz w:val="18"/>
                <w:szCs w:val="18"/>
                <w:color w:val="auto"/>
              </w:rPr>
            </w:pP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Consolidated taxes on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283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Schlumberger reported several charges/credits in continuing operations in each of the three years. These are more fully described in the note </w:t>
      </w:r>
      <w:r>
        <w:rPr>
          <w:rFonts w:ascii="Arial" w:cs="Arial" w:eastAsia="Arial" w:hAnsi="Arial"/>
          <w:sz w:val="16"/>
          <w:szCs w:val="16"/>
          <w:i w:val="1"/>
          <w:iCs w:val="1"/>
          <w:color w:val="auto"/>
        </w:rPr>
        <w:t>Charges –</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Continuing Operations </w:t>
      </w:r>
      <w:r>
        <w:rPr>
          <w:rFonts w:ascii="Arial" w:cs="Arial" w:eastAsia="Arial" w:hAnsi="Arial"/>
          <w:sz w:val="18"/>
          <w:szCs w:val="18"/>
          <w:color w:val="auto"/>
        </w:rPr>
        <w:t>on page 45. A reconciliation of the US statutory federal tax rate (35%) to the consolidated effective tax rate is: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37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2002</w:t>
            </w:r>
          </w:p>
        </w:tc>
        <w:tc>
          <w:tcPr>
            <w:tcW w:w="15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(benefit) rate</w:t>
            </w:r>
          </w:p>
        </w:tc>
        <w:tc>
          <w:tcPr>
            <w:tcW w:w="3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5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US state income taxes</w:t>
            </w:r>
          </w:p>
        </w:tc>
        <w:tc>
          <w:tcPr>
            <w:tcW w:w="294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 %</w:t>
            </w:r>
          </w:p>
        </w:tc>
        <w:tc>
          <w:tcPr>
            <w:tcW w:w="1500" w:type="dxa"/>
            <w:vAlign w:val="bottom"/>
            <w:gridSpan w:val="3"/>
          </w:tcPr>
          <w:p>
            <w:pPr>
              <w:jc w:val="right"/>
              <w:ind w:right="740"/>
              <w:spacing w:after="0"/>
              <w:rPr>
                <w:sz w:val="20"/>
                <w:szCs w:val="20"/>
                <w:color w:val="auto"/>
              </w:rPr>
            </w:pPr>
            <w:r>
              <w:rPr>
                <w:rFonts w:ascii="Arial" w:cs="Arial" w:eastAsia="Arial" w:hAnsi="Arial"/>
                <w:sz w:val="18"/>
                <w:szCs w:val="18"/>
                <w:color w:val="auto"/>
              </w:rPr>
              <w:t>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3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15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Valuation allowance</w:t>
            </w:r>
          </w:p>
        </w:tc>
        <w:tc>
          <w:tcPr>
            <w:tcW w:w="3740" w:type="dxa"/>
            <w:vAlign w:val="bottom"/>
            <w:gridSpan w:val="3"/>
          </w:tcPr>
          <w:p>
            <w:pPr>
              <w:jc w:val="right"/>
              <w:ind w:right="38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Charges and credits</w:t>
            </w:r>
          </w:p>
        </w:tc>
        <w:tc>
          <w:tcPr>
            <w:tcW w:w="3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15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5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66675</wp:posOffset>
            </wp:positionV>
            <wp:extent cx="20129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66675</wp:posOffset>
            </wp:positionV>
            <wp:extent cx="20129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66675</wp:posOffset>
            </wp:positionV>
            <wp:extent cx="20129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Schlumberger’s effective tax rate, excluding charges and credits, was 26%, 32% and 24% in 2002, 2001 and 2000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 and Lease Commitments</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Total rental expense was $458 million in 2002, $390 million in 2001 and $287 million in 2000. Future minimum rental commitments under noncancelable leases for years ending December 31 are: $219 million in 2003; $187 million in 2004; $130 million in 2005; $109 million in 2006; and $117 million in 2007. For the ensuing three five-year periods, these commitments decrease from $309 million to $19 million. The minimum rentals over the remaining terms of the leases aggregate to $29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three reportable business segments: Oilfield Services (OFS), SchlumbergerSema (SLSEMA) and Other.</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Oilfield Services segment falls into four clearly defined economic and geographical areas and is evaluated on the following basis: North America is a major self-contained market; Latin America comprises regional markets that share a common dependence on the United States; Europe is a major self-contained market that includes the CIS and West Africa, whose economy is increasingly linked to that of Europe; Middle East/Asia includes the remainder of the Eastern Hemisphere, which consists of many countries at different stages of economic development that share a common dependence on the oil and gas industry. The Oilfield Services segment provides virtually all exploration and production services required during the life of an oil and gas reservoir. Schlumberger believes that all the products/services are interrelated and expects similar performance from each.</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SchlumbergerSema segment falls into three clearly defined economic and geographic areas and is evaluated on the following basis: North and South America is a major self-contained market; Europe is a major self-contained market that includes the Middle East and Africa; Asia includes the remainder of the Eastern Hemisphere. The SchlumbergerSema segment is a leading information technology services company providing domain expertise and global capabilities delivered on a local basis. SchlumbergerSema has proven capabilities delivering consulting, systems integration, managed services and products serving the telecommunications, energy &amp; utilities, finance, transport, public sector markets and oil and gas markets.</w:t>
      </w:r>
    </w:p>
    <w:p>
      <w:pPr>
        <w:spacing w:after="0" w:line="10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Other segment comprises principally the Cards, Terminals and Meters North America activities. In 2001 and 2000, also included are the divested Resource Management Services businesses.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years ended December 31, 2002, 2001 and 2000, by segment,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2 0 0 2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5"/>
          </w:tcPr>
          <w:p>
            <w:pPr>
              <w:jc w:val="right"/>
              <w:ind w:right="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Depn.</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Income after</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100" w:type="dxa"/>
            <w:vAlign w:val="bottom"/>
          </w:tcPr>
          <w:p>
            <w:pPr>
              <w:spacing w:after="0"/>
              <w:rPr>
                <w:sz w:val="12"/>
                <w:szCs w:val="12"/>
                <w:color w:val="auto"/>
              </w:rPr>
            </w:pPr>
          </w:p>
        </w:tc>
        <w:tc>
          <w:tcPr>
            <w:tcW w:w="8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9"/>
              </w:rPr>
              <w:t>Tax</w:t>
            </w:r>
          </w:p>
        </w:tc>
        <w:tc>
          <w:tcPr>
            <w:tcW w:w="8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1"/>
              </w:rPr>
              <w:t>Income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&amp;</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2"/>
              </w:rPr>
              <w:t>Revenue</w:t>
            </w:r>
          </w:p>
        </w:tc>
        <w:tc>
          <w:tcPr>
            <w:tcW w:w="8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tax &amp; MI</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before tax</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Assets</w:t>
            </w:r>
          </w:p>
        </w:tc>
        <w:tc>
          <w:tcPr>
            <w:tcW w:w="48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Amortn.</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North America</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2,780</w:t>
            </w:r>
          </w:p>
        </w:tc>
        <w:tc>
          <w:tcPr>
            <w:tcW w:w="4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254</w:t>
            </w:r>
          </w:p>
        </w:tc>
        <w:tc>
          <w:tcPr>
            <w:tcW w:w="48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4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409</w:t>
            </w:r>
          </w:p>
        </w:tc>
        <w:tc>
          <w:tcPr>
            <w:tcW w:w="4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3,154</w:t>
            </w:r>
          </w:p>
        </w:tc>
        <w:tc>
          <w:tcPr>
            <w:tcW w:w="540" w:type="dxa"/>
            <w:vAlign w:val="bottom"/>
            <w:gridSpan w:val="2"/>
          </w:tcPr>
          <w:p>
            <w:pPr>
              <w:ind w:left="48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456</w:t>
            </w:r>
          </w:p>
        </w:tc>
        <w:tc>
          <w:tcPr>
            <w:tcW w:w="100" w:type="dxa"/>
            <w:vAlign w:val="bottom"/>
          </w:tcPr>
          <w:p>
            <w:pPr>
              <w:spacing w:after="0"/>
              <w:rPr>
                <w:sz w:val="12"/>
                <w:szCs w:val="12"/>
                <w:color w:val="auto"/>
              </w:rPr>
            </w:pPr>
          </w:p>
        </w:tc>
        <w:tc>
          <w:tcPr>
            <w:tcW w:w="5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Latin America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1,443</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Europe/CIS/W. Africa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2,678</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1,919</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Middle East/Asia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2,024</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420"/>
              <w:spacing w:after="0"/>
              <w:rPr>
                <w:sz w:val="20"/>
                <w:szCs w:val="20"/>
                <w:color w:val="auto"/>
              </w:rPr>
            </w:pPr>
            <w:r>
              <w:rPr>
                <w:rFonts w:ascii="Arial" w:cs="Arial" w:eastAsia="Arial" w:hAnsi="Arial"/>
                <w:sz w:val="14"/>
                <w:szCs w:val="14"/>
                <w:color w:val="auto"/>
              </w:rPr>
              <w:t>Eliminations/Other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50</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2,762</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11,302</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SLSEMA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North &amp; South America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545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2"/>
                <w:szCs w:val="12"/>
                <w:color w:val="auto"/>
              </w:rPr>
            </w:pPr>
          </w:p>
        </w:tc>
        <w:tc>
          <w:tcPr>
            <w:tcW w:w="8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Europe/M. East/Africa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2,541</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Asia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369</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Eliminations/Other</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3,928</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1,451</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14"/>
                <w:szCs w:val="14"/>
                <w:color w:val="auto"/>
              </w:rPr>
              <w:t>Corporate eliminations &amp; Other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24"/>
                <w:szCs w:val="2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2,754</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13,242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19,435</w:t>
            </w:r>
          </w:p>
        </w:tc>
        <w:tc>
          <w:tcPr>
            <w:tcW w:w="540" w:type="dxa"/>
            <w:vAlign w:val="bottom"/>
            <w:gridSpan w:val="2"/>
            <w:shd w:val="clear" w:color="auto" w:fill="CCEEFF"/>
          </w:tcPr>
          <w:p>
            <w:pPr>
              <w:ind w:left="48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1,535</w:t>
            </w:r>
          </w:p>
        </w:tc>
        <w:tc>
          <w:tcPr>
            <w:tcW w:w="1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(364)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(3,168)</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(2,227)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-715010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-715010</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-715010</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-715010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-715010</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-715010</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-715010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-715010</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-715010</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-715010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-715010</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-715010</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-715010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-715010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-715010</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-715010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-715010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-715010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-715010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-715010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-715010</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jc w:val="right"/>
              <w:ind w:right="2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2 0 0 1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7"/>
              </w:rPr>
              <w:t>Depn.</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Income after</w:t>
            </w:r>
          </w:p>
        </w:tc>
        <w:tc>
          <w:tcPr>
            <w:tcW w:w="10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80" w:type="dxa"/>
            <w:vAlign w:val="bottom"/>
          </w:tcPr>
          <w:p>
            <w:pPr>
              <w:spacing w:after="0"/>
              <w:rPr>
                <w:sz w:val="12"/>
                <w:szCs w:val="12"/>
                <w:color w:val="auto"/>
              </w:rPr>
            </w:pPr>
          </w:p>
        </w:tc>
        <w:tc>
          <w:tcPr>
            <w:tcW w:w="92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Tax</w:t>
            </w:r>
          </w:p>
        </w:tc>
        <w:tc>
          <w:tcPr>
            <w:tcW w:w="40" w:type="dxa"/>
            <w:vAlign w:val="bottom"/>
          </w:tcPr>
          <w:p>
            <w:pPr>
              <w:spacing w:after="0"/>
              <w:rPr>
                <w:sz w:val="12"/>
                <w:szCs w:val="12"/>
                <w:color w:val="auto"/>
              </w:rPr>
            </w:pPr>
          </w:p>
        </w:tc>
        <w:tc>
          <w:tcPr>
            <w:tcW w:w="1040" w:type="dxa"/>
            <w:vAlign w:val="bottom"/>
            <w:gridSpan w:val="5"/>
          </w:tcPr>
          <w:p>
            <w:pPr>
              <w:jc w:val="right"/>
              <w:ind w:right="580"/>
              <w:spacing w:after="0" w:line="149" w:lineRule="exact"/>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&amp;</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82"/>
              </w:rPr>
              <w:t>Revenue</w:t>
            </w:r>
          </w:p>
        </w:tc>
        <w:tc>
          <w:tcPr>
            <w:tcW w:w="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4"/>
                <w:szCs w:val="14"/>
                <w:b w:val="1"/>
                <w:bCs w:val="1"/>
                <w:color w:val="auto"/>
              </w:rPr>
              <w:t>tax &amp; MI</w:t>
            </w:r>
          </w:p>
        </w:tc>
        <w:tc>
          <w:tcPr>
            <w:tcW w:w="1000" w:type="dxa"/>
            <w:vAlign w:val="bottom"/>
            <w:gridSpan w:val="5"/>
          </w:tcPr>
          <w:p>
            <w:pPr>
              <w:ind w:left="4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6"/>
          </w:tcPr>
          <w:p>
            <w:pPr>
              <w:ind w:left="20"/>
              <w:spacing w:after="0"/>
              <w:rPr>
                <w:sz w:val="20"/>
                <w:szCs w:val="20"/>
                <w:color w:val="auto"/>
              </w:rPr>
            </w:pPr>
            <w:r>
              <w:rPr>
                <w:rFonts w:ascii="Arial" w:cs="Arial" w:eastAsia="Arial" w:hAnsi="Arial"/>
                <w:sz w:val="14"/>
                <w:szCs w:val="14"/>
                <w:b w:val="1"/>
                <w:bCs w:val="1"/>
                <w:color w:val="auto"/>
              </w:rPr>
              <w:t>Expense</w:t>
            </w:r>
          </w:p>
        </w:tc>
        <w:tc>
          <w:tcPr>
            <w:tcW w:w="1080" w:type="dxa"/>
            <w:vAlign w:val="bottom"/>
            <w:gridSpan w:val="6"/>
          </w:tcPr>
          <w:p>
            <w:pPr>
              <w:spacing w:after="0"/>
              <w:rPr>
                <w:sz w:val="20"/>
                <w:szCs w:val="20"/>
                <w:color w:val="auto"/>
              </w:rPr>
            </w:pPr>
            <w:r>
              <w:rPr>
                <w:rFonts w:ascii="Arial" w:cs="Arial" w:eastAsia="Arial" w:hAnsi="Arial"/>
                <w:sz w:val="14"/>
                <w:szCs w:val="14"/>
                <w:b w:val="1"/>
                <w:bCs w:val="1"/>
                <w:color w:val="auto"/>
              </w:rPr>
              <w:t>before tax</w:t>
            </w:r>
          </w:p>
        </w:tc>
        <w:tc>
          <w:tcPr>
            <w:tcW w:w="40" w:type="dxa"/>
            <w:vAlign w:val="bottom"/>
          </w:tcPr>
          <w:p>
            <w:pPr>
              <w:spacing w:after="0"/>
              <w:rPr>
                <w:sz w:val="15"/>
                <w:szCs w:val="15"/>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Assets</w:t>
            </w:r>
          </w:p>
        </w:tc>
        <w:tc>
          <w:tcPr>
            <w:tcW w:w="600" w:type="dxa"/>
            <w:vAlign w:val="bottom"/>
            <w:gridSpan w:val="5"/>
          </w:tcPr>
          <w:p>
            <w:pPr>
              <w:spacing w:after="0"/>
              <w:rPr>
                <w:sz w:val="20"/>
                <w:szCs w:val="20"/>
                <w:color w:val="auto"/>
              </w:rPr>
            </w:pPr>
            <w:r>
              <w:rPr>
                <w:rFonts w:ascii="Arial" w:cs="Arial" w:eastAsia="Arial" w:hAnsi="Arial"/>
                <w:sz w:val="14"/>
                <w:szCs w:val="14"/>
                <w:b w:val="1"/>
                <w:bCs w:val="1"/>
                <w:color w:val="auto"/>
              </w:rPr>
              <w:t>Amortn.</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North America</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3,654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2"/>
                <w:szCs w:val="12"/>
                <w:color w:val="auto"/>
              </w:rPr>
            </w:pPr>
          </w:p>
        </w:tc>
        <w:tc>
          <w:tcPr>
            <w:tcW w:w="7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852</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3,070</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Latin America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1,582</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Europe/CIS/W. Africa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2,341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344</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2,022</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Middle East/Asia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1,741</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420"/>
              <w:spacing w:after="0"/>
              <w:rPr>
                <w:sz w:val="20"/>
                <w:szCs w:val="20"/>
                <w:color w:val="auto"/>
              </w:rPr>
            </w:pPr>
            <w:r>
              <w:rPr>
                <w:rFonts w:ascii="Arial" w:cs="Arial" w:eastAsia="Arial" w:hAnsi="Arial"/>
                <w:sz w:val="14"/>
                <w:szCs w:val="14"/>
                <w:color w:val="auto"/>
              </w:rPr>
              <w:t>Eliminations/Other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(93)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(48)</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2,532</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1,803</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10,947</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SLSEMA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North &amp; South America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(52)</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906</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Europe/M. East/Africa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3,763</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Asia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508</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Eliminations/Other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2,321</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7,498</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1,465</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14"/>
                <w:szCs w:val="14"/>
                <w:color w:val="auto"/>
              </w:rPr>
              <w:t>Corporate eliminations &amp; Other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(203)</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(303)</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(114)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(420)</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2,416</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356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13,878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$ 22,326</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(380)</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1,096</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vMerge w:val="restart"/>
          </w:tcPr>
          <w:p>
            <w:pPr>
              <w:jc w:val="right"/>
              <w:ind w:right="2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2 0 0 0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2"/>
              </w:rPr>
              <w:t>Depn.</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Income after</w:t>
            </w:r>
          </w:p>
        </w:tc>
        <w:tc>
          <w:tcPr>
            <w:tcW w:w="80" w:type="dxa"/>
            <w:vAlign w:val="bottom"/>
          </w:tcPr>
          <w:p>
            <w:pPr>
              <w:spacing w:after="0"/>
              <w:rPr>
                <w:sz w:val="12"/>
                <w:szCs w:val="12"/>
                <w:color w:val="auto"/>
              </w:rPr>
            </w:pPr>
          </w:p>
        </w:tc>
        <w:tc>
          <w:tcPr>
            <w:tcW w:w="9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Tax</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Income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&amp;</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tax &amp; MI</w:t>
            </w:r>
          </w:p>
        </w:tc>
        <w:tc>
          <w:tcPr>
            <w:tcW w:w="80" w:type="dxa"/>
            <w:vAlign w:val="bottom"/>
          </w:tcPr>
          <w:p>
            <w:pPr>
              <w:spacing w:after="0"/>
              <w:rPr>
                <w:sz w:val="15"/>
                <w:szCs w:val="15"/>
                <w:color w:val="auto"/>
              </w:rPr>
            </w:pPr>
          </w:p>
        </w:tc>
        <w:tc>
          <w:tcPr>
            <w:tcW w:w="9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5"/>
                <w:szCs w:val="15"/>
                <w:color w:val="auto"/>
              </w:rPr>
            </w:pPr>
          </w:p>
        </w:tc>
        <w:tc>
          <w:tcPr>
            <w:tcW w:w="920" w:type="dxa"/>
            <w:vAlign w:val="bottom"/>
            <w:gridSpan w:val="5"/>
          </w:tcPr>
          <w:p>
            <w:pPr>
              <w:ind w:left="20"/>
              <w:spacing w:after="0"/>
              <w:rPr>
                <w:sz w:val="20"/>
                <w:szCs w:val="20"/>
                <w:color w:val="auto"/>
              </w:rPr>
            </w:pPr>
            <w:r>
              <w:rPr>
                <w:rFonts w:ascii="Arial" w:cs="Arial" w:eastAsia="Arial" w:hAnsi="Arial"/>
                <w:sz w:val="14"/>
                <w:szCs w:val="14"/>
                <w:b w:val="1"/>
                <w:bCs w:val="1"/>
                <w:color w:val="auto"/>
              </w:rPr>
              <w:t>Expense</w:t>
            </w:r>
          </w:p>
        </w:tc>
        <w:tc>
          <w:tcPr>
            <w:tcW w:w="40" w:type="dxa"/>
            <w:vAlign w:val="bottom"/>
          </w:tcPr>
          <w:p>
            <w:pPr>
              <w:spacing w:after="0"/>
              <w:rPr>
                <w:sz w:val="15"/>
                <w:szCs w:val="15"/>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rPr>
              <w:t>before tax</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5"/>
                <w:szCs w:val="15"/>
                <w:color w:val="auto"/>
              </w:rPr>
            </w:pP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rPr>
              <w:t>Amortn.</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North America</w:t>
            </w:r>
          </w:p>
        </w:tc>
        <w:tc>
          <w:tcPr>
            <w:tcW w:w="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2,459</w:t>
            </w:r>
          </w:p>
        </w:tc>
        <w:tc>
          <w:tcPr>
            <w:tcW w:w="380" w:type="dxa"/>
            <w:vAlign w:val="bottom"/>
          </w:tcPr>
          <w:p>
            <w:pPr>
              <w:spacing w:after="0"/>
              <w:rPr>
                <w:sz w:val="12"/>
                <w:szCs w:val="12"/>
                <w:color w:val="auto"/>
              </w:rPr>
            </w:pPr>
          </w:p>
        </w:tc>
        <w:tc>
          <w:tcPr>
            <w:tcW w:w="18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235</w:t>
            </w:r>
          </w:p>
        </w:tc>
        <w:tc>
          <w:tcPr>
            <w:tcW w:w="380" w:type="dxa"/>
            <w:vAlign w:val="bottom"/>
          </w:tcPr>
          <w:p>
            <w:pPr>
              <w:spacing w:after="0"/>
              <w:rPr>
                <w:sz w:val="12"/>
                <w:szCs w:val="12"/>
                <w:color w:val="auto"/>
              </w:rPr>
            </w:pPr>
          </w:p>
        </w:tc>
        <w:tc>
          <w:tcPr>
            <w:tcW w:w="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4"/>
          </w:tcPr>
          <w:p>
            <w:pPr>
              <w:jc w:val="right"/>
              <w:ind w:right="440"/>
              <w:spacing w:after="0" w:line="149" w:lineRule="exact"/>
              <w:rPr>
                <w:sz w:val="20"/>
                <w:szCs w:val="20"/>
                <w:color w:val="auto"/>
              </w:rPr>
            </w:pPr>
            <w:r>
              <w:rPr>
                <w:rFonts w:ascii="Arial" w:cs="Arial" w:eastAsia="Arial" w:hAnsi="Arial"/>
                <w:sz w:val="14"/>
                <w:szCs w:val="14"/>
                <w:color w:val="auto"/>
              </w:rPr>
              <w:t>380</w:t>
            </w:r>
          </w:p>
        </w:tc>
        <w:tc>
          <w:tcPr>
            <w:tcW w:w="12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2,985</w:t>
            </w:r>
          </w:p>
        </w:tc>
        <w:tc>
          <w:tcPr>
            <w:tcW w:w="440" w:type="dxa"/>
            <w:vAlign w:val="bottom"/>
          </w:tcPr>
          <w:p>
            <w:pPr>
              <w:spacing w:after="0"/>
              <w:rPr>
                <w:sz w:val="12"/>
                <w:szCs w:val="12"/>
                <w:color w:val="auto"/>
              </w:rPr>
            </w:pPr>
          </w:p>
        </w:tc>
        <w:tc>
          <w:tcPr>
            <w:tcW w:w="1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403</w:t>
            </w:r>
          </w:p>
        </w:tc>
        <w:tc>
          <w:tcPr>
            <w:tcW w:w="80" w:type="dxa"/>
            <w:vAlign w:val="bottom"/>
          </w:tcPr>
          <w:p>
            <w:pPr>
              <w:spacing w:after="0"/>
              <w:rPr>
                <w:sz w:val="12"/>
                <w:szCs w:val="12"/>
                <w:color w:val="auto"/>
              </w:rPr>
            </w:pPr>
          </w:p>
        </w:tc>
        <w:tc>
          <w:tcPr>
            <w:tcW w:w="48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Latin America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1,305</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Europe/CIS/W. Africa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ind w:right="440"/>
              <w:spacing w:after="0" w:line="149" w:lineRule="exact"/>
              <w:rPr>
                <w:sz w:val="20"/>
                <w:szCs w:val="20"/>
                <w:color w:val="auto"/>
              </w:rPr>
            </w:pPr>
            <w:r>
              <w:rPr>
                <w:rFonts w:ascii="Arial" w:cs="Arial" w:eastAsia="Arial" w:hAnsi="Arial"/>
                <w:sz w:val="14"/>
                <w:szCs w:val="14"/>
                <w:color w:val="auto"/>
              </w:rPr>
              <w:t>217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Middle East/Asia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303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1,475</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420"/>
              <w:spacing w:after="0"/>
              <w:rPr>
                <w:sz w:val="20"/>
                <w:szCs w:val="20"/>
                <w:color w:val="auto"/>
              </w:rPr>
            </w:pPr>
            <w:r>
              <w:rPr>
                <w:rFonts w:ascii="Arial" w:cs="Arial" w:eastAsia="Arial" w:hAnsi="Arial"/>
                <w:sz w:val="14"/>
                <w:szCs w:val="14"/>
                <w:color w:val="auto"/>
              </w:rPr>
              <w:t>Eliminations/Other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220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right"/>
              <w:ind w:right="440"/>
              <w:spacing w:after="0"/>
              <w:rPr>
                <w:sz w:val="20"/>
                <w:szCs w:val="20"/>
                <w:color w:val="auto"/>
              </w:rPr>
            </w:pPr>
            <w:r>
              <w:rPr>
                <w:rFonts w:ascii="Arial" w:cs="Arial" w:eastAsia="Arial" w:hAnsi="Arial"/>
                <w:sz w:val="14"/>
                <w:szCs w:val="14"/>
                <w:color w:val="auto"/>
              </w:rPr>
              <w:t>55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1,585</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gridSpan w:val="3"/>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gridSpan w:val="2"/>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gridSpan w:val="2"/>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7,253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1,041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9,039</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SLSEMA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North &amp; South America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ind w:right="400"/>
              <w:spacing w:after="0" w:line="149" w:lineRule="exact"/>
              <w:rPr>
                <w:sz w:val="20"/>
                <w:szCs w:val="20"/>
                <w:color w:val="auto"/>
              </w:rPr>
            </w:pPr>
            <w:r>
              <w:rPr>
                <w:rFonts w:ascii="Arial" w:cs="Arial" w:eastAsia="Arial" w:hAnsi="Arial"/>
                <w:sz w:val="14"/>
                <w:szCs w:val="14"/>
                <w:color w:val="auto"/>
              </w:rPr>
              <w:t>(67)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637</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Europe/M. East/Africa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Asia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ind w:right="440"/>
              <w:spacing w:after="0" w:line="14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Eliminations/Other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3"/>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742</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3"/>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1,913</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14"/>
                <w:szCs w:val="14"/>
                <w:color w:val="auto"/>
              </w:rPr>
              <w:t>Corporate eliminations &amp; Other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340"/>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4"/>
          </w:tcPr>
          <w:p>
            <w:pPr>
              <w:jc w:val="right"/>
              <w:ind w:right="400"/>
              <w:spacing w:after="0"/>
              <w:rPr>
                <w:sz w:val="20"/>
                <w:szCs w:val="20"/>
                <w:color w:val="auto"/>
              </w:rPr>
            </w:pPr>
            <w:r>
              <w:rPr>
                <w:rFonts w:ascii="Arial" w:cs="Arial" w:eastAsia="Arial" w:hAnsi="Arial"/>
                <w:sz w:val="14"/>
                <w:szCs w:val="14"/>
                <w:color w:val="auto"/>
              </w:rPr>
              <w:t>(206)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5,479</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3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3"/>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9,545</w:t>
            </w:r>
          </w:p>
        </w:tc>
        <w:tc>
          <w:tcPr>
            <w:tcW w:w="380" w:type="dxa"/>
            <w:vAlign w:val="bottom"/>
            <w:shd w:val="clear" w:color="auto" w:fill="CCEEFF"/>
          </w:tcPr>
          <w:p>
            <w:pPr>
              <w:spacing w:after="0"/>
              <w:rPr>
                <w:sz w:val="12"/>
                <w:szCs w:val="12"/>
                <w:color w:val="auto"/>
              </w:rPr>
            </w:pPr>
          </w:p>
        </w:tc>
        <w:tc>
          <w:tcPr>
            <w:tcW w:w="1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3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17,173</w:t>
            </w:r>
          </w:p>
        </w:tc>
        <w:tc>
          <w:tcPr>
            <w:tcW w:w="4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1,255</w:t>
            </w:r>
          </w:p>
        </w:tc>
        <w:tc>
          <w:tcPr>
            <w:tcW w:w="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297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ind w:right="400"/>
              <w:spacing w:after="0" w:line="149" w:lineRule="exact"/>
              <w:rPr>
                <w:sz w:val="20"/>
                <w:szCs w:val="20"/>
                <w:color w:val="auto"/>
              </w:rPr>
            </w:pPr>
            <w:r>
              <w:rPr>
                <w:rFonts w:ascii="Arial" w:cs="Arial" w:eastAsia="Arial" w:hAnsi="Arial"/>
                <w:sz w:val="14"/>
                <w:szCs w:val="14"/>
                <w:color w:val="auto"/>
              </w:rPr>
              <w:t>(273)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934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-4864100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-4864100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-4864100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-4864100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-4864100</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-4864100</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-4864100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-4864100</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-4864100</wp:posOffset>
            </wp:positionV>
            <wp:extent cx="3873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-4864100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-4864100</wp:posOffset>
            </wp:positionV>
            <wp:extent cx="2159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-4864100</wp:posOffset>
            </wp:positionV>
            <wp:extent cx="3873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-4864100</wp:posOffset>
            </wp:positionV>
            <wp:extent cx="30416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-4864100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-4864100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-4864100</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-4864100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-4864100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-4864100</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-4177665</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-4177665</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-4177665</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-713105</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-713105</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-713105</wp:posOffset>
            </wp:positionV>
            <wp:extent cx="387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-713105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-713105</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-713105</wp:posOffset>
            </wp:positionV>
            <wp:extent cx="3873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-713105</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-713105</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-713105</wp:posOffset>
            </wp:positionV>
            <wp:extent cx="3873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-713105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-713105</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-713105</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-713105</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-713105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-713105</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-713105</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-713105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-713105</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-713105</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-713105</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-713105</wp:posOffset>
            </wp:positionV>
            <wp:extent cx="2159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-27305</wp:posOffset>
            </wp:positionV>
            <wp:extent cx="40703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pacing w:after="0" w:line="228" w:lineRule="exact"/>
        <w:rPr>
          <w:sz w:val="20"/>
          <w:szCs w:val="20"/>
          <w:color w:val="auto"/>
        </w:rPr>
      </w:pPr>
    </w:p>
    <w:p>
      <w:pPr>
        <w:jc w:val="both"/>
        <w:ind w:right="340"/>
        <w:spacing w:after="0" w:line="332" w:lineRule="auto"/>
        <w:rPr>
          <w:sz w:val="20"/>
          <w:szCs w:val="20"/>
          <w:color w:val="auto"/>
        </w:rPr>
      </w:pPr>
      <w:r>
        <w:rPr>
          <w:rFonts w:ascii="Arial" w:cs="Arial" w:eastAsia="Arial" w:hAnsi="Arial"/>
          <w:sz w:val="16"/>
          <w:szCs w:val="16"/>
          <w:color w:val="auto"/>
        </w:rPr>
        <w:t>Oilfield Services net income eliminations include certain headquarters administrative costs which are not allocated geographically, manufacturing and certain other operations, and costs maintained at the Oilfield Services level including the WesternGeco minority interest expense.</w:t>
      </w:r>
    </w:p>
    <w:p>
      <w:pPr>
        <w:spacing w:after="0" w:line="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SchlumbergerSema net income eliminations include certain headquarters administrative costs which are not allocated geographically and other costs maintained at the SchlumbergerSema level.</w:t>
      </w:r>
    </w:p>
    <w:p>
      <w:pPr>
        <w:spacing w:after="0" w:line="118"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Corporate income eliminations principally comprise the amortization of goodwill (in 2001 and 2000) and other intangibles, as well as nonoperating expenses, such as certain intersegment charges and interest expense (except as shown above), which are not included in the segments’ income. Corporate assets largely comprise short-term investments and fixed income investments, held to maturity.</w:t>
      </w:r>
    </w:p>
    <w:p>
      <w:pPr>
        <w:sectPr>
          <w:pgSz w:w="11900" w:h="16838" w:orient="portrait"/>
          <w:cols w:equalWidth="0" w:num="1">
            <w:col w:w="11420"/>
          </w:cols>
          <w:pgMar w:left="240" w:top="277" w:right="239" w:bottom="1089"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three years ended December 31, 2002, no single customer exceeded 10% of consolidated revenue.</w:t>
      </w:r>
    </w:p>
    <w:p>
      <w:pPr>
        <w:spacing w:after="0" w:line="15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Schlumberger did not have revenue from third-party customers in its country of domicile during the last three years. In each of the three years, only revenue in the US exceeded 10% of consolidated revenue. Revenue in the US in 2002, 2001 and 2000 was $4.0 billion, $5.1 billion and $3.5 billion,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excludes amounts which are included in the segments’ income (2002 – $4 million: 2001 – $5 million: 2000 – $5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&amp; Amortization and Capital Expenditure include Multiclient seismic data costs.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Pension and Other Benefit Plans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Pension Plans</w:t>
      </w:r>
    </w:p>
    <w:p>
      <w:pPr>
        <w:spacing w:after="0" w:line="8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Schlumberger and its US subsidiary sponsor several defined benefit pension plans that cover substantially all employees. The benefits are based on years of service and compensation on a career-average pay basis. These plans are funded with a trustee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assumed discount rate, compensation increases and return on plan assets used to determine pension expense in 2002 were 7.25%, 3% and 8.5%,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2001, the assumptions were 7.5%, 4.5% and 9%, respectively. In 2000, the assumptions were 7.75%, 4.5% and 9%,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US for 2002, 2001 and 2000, included the following components: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7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26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27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the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10" w:type="dxa"/>
            <w:vAlign w:val="bottom"/>
          </w:tcPr>
          <w:p>
            <w:pPr>
              <w:spacing w:after="0"/>
              <w:rPr>
                <w:sz w:val="18"/>
                <w:szCs w:val="18"/>
                <w:color w:val="auto"/>
              </w:rPr>
            </w:pPr>
          </w:p>
        </w:tc>
        <w:tc>
          <w:tcPr>
            <w:tcW w:w="27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 (actual return: 2002 – $(114); 2001 – $(70); 2000 – $(2))</w:t>
            </w:r>
          </w:p>
        </w:tc>
        <w:tc>
          <w:tcPr>
            <w:tcW w:w="110" w:type="dxa"/>
            <w:vAlign w:val="bottom"/>
            <w:shd w:val="clear" w:color="auto" w:fill="CCEEFF"/>
          </w:tcPr>
          <w:p>
            <w:pPr>
              <w:spacing w:after="0"/>
              <w:rPr>
                <w:sz w:val="18"/>
                <w:szCs w:val="18"/>
                <w:color w:val="auto"/>
              </w:rPr>
            </w:pPr>
          </w:p>
        </w:tc>
        <w:tc>
          <w:tcPr>
            <w:tcW w:w="51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3"/>
              </w:rPr>
              <w:t>(93)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(101)</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Amortization of transition assets</w:t>
            </w:r>
          </w:p>
        </w:tc>
        <w:tc>
          <w:tcPr>
            <w:tcW w:w="110" w:type="dxa"/>
            <w:vAlign w:val="bottom"/>
          </w:tcPr>
          <w:p>
            <w:pPr>
              <w:spacing w:after="0"/>
              <w:rPr>
                <w:sz w:val="18"/>
                <w:szCs w:val="18"/>
                <w:color w:val="auto"/>
              </w:rPr>
            </w:pPr>
          </w:p>
        </w:tc>
        <w:tc>
          <w:tcPr>
            <w:tcW w:w="51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cost/other</w:t>
            </w:r>
          </w:p>
        </w:tc>
        <w:tc>
          <w:tcPr>
            <w:tcW w:w="110" w:type="dxa"/>
            <w:vAlign w:val="bottom"/>
            <w:shd w:val="clear" w:color="auto" w:fill="CCEEFF"/>
          </w:tcPr>
          <w:p>
            <w:pPr>
              <w:spacing w:after="0"/>
              <w:rPr>
                <w:sz w:val="18"/>
                <w:szCs w:val="18"/>
                <w:color w:val="auto"/>
              </w:rPr>
            </w:pPr>
          </w:p>
        </w:tc>
        <w:tc>
          <w:tcPr>
            <w:tcW w:w="2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Amortization of unrecognized net gain</w:t>
            </w:r>
          </w:p>
        </w:tc>
        <w:tc>
          <w:tcPr>
            <w:tcW w:w="110" w:type="dxa"/>
            <w:vAlign w:val="bottom"/>
          </w:tcPr>
          <w:p>
            <w:pPr>
              <w:spacing w:after="0"/>
              <w:rPr>
                <w:sz w:val="19"/>
                <w:szCs w:val="19"/>
                <w:color w:val="auto"/>
              </w:rPr>
            </w:pPr>
          </w:p>
        </w:tc>
        <w:tc>
          <w:tcPr>
            <w:tcW w:w="51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27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pension cost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27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73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0416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25273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273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2000, Schlumberger and its subsidiaries amended their pension plans to improve retirement benefits for active employees.</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change in the projected benefit obligation, plan assets and funded status of the plans on December 31, 2002 and 2001, was as follows: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beginning of the year</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1,254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Service cost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Actuarial losses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end of the year</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1,441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beginning of the year</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1,074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Contribution</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Benefits paid</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end of the year</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Excess of projected benefit obligation over assets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Unrecognized net loss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Contribution receivable</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 at end of the year</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end of the year</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benefits obligation at end of the year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(1,336)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Minimum liability</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Pension liability at end of the year</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-3088640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-3088640</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-3088640</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-3088640</wp:posOffset>
            </wp:positionV>
            <wp:extent cx="34734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-2094230</wp:posOffset>
            </wp:positionV>
            <wp:extent cx="38163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-2094230</wp:posOffset>
            </wp:positionV>
            <wp:extent cx="34734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-1099185</wp:posOffset>
            </wp:positionV>
            <wp:extent cx="38163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-1099185</wp:posOffset>
            </wp:positionV>
            <wp:extent cx="34734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ectPr>
          <w:pgSz w:w="11900" w:h="16838" w:orient="portrait"/>
          <w:cols w:equalWidth="0" w:num="1">
            <w:col w:w="11300"/>
          </w:cols>
          <w:pgMar w:left="240" w:top="280" w:right="359" w:bottom="1440" w:gutter="0" w:footer="0" w:header="0"/>
        </w:sectPr>
      </w:pPr>
    </w:p>
    <w:p>
      <w:pPr>
        <w:spacing w:after="0" w:line="10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Charged to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-103505</wp:posOffset>
            </wp:positionV>
            <wp:extent cx="6517640" cy="1371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tabs>
          <w:tab w:leader="none" w:pos="1080" w:val="left"/>
          <w:tab w:leader="none" w:pos="1300" w:val="left"/>
        </w:tabs>
        <w:rPr>
          <w:sz w:val="20"/>
          <w:szCs w:val="20"/>
          <w:color w:val="auto"/>
        </w:rPr>
      </w:pPr>
      <w:r>
        <w:rPr>
          <w:rFonts w:ascii="Arial" w:cs="Arial" w:eastAsia="Arial" w:hAnsi="Arial"/>
          <w:sz w:val="18"/>
          <w:szCs w:val="18"/>
          <w:b w:val="1"/>
          <w:bCs w:val="1"/>
          <w:color w:val="auto"/>
        </w:rPr>
        <w:t>$  (224)</w:t>
      </w:r>
      <w:r>
        <w:rPr>
          <w:sz w:val="20"/>
          <w:szCs w:val="20"/>
          <w:color w:val="auto"/>
        </w:rPr>
        <w:tab/>
      </w:r>
      <w:r>
        <w:rPr>
          <w:rFonts w:ascii="Arial" w:cs="Arial" w:eastAsia="Arial" w:hAnsi="Arial"/>
          <w:sz w:val="18"/>
          <w:szCs w:val="18"/>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38163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81280</wp:posOffset>
            </wp:positionV>
            <wp:extent cx="34734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40" w:space="720"/>
            <w:col w:w="2140"/>
          </w:cols>
          <w:pgMar w:left="240" w:top="280" w:right="359" w:bottom="1440" w:gutter="0" w:footer="0" w:header="0"/>
          <w:type w:val="continuous"/>
        </w:sectPr>
      </w:pP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The market performance over the last two years has decreased the value of assets held in the US pension plans and has correspondingly increased the amount by which the pension plans are under-funded. As a result of the decline in the value of the pension plan assets and a decline in the interest rates, which increases the present value of the benefit obligations, Schlumberger recorded in the fourth quarter a non-cash charge to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of $224 million. A recovery in market returns in future periods would reverse a portion of the charge.</w:t>
      </w:r>
    </w:p>
    <w:p>
      <w:pPr>
        <w:spacing w:after="0" w:line="13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assumed discount rate, the rate of compensation increases and the expected long-term rate of return on plan assets used to determine the projected benefit obligations were 6.75%, 3% and 8.5%, respectively, in 2002, and 7.25%, 4.5% and 9%, respectively, in 2001. Plan assets, excluding the contribution receivable, on December 31, 2002, consisted of common stocks ($524 million), cash or cash equivalents ($98 million), fixed income investments ($228 million) and other investments ($52 million). On December 31, 2002, there is no investment of the plan assets in Schlumberger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Pension Plans</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funded with trustees in respect to past and current service. For all defined benefit plans, pension expense was $58 million, $52 million and $23 million in 2002, 2001 and 2000, respectively. Based on plan assets and the projected benefit obligation, the only significant defined benefit plan is in the UK.</w:t>
      </w:r>
    </w:p>
    <w:p>
      <w:pPr>
        <w:sectPr>
          <w:pgSz w:w="11900" w:h="16838" w:orient="portrait"/>
          <w:cols w:equalWidth="0" w:num="1">
            <w:col w:w="11300"/>
          </w:cols>
          <w:pgMar w:left="240" w:top="280" w:right="359" w:bottom="1440" w:gutter="0" w:footer="0" w:header="0"/>
          <w:type w:val="continuous"/>
        </w:sectPr>
      </w:pPr>
    </w:p>
    <w:bookmarkStart w:id="32" w:name="page33"/>
    <w:bookmarkEnd w:id="32"/>
    <w:p>
      <w:pPr>
        <w:ind w:righ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assumed discount rate, compensation increases and return on plan assets used to determine pension expense in 2002 were 5.75%, 4.0% and 9.0% respectively. In 2001, the assumptions were 6%, 4% and 9%, respectively.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pension cost in the UK plan for 2002, 2001 (including the Sema plc plans) and 2000 (translated into US dollars at the average exchange rate for the periods), included the following components: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i w:val="1"/>
                <w:iCs w:val="1"/>
                <w:color w:val="auto"/>
                <w:w w:val="90"/>
              </w:rPr>
              <w:t>(Stated in millions)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67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3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3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67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the period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$ 58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7"/>
              </w:rPr>
              <w:t>Expected return on plan assets (actual return: 2002—($147); 2001—($47); 2000 ($28)</w:t>
            </w:r>
          </w:p>
        </w:tc>
        <w:tc>
          <w:tcPr>
            <w:tcW w:w="7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(91)</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(34)</w:t>
            </w:r>
          </w:p>
        </w:tc>
      </w:tr>
      <w:tr>
        <w:trPr>
          <w:trHeight w:val="228"/>
        </w:trPr>
        <w:tc>
          <w:tcPr>
            <w:tcW w:w="6720" w:type="dxa"/>
            <w:vAlign w:val="bottom"/>
          </w:tcPr>
          <w:p>
            <w:pPr>
              <w:spacing w:after="0"/>
              <w:rPr>
                <w:sz w:val="20"/>
                <w:szCs w:val="20"/>
                <w:color w:val="auto"/>
              </w:rPr>
            </w:pPr>
            <w:r>
              <w:rPr>
                <w:rFonts w:ascii="Arial" w:cs="Arial" w:eastAsia="Arial" w:hAnsi="Arial"/>
                <w:sz w:val="18"/>
                <w:szCs w:val="18"/>
                <w:color w:val="auto"/>
              </w:rPr>
              <w:t>Amortization of transition asset and other</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r>
      <w:tr>
        <w:trPr>
          <w:trHeight w:val="96"/>
        </w:trPr>
        <w:tc>
          <w:tcPr>
            <w:tcW w:w="67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$ 27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r>
      <w:tr>
        <w:trPr>
          <w:trHeight w:val="132"/>
        </w:trPr>
        <w:tc>
          <w:tcPr>
            <w:tcW w:w="67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20"/>
          </w:cols>
          <w:pgMar w:left="240" w:top="28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change in the projected benefit obligation, plan assets and funded status of the plan (translated into US dollars at year-end exchange rates)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jc w:val="right"/>
              <w:ind w:right="12"/>
              <w:spacing w:after="0"/>
              <w:rPr>
                <w:sz w:val="20"/>
                <w:szCs w:val="20"/>
                <w:color w:val="auto"/>
              </w:rPr>
            </w:pPr>
            <w:r>
              <w:rPr>
                <w:rFonts w:ascii="Arial" w:cs="Arial" w:eastAsia="Arial" w:hAnsi="Arial"/>
                <w:sz w:val="14"/>
                <w:szCs w:val="14"/>
                <w:b w:val="1"/>
                <w:bCs w:val="1"/>
                <w:color w:val="auto"/>
                <w:w w:val="76"/>
              </w:rPr>
              <w:t>2002</w:t>
            </w:r>
          </w:p>
        </w:tc>
        <w:tc>
          <w:tcPr>
            <w:tcW w:w="16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beginning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989</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tcPr>
          <w:p>
            <w:pPr>
              <w:spacing w:after="0" w:line="149" w:lineRule="exact"/>
              <w:rPr>
                <w:sz w:val="20"/>
                <w:szCs w:val="20"/>
                <w:color w:val="auto"/>
              </w:rPr>
            </w:pPr>
            <w:r>
              <w:rPr>
                <w:rFonts w:ascii="Arial" w:cs="Arial" w:eastAsia="Arial" w:hAnsi="Arial"/>
                <w:sz w:val="14"/>
                <w:szCs w:val="14"/>
                <w:color w:val="auto"/>
              </w:rPr>
              <w:t>Acquisition of Sema</w:t>
            </w:r>
          </w:p>
        </w:tc>
        <w:tc>
          <w:tcPr>
            <w:tcW w:w="8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59</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tcPr>
          <w:p>
            <w:pPr>
              <w:spacing w:after="0" w:line="149" w:lineRule="exact"/>
              <w:rPr>
                <w:sz w:val="20"/>
                <w:szCs w:val="20"/>
                <w:color w:val="auto"/>
              </w:rPr>
            </w:pPr>
            <w:r>
              <w:rPr>
                <w:rFonts w:ascii="Arial" w:cs="Arial" w:eastAsia="Arial" w:hAnsi="Arial"/>
                <w:sz w:val="14"/>
                <w:szCs w:val="14"/>
                <w:color w:val="auto"/>
              </w:rPr>
              <w:t>Actuarial (gains) losses</w:t>
            </w: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(gain) on exchange</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1,142</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868</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tcPr>
          <w:p>
            <w:pPr>
              <w:spacing w:after="0" w:line="149" w:lineRule="exact"/>
              <w:rPr>
                <w:sz w:val="20"/>
                <w:szCs w:val="20"/>
                <w:color w:val="auto"/>
              </w:rPr>
            </w:pPr>
            <w:r>
              <w:rPr>
                <w:rFonts w:ascii="Arial" w:cs="Arial" w:eastAsia="Arial" w:hAnsi="Arial"/>
                <w:sz w:val="14"/>
                <w:szCs w:val="14"/>
                <w:color w:val="auto"/>
              </w:rPr>
              <w:t>Acquisition of Sema</w:t>
            </w:r>
          </w:p>
        </w:tc>
        <w:tc>
          <w:tcPr>
            <w:tcW w:w="8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(147)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tcPr>
          <w:p>
            <w:pPr>
              <w:spacing w:after="0" w:line="149" w:lineRule="exact"/>
              <w:rPr>
                <w:sz w:val="20"/>
                <w:szCs w:val="20"/>
                <w:color w:val="auto"/>
              </w:rPr>
            </w:pPr>
            <w:r>
              <w:rPr>
                <w:rFonts w:ascii="Arial" w:cs="Arial" w:eastAsia="Arial" w:hAnsi="Arial"/>
                <w:sz w:val="14"/>
                <w:szCs w:val="14"/>
                <w:color w:val="auto"/>
              </w:rPr>
              <w:t>Gain (loss) on exchange</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81</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Employer contributions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tcPr>
          <w:p>
            <w:pPr>
              <w:spacing w:after="0" w:line="149" w:lineRule="exact"/>
              <w:rPr>
                <w:sz w:val="20"/>
                <w:szCs w:val="20"/>
                <w:color w:val="auto"/>
              </w:rPr>
            </w:pPr>
            <w:r>
              <w:rPr>
                <w:rFonts w:ascii="Arial" w:cs="Arial" w:eastAsia="Arial" w:hAnsi="Arial"/>
                <w:sz w:val="14"/>
                <w:szCs w:val="14"/>
                <w:color w:val="auto"/>
              </w:rPr>
              <w:t>Employee contributions</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60" w:type="dxa"/>
            <w:vAlign w:val="bottom"/>
          </w:tcPr>
          <w:p>
            <w:pPr>
              <w:spacing w:after="0"/>
              <w:rPr>
                <w:sz w:val="20"/>
                <w:szCs w:val="20"/>
                <w:color w:val="auto"/>
              </w:rPr>
            </w:pPr>
            <w:r>
              <w:rPr>
                <w:rFonts w:ascii="Arial" w:cs="Arial" w:eastAsia="Arial" w:hAnsi="Arial"/>
                <w:sz w:val="14"/>
                <w:szCs w:val="14"/>
                <w:color w:val="auto"/>
              </w:rPr>
              <w:t>Disposals</w:t>
            </w:r>
          </w:p>
        </w:tc>
        <w:tc>
          <w:tcPr>
            <w:tcW w:w="8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815</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of projected benefit obligation over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(327)</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tcPr>
          <w:p>
            <w:pPr>
              <w:spacing w:after="0" w:line="149" w:lineRule="exact"/>
              <w:rPr>
                <w:sz w:val="20"/>
                <w:szCs w:val="20"/>
                <w:color w:val="auto"/>
              </w:rPr>
            </w:pPr>
            <w:r>
              <w:rPr>
                <w:rFonts w:ascii="Arial" w:cs="Arial" w:eastAsia="Arial" w:hAnsi="Arial"/>
                <w:sz w:val="14"/>
                <w:szCs w:val="14"/>
                <w:color w:val="auto"/>
              </w:rPr>
              <w:t>Unrecognized net loss</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351</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60" w:type="dxa"/>
            <w:vAlign w:val="bottom"/>
          </w:tcPr>
          <w:p>
            <w:pPr>
              <w:spacing w:after="0"/>
              <w:rPr>
                <w:sz w:val="20"/>
                <w:szCs w:val="20"/>
                <w:color w:val="auto"/>
              </w:rPr>
            </w:pPr>
            <w:r>
              <w:rPr>
                <w:rFonts w:ascii="Arial" w:cs="Arial" w:eastAsia="Arial" w:hAnsi="Arial"/>
                <w:sz w:val="14"/>
                <w:szCs w:val="14"/>
                <w:color w:val="auto"/>
              </w:rPr>
              <w:t>Unrecognized net asset at transition date</w:t>
            </w:r>
          </w:p>
        </w:tc>
        <w:tc>
          <w:tcPr>
            <w:tcW w:w="8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asset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 of under-funded plans at market value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335</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60" w:type="dxa"/>
            <w:vAlign w:val="bottom"/>
          </w:tcPr>
          <w:p>
            <w:pPr>
              <w:spacing w:after="0"/>
              <w:rPr>
                <w:sz w:val="20"/>
                <w:szCs w:val="20"/>
                <w:color w:val="auto"/>
              </w:rPr>
            </w:pPr>
            <w:r>
              <w:rPr>
                <w:rFonts w:ascii="Arial" w:cs="Arial" w:eastAsia="Arial" w:hAnsi="Arial"/>
                <w:sz w:val="14"/>
                <w:szCs w:val="14"/>
                <w:color w:val="auto"/>
              </w:rPr>
              <w:t>Accumulated benefit obligation of under-funded plans at end of the year</w:t>
            </w:r>
          </w:p>
        </w:tc>
        <w:tc>
          <w:tcPr>
            <w:tcW w:w="8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(495)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liability of under-funded plans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(160)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60" w:type="dxa"/>
            <w:vAlign w:val="bottom"/>
          </w:tcPr>
          <w:p>
            <w:pPr>
              <w:spacing w:after="0"/>
              <w:rPr>
                <w:sz w:val="20"/>
                <w:szCs w:val="20"/>
                <w:color w:val="auto"/>
              </w:rPr>
            </w:pPr>
            <w:r>
              <w:rPr>
                <w:rFonts w:ascii="Arial" w:cs="Arial" w:eastAsia="Arial" w:hAnsi="Arial"/>
                <w:sz w:val="14"/>
                <w:szCs w:val="14"/>
                <w:color w:val="auto"/>
              </w:rPr>
              <w:t>Pension liability of under-funded plans</w:t>
            </w: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-2573655</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-2573655</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-2573655</wp:posOffset>
            </wp:positionV>
            <wp:extent cx="3873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-2573655</wp:posOffset>
            </wp:positionV>
            <wp:extent cx="26162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-1415415</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-1415415</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-1415415</wp:posOffset>
            </wp:positionV>
            <wp:extent cx="3873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-1415415</wp:posOffset>
            </wp:positionV>
            <wp:extent cx="26162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-635000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-635000</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-635000</wp:posOffset>
            </wp:positionV>
            <wp:extent cx="387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-635000</wp:posOffset>
            </wp:positionV>
            <wp:extent cx="26162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52070</wp:posOffset>
            </wp:positionV>
            <wp:extent cx="26606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52070</wp:posOffset>
            </wp:positionV>
            <wp:extent cx="23177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Charged to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946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tabs>
          <w:tab w:leader="none" w:pos="220" w:val="left"/>
          <w:tab w:leader="none" w:pos="840" w:val="left"/>
        </w:tabs>
        <w:rPr>
          <w:sz w:val="20"/>
          <w:szCs w:val="20"/>
          <w:color w:val="auto"/>
        </w:rPr>
      </w:pPr>
      <w:r>
        <w:rPr>
          <w:rFonts w:ascii="Arial" w:cs="Arial" w:eastAsia="Arial" w:hAnsi="Arial"/>
          <w:sz w:val="14"/>
          <w:szCs w:val="14"/>
          <w:b w:val="1"/>
          <w:bCs w:val="1"/>
          <w:color w:val="auto"/>
        </w:rPr>
        <w:t>$</w:t>
        <w:tab/>
        <w:t>(90)</w:t>
      </w:r>
      <w:r>
        <w:rPr>
          <w:sz w:val="20"/>
          <w:szCs w:val="20"/>
          <w:color w:val="auto"/>
        </w:rPr>
        <w:tab/>
      </w: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9591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66675</wp:posOffset>
            </wp:positionV>
            <wp:extent cx="26162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60" w:space="720"/>
            <w:col w:w="1340"/>
          </w:cols>
          <w:pgMar w:left="240" w:top="280" w:right="239" w:bottom="1440" w:gutter="0" w:footer="0" w:header="0"/>
          <w:type w:val="continuous"/>
        </w:sectPr>
      </w:pPr>
    </w:p>
    <w:p>
      <w:pPr>
        <w:spacing w:after="0" w:line="1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The market performance over the last two years has decreased the value of assets held in the UK pension plans and has correspondingly increased the amount by which the pension plans are under-funded. As a result of the decline in the value of the pension plan assets and a decline in the interest rates, which increased the present value of the benefit obligations, Schlumberger recorded in the fourth quarter a non-cash charge to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of $90 million. A recovery in market returns in future periods would reverse a portion of the charge.</w:t>
      </w:r>
    </w:p>
    <w:p>
      <w:pPr>
        <w:spacing w:after="0" w:line="13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assumed discount rate and rate of compensation increases used to determine the projected benefit obligation were 5.70% and 3.75%-2.55% respectively in 2002, and 5.75% and 4%, respectively in 2001. Plan assets consisted of common stocks ($610 million), cash or cash equivalents ($64 million) and fixed income investments ($141 million). None of the segregated plan assets represented Schlumberger common stock.</w:t>
      </w:r>
    </w:p>
    <w:p>
      <w:pPr>
        <w:spacing w:after="0" w:line="9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defined contribution plans, funding and cost are generally based upon a predetermined percentage of employee compensation. Charges to expense in 2002, 2001 and 2000, were $44 million, $32 million and $22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Deferred Benefits</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to providing pension benefits, Schlumberger and its subsidiaries have other deferred benefit programs, primarily profit sharing. Expenses for these programs were $143 million, $192 million and $114 million in 2002, 2001 and 2000, respectively.</w:t>
      </w:r>
    </w:p>
    <w:p>
      <w:pPr>
        <w:sectPr>
          <w:pgSz w:w="11900" w:h="16838" w:orient="portrait"/>
          <w:cols w:equalWidth="0" w:num="1">
            <w:col w:w="11420"/>
          </w:cols>
          <w:pgMar w:left="240" w:top="280"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Health Care Benefits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and its US subsidiary provide health care benefits for certain active employees. The cost of providing these benefits is recognized as expense when incurred and aggregated $79 million, $68 million and $60 million in 2002, 2001 and 2000, respectively. Outside the US, such benefits are mostly provided through government-sponsored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 Other than Pensions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US subsidiary provide certain health care benefits to former employees who have retired under the US pension plans.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principal actuarial assumptions used to measure costs were a discount rate of 7.25% in 2002, 7.5% in 2001 and 7.75% in 2000. The overall medical cost trend rate assumption is 9.5% graded to 5% over the next six years and 5% thereafter.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benefit cost in the US for 2002, 2001 and 2000, included the following components: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7"/>
          </w:tcPr>
          <w:p>
            <w:pPr>
              <w:jc w:val="right"/>
              <w:ind w:right="80"/>
              <w:spacing w:after="0"/>
              <w:rPr>
                <w:sz w:val="20"/>
                <w:szCs w:val="20"/>
                <w:color w:val="auto"/>
              </w:rPr>
            </w:pPr>
            <w:r>
              <w:rPr>
                <w:rFonts w:ascii="Arial" w:cs="Arial" w:eastAsia="Arial" w:hAnsi="Arial"/>
                <w:sz w:val="14"/>
                <w:szCs w:val="14"/>
                <w:i w:val="1"/>
                <w:iCs w:val="1"/>
                <w:color w:val="auto"/>
              </w:rPr>
              <w:t>(Stated in millions)</w:t>
            </w:r>
          </w:p>
        </w:tc>
      </w:tr>
      <w:tr>
        <w:trPr>
          <w:trHeight w:val="174"/>
        </w:trPr>
        <w:tc>
          <w:tcPr>
            <w:tcW w:w="7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2002</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6"/>
              </w:rPr>
              <w:t>2000</w:t>
            </w:r>
          </w:p>
        </w:tc>
        <w:tc>
          <w:tcPr>
            <w:tcW w:w="60" w:type="dxa"/>
            <w:vAlign w:val="bottom"/>
          </w:tcPr>
          <w:p>
            <w:pPr>
              <w:spacing w:after="0"/>
              <w:rPr>
                <w:sz w:val="15"/>
                <w:szCs w:val="15"/>
                <w:color w:val="auto"/>
              </w:rPr>
            </w:pPr>
          </w:p>
        </w:tc>
      </w:tr>
      <w:tr>
        <w:trPr>
          <w:trHeight w:val="95"/>
        </w:trPr>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 – benefits earned during the period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$10</w:t>
            </w:r>
          </w:p>
        </w:tc>
        <w:tc>
          <w:tcPr>
            <w:tcW w:w="6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unrecognized net gain and other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108"/>
        </w:trPr>
        <w:tc>
          <w:tcPr>
            <w:tcW w:w="7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$66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$35</w:t>
            </w:r>
          </w:p>
        </w:tc>
        <w:tc>
          <w:tcPr>
            <w:tcW w:w="60" w:type="dxa"/>
            <w:vAlign w:val="bottom"/>
            <w:shd w:val="clear" w:color="auto" w:fill="CCEEFF"/>
          </w:tcPr>
          <w:p>
            <w:pPr>
              <w:spacing w:after="0"/>
              <w:rPr>
                <w:sz w:val="18"/>
                <w:szCs w:val="18"/>
                <w:color w:val="auto"/>
              </w:rPr>
            </w:pPr>
          </w:p>
        </w:tc>
      </w:tr>
      <w:tr>
        <w:trPr>
          <w:trHeight w:val="132"/>
        </w:trPr>
        <w:tc>
          <w:tcPr>
            <w:tcW w:w="7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3873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accumulated postretirement benefit obligation and funded status on December 31, 2002 and 2001, was as follows:</w:t>
      </w:r>
    </w:p>
    <w:p>
      <w:pPr>
        <w:spacing w:after="0" w:line="1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i w:val="1"/>
                <w:iCs w:val="1"/>
                <w:color w:val="auto"/>
                <w:w w:val="83"/>
              </w:rPr>
              <w:t>(Stated in</w:t>
            </w:r>
          </w:p>
        </w:tc>
      </w:tr>
      <w:tr>
        <w:trPr>
          <w:trHeight w:val="147"/>
        </w:trPr>
        <w:tc>
          <w:tcPr>
            <w:tcW w:w="7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ind w:right="80"/>
              <w:spacing w:after="0" w:line="147" w:lineRule="exact"/>
              <w:rPr>
                <w:sz w:val="20"/>
                <w:szCs w:val="20"/>
                <w:color w:val="auto"/>
              </w:rPr>
            </w:pPr>
            <w:r>
              <w:rPr>
                <w:rFonts w:ascii="Arial" w:cs="Arial" w:eastAsia="Arial" w:hAnsi="Arial"/>
                <w:sz w:val="14"/>
                <w:szCs w:val="14"/>
                <w:i w:val="1"/>
                <w:iCs w:val="1"/>
                <w:color w:val="auto"/>
                <w:w w:val="97"/>
              </w:rPr>
              <w:t>millions)</w:t>
            </w:r>
          </w:p>
        </w:tc>
      </w:tr>
      <w:tr>
        <w:trPr>
          <w:trHeight w:val="174"/>
        </w:trPr>
        <w:tc>
          <w:tcPr>
            <w:tcW w:w="74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r>
      <w:tr>
        <w:trPr>
          <w:trHeight w:val="95"/>
        </w:trPr>
        <w:tc>
          <w:tcPr>
            <w:tcW w:w="74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7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beginning of the year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$ 478</w:t>
            </w: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$398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Service cost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8"/>
                <w:szCs w:val="18"/>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Actuarial losses (gains)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80" w:type="dxa"/>
            <w:vAlign w:val="bottom"/>
          </w:tcPr>
          <w:p>
            <w:pPr>
              <w:spacing w:after="0"/>
              <w:rPr>
                <w:sz w:val="18"/>
                <w:szCs w:val="18"/>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rPr>
              <w:t>53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28"/>
        </w:trPr>
        <w:tc>
          <w:tcPr>
            <w:tcW w:w="744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r>
      <w:tr>
        <w:trPr>
          <w:trHeight w:val="96"/>
        </w:trPr>
        <w:tc>
          <w:tcPr>
            <w:tcW w:w="74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7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the end of the year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478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Unrecognized net gain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(105)</w:t>
            </w:r>
          </w:p>
        </w:tc>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w:t>
            </w: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r>
      <w:tr>
        <w:trPr>
          <w:trHeight w:val="108"/>
        </w:trPr>
        <w:tc>
          <w:tcPr>
            <w:tcW w:w="74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7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 liability on December 31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$ 544</w:t>
            </w: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$505</w:t>
            </w:r>
          </w:p>
        </w:tc>
      </w:tr>
      <w:tr>
        <w:trPr>
          <w:trHeight w:val="132"/>
        </w:trPr>
        <w:tc>
          <w:tcPr>
            <w:tcW w:w="74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3873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6162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components of the accumulated postretirement benefit obligation on December 31, 2002 and 2001, were as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i w:val="1"/>
                <w:iCs w:val="1"/>
                <w:color w:val="auto"/>
                <w:w w:val="88"/>
              </w:rPr>
              <w:t>(Stated in millions)</w:t>
            </w:r>
          </w:p>
        </w:tc>
      </w:tr>
      <w:tr>
        <w:trPr>
          <w:trHeight w:val="174"/>
        </w:trPr>
        <w:tc>
          <w:tcPr>
            <w:tcW w:w="75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2001</w:t>
            </w:r>
          </w:p>
        </w:tc>
      </w:tr>
      <w:tr>
        <w:trPr>
          <w:trHeight w:val="95"/>
        </w:trPr>
        <w:tc>
          <w:tcPr>
            <w:tcW w:w="75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r>
      <w:tr>
        <w:trPr>
          <w:trHeight w:val="102"/>
        </w:trPr>
        <w:tc>
          <w:tcPr>
            <w:tcW w:w="7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Retirees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$ 277</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$ 237</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Fully eligible</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Actives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108"/>
        </w:trPr>
        <w:tc>
          <w:tcPr>
            <w:tcW w:w="75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r>
      <w:tr>
        <w:trPr>
          <w:trHeight w:val="102"/>
        </w:trPr>
        <w:tc>
          <w:tcPr>
            <w:tcW w:w="7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16"/>
        </w:trPr>
        <w:tc>
          <w:tcPr>
            <w:tcW w:w="75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$ 676</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$ 478</w:t>
            </w:r>
          </w:p>
        </w:tc>
      </w:tr>
      <w:tr>
        <w:trPr>
          <w:trHeight w:val="132"/>
        </w:trPr>
        <w:tc>
          <w:tcPr>
            <w:tcW w:w="75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2159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5273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273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assumed discount rate used to determine the accumulated postretirement benefit obligation was 6.75% for 2002 and 7.25% for 2001.</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the assumed medical cost trend rate was increased by one percentage point, health care cost in 2002 would have been $76 million, and the accumulated postretirement benefit obligation would have been $806 million on December 31, 2002.</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the assumed medical cost trend rate was decreased by one percentage point, health care cost in 2002 would have been $52 million, and the accumulated postretirement benefit obligation would have been $574 million on December 31,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Supplementary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 and related cost of goods sold and services for continuing operations comprised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7"/>
          </w:tcPr>
          <w:p>
            <w:pPr>
              <w:ind w:left="20"/>
              <w:spacing w:after="0"/>
              <w:rPr>
                <w:sz w:val="20"/>
                <w:szCs w:val="20"/>
                <w:color w:val="auto"/>
              </w:rPr>
            </w:pPr>
            <w:r>
              <w:rPr>
                <w:rFonts w:ascii="Arial" w:cs="Arial" w:eastAsia="Arial" w:hAnsi="Arial"/>
                <w:sz w:val="14"/>
                <w:szCs w:val="14"/>
                <w:i w:val="1"/>
                <w:iCs w:val="1"/>
                <w:color w:val="auto"/>
                <w:w w:val="88"/>
              </w:rPr>
              <w:t>(Stated in millions)</w:t>
            </w:r>
          </w:p>
        </w:tc>
      </w:tr>
      <w:tr>
        <w:trPr>
          <w:trHeight w:val="174"/>
        </w:trPr>
        <w:tc>
          <w:tcPr>
            <w:tcW w:w="1440" w:type="dxa"/>
            <w:vAlign w:val="bottom"/>
          </w:tcPr>
          <w:p>
            <w:pPr>
              <w:spacing w:after="0"/>
              <w:rPr>
                <w:sz w:val="15"/>
                <w:szCs w:val="15"/>
                <w:color w:val="auto"/>
              </w:rPr>
            </w:pPr>
          </w:p>
        </w:tc>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3"/>
              </w:rPr>
              <w:t>2001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560" w:type="dxa"/>
            <w:vAlign w:val="bottom"/>
            <w:gridSpan w:val="2"/>
          </w:tcPr>
          <w:p>
            <w:pPr>
              <w:ind w:left="440"/>
              <w:spacing w:after="0"/>
              <w:rPr>
                <w:sz w:val="20"/>
                <w:szCs w:val="20"/>
                <w:color w:val="auto"/>
              </w:rPr>
            </w:pPr>
            <w:r>
              <w:rPr>
                <w:rFonts w:ascii="Arial" w:cs="Arial" w:eastAsia="Arial" w:hAnsi="Arial"/>
                <w:sz w:val="18"/>
                <w:szCs w:val="18"/>
                <w:color w:val="auto"/>
              </w:rPr>
              <w:t>Products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3,733</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4,525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$3,829</w:t>
            </w:r>
          </w:p>
        </w:tc>
        <w:tc>
          <w:tcPr>
            <w:tcW w:w="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9,353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20" w:type="dxa"/>
            <w:vAlign w:val="bottom"/>
          </w:tcPr>
          <w:p>
            <w:pPr>
              <w:spacing w:after="0"/>
              <w:rPr>
                <w:sz w:val="18"/>
                <w:szCs w:val="18"/>
                <w:color w:val="auto"/>
              </w:rPr>
            </w:pPr>
          </w:p>
        </w:tc>
      </w:tr>
      <w:tr>
        <w:trPr>
          <w:trHeight w:val="108"/>
        </w:trPr>
        <w:tc>
          <w:tcPr>
            <w:tcW w:w="14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4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13,242</w:t>
            </w:r>
          </w:p>
        </w:tc>
        <w:tc>
          <w:tcPr>
            <w:tcW w:w="7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$13,878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$9,545</w:t>
            </w:r>
          </w:p>
        </w:tc>
        <w:tc>
          <w:tcPr>
            <w:tcW w:w="20" w:type="dxa"/>
            <w:vAlign w:val="bottom"/>
          </w:tcPr>
          <w:p>
            <w:pPr>
              <w:spacing w:after="0"/>
              <w:rPr>
                <w:sz w:val="18"/>
                <w:szCs w:val="18"/>
                <w:color w:val="auto"/>
              </w:rPr>
            </w:pPr>
          </w:p>
        </w:tc>
      </w:tr>
      <w:tr>
        <w:trPr>
          <w:trHeight w:val="132"/>
        </w:trPr>
        <w:tc>
          <w:tcPr>
            <w:tcW w:w="14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05"/>
        </w:trPr>
        <w:tc>
          <w:tcPr>
            <w:tcW w:w="14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14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560" w:type="dxa"/>
            <w:vAlign w:val="bottom"/>
            <w:gridSpan w:val="2"/>
          </w:tcPr>
          <w:p>
            <w:pPr>
              <w:ind w:left="440"/>
              <w:spacing w:after="0"/>
              <w:rPr>
                <w:sz w:val="20"/>
                <w:szCs w:val="20"/>
                <w:color w:val="auto"/>
              </w:rPr>
            </w:pPr>
            <w:r>
              <w:rPr>
                <w:rFonts w:ascii="Arial" w:cs="Arial" w:eastAsia="Arial" w:hAnsi="Arial"/>
                <w:sz w:val="18"/>
                <w:szCs w:val="18"/>
                <w:color w:val="auto"/>
              </w:rPr>
              <w:t>Goods sold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1,848</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2,610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$2,302</w:t>
            </w:r>
          </w:p>
        </w:tc>
        <w:tc>
          <w:tcPr>
            <w:tcW w:w="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7,778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20" w:type="dxa"/>
            <w:vAlign w:val="bottom"/>
          </w:tcPr>
          <w:p>
            <w:pPr>
              <w:spacing w:after="0"/>
              <w:rPr>
                <w:sz w:val="18"/>
                <w:szCs w:val="18"/>
                <w:color w:val="auto"/>
              </w:rPr>
            </w:pPr>
          </w:p>
        </w:tc>
      </w:tr>
      <w:tr>
        <w:trPr>
          <w:trHeight w:val="108"/>
        </w:trPr>
        <w:tc>
          <w:tcPr>
            <w:tcW w:w="14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4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10,284</w:t>
            </w:r>
          </w:p>
        </w:tc>
        <w:tc>
          <w:tcPr>
            <w:tcW w:w="7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$7,452</w:t>
            </w:r>
          </w:p>
        </w:tc>
        <w:tc>
          <w:tcPr>
            <w:tcW w:w="20" w:type="dxa"/>
            <w:vAlign w:val="bottom"/>
          </w:tcPr>
          <w:p>
            <w:pPr>
              <w:spacing w:after="0"/>
              <w:rPr>
                <w:sz w:val="18"/>
                <w:szCs w:val="18"/>
                <w:color w:val="auto"/>
              </w:rPr>
            </w:pPr>
          </w:p>
        </w:tc>
      </w:tr>
      <w:tr>
        <w:trPr>
          <w:trHeight w:val="132"/>
        </w:trPr>
        <w:tc>
          <w:tcPr>
            <w:tcW w:w="8000" w:type="dxa"/>
            <w:vAlign w:val="bottom"/>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467"/>
        </w:trPr>
        <w:tc>
          <w:tcPr>
            <w:tcW w:w="8000" w:type="dxa"/>
            <w:vAlign w:val="bottom"/>
            <w:gridSpan w:val="3"/>
          </w:tcPr>
          <w:p>
            <w:pPr>
              <w:spacing w:after="0"/>
              <w:rPr>
                <w:sz w:val="20"/>
                <w:szCs w:val="20"/>
                <w:color w:val="auto"/>
              </w:rPr>
            </w:pPr>
            <w:r>
              <w:rPr>
                <w:rFonts w:ascii="Arial" w:cs="Arial" w:eastAsia="Arial" w:hAnsi="Arial"/>
                <w:sz w:val="18"/>
                <w:szCs w:val="18"/>
                <w:color w:val="auto"/>
              </w:rPr>
              <w:t>Cash paid for interest and income taxes for continuing operations was as follows: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14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7"/>
          </w:tcPr>
          <w:p>
            <w:pPr>
              <w:ind w:left="20"/>
              <w:spacing w:after="0"/>
              <w:rPr>
                <w:sz w:val="20"/>
                <w:szCs w:val="20"/>
                <w:color w:val="auto"/>
              </w:rPr>
            </w:pPr>
            <w:r>
              <w:rPr>
                <w:rFonts w:ascii="Arial" w:cs="Arial" w:eastAsia="Arial" w:hAnsi="Arial"/>
                <w:sz w:val="14"/>
                <w:szCs w:val="14"/>
                <w:i w:val="1"/>
                <w:iCs w:val="1"/>
                <w:color w:val="auto"/>
                <w:w w:val="88"/>
              </w:rPr>
              <w:t>(Stated in millions)</w:t>
            </w:r>
          </w:p>
        </w:tc>
      </w:tr>
      <w:tr>
        <w:trPr>
          <w:trHeight w:val="174"/>
        </w:trPr>
        <w:tc>
          <w:tcPr>
            <w:tcW w:w="1440" w:type="dxa"/>
            <w:vAlign w:val="bottom"/>
          </w:tcPr>
          <w:p>
            <w:pPr>
              <w:spacing w:after="0"/>
              <w:rPr>
                <w:sz w:val="15"/>
                <w:szCs w:val="15"/>
                <w:color w:val="auto"/>
              </w:rPr>
            </w:pPr>
          </w:p>
        </w:tc>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2002</w:t>
            </w:r>
          </w:p>
        </w:tc>
        <w:tc>
          <w:tcPr>
            <w:tcW w:w="40" w:type="dxa"/>
            <w:vAlign w:val="bottom"/>
          </w:tcPr>
          <w:p>
            <w:pPr>
              <w:spacing w:after="0"/>
              <w:rPr>
                <w:sz w:val="15"/>
                <w:szCs w:val="15"/>
                <w:color w:val="auto"/>
              </w:rPr>
            </w:pPr>
          </w:p>
        </w:tc>
        <w:tc>
          <w:tcPr>
            <w:tcW w:w="520" w:type="dxa"/>
            <w:vAlign w:val="bottom"/>
            <w:gridSpan w:val="3"/>
          </w:tcPr>
          <w:p>
            <w:pPr>
              <w:jc w:val="center"/>
              <w:ind w:left="84"/>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65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gridSpan w:val="4"/>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1960" w:type="dxa"/>
            <w:vAlign w:val="bottom"/>
            <w:tcBorders>
              <w:top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center"/>
              <w:ind w:left="394"/>
              <w:spacing w:after="0"/>
              <w:rPr>
                <w:sz w:val="20"/>
                <w:szCs w:val="20"/>
                <w:color w:val="auto"/>
              </w:rPr>
            </w:pPr>
            <w:r>
              <w:rPr>
                <w:rFonts w:ascii="Arial" w:cs="Arial" w:eastAsia="Arial" w:hAnsi="Arial"/>
                <w:sz w:val="18"/>
                <w:szCs w:val="18"/>
                <w:b w:val="1"/>
                <w:bCs w:val="1"/>
                <w:color w:val="auto"/>
                <w:w w:val="89"/>
              </w:rPr>
              <w:t>$373</w:t>
            </w:r>
          </w:p>
        </w:tc>
        <w:tc>
          <w:tcPr>
            <w:tcW w:w="520" w:type="dxa"/>
            <w:vAlign w:val="bottom"/>
            <w:gridSpan w:val="3"/>
            <w:shd w:val="clear" w:color="auto" w:fill="CCEEFF"/>
          </w:tcPr>
          <w:p>
            <w:pPr>
              <w:jc w:val="center"/>
              <w:ind w:left="84"/>
              <w:spacing w:after="0"/>
              <w:rPr>
                <w:sz w:val="20"/>
                <w:szCs w:val="20"/>
                <w:color w:val="auto"/>
              </w:rPr>
            </w:pPr>
            <w:r>
              <w:rPr>
                <w:rFonts w:ascii="Arial" w:cs="Arial" w:eastAsia="Arial" w:hAnsi="Arial"/>
                <w:sz w:val="18"/>
                <w:szCs w:val="18"/>
                <w:color w:val="auto"/>
                <w:w w:val="89"/>
              </w:rPr>
              <w:t>$363</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r>
      <w:tr>
        <w:trPr>
          <w:trHeight w:val="228"/>
        </w:trPr>
        <w:tc>
          <w:tcPr>
            <w:tcW w:w="144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840" w:type="dxa"/>
            <w:vAlign w:val="bottom"/>
            <w:gridSpan w:val="5"/>
          </w:tcPr>
          <w:p>
            <w:pPr>
              <w:jc w:val="center"/>
              <w:ind w:left="394"/>
              <w:spacing w:after="0"/>
              <w:rPr>
                <w:sz w:val="20"/>
                <w:szCs w:val="20"/>
                <w:color w:val="auto"/>
              </w:rPr>
            </w:pPr>
            <w:r>
              <w:rPr>
                <w:rFonts w:ascii="Arial" w:cs="Arial" w:eastAsia="Arial" w:hAnsi="Arial"/>
                <w:sz w:val="18"/>
                <w:szCs w:val="18"/>
                <w:b w:val="1"/>
                <w:bCs w:val="1"/>
                <w:color w:val="auto"/>
                <w:w w:val="89"/>
              </w:rPr>
              <w:t>$251</w:t>
            </w:r>
          </w:p>
        </w:tc>
        <w:tc>
          <w:tcPr>
            <w:tcW w:w="520" w:type="dxa"/>
            <w:vAlign w:val="bottom"/>
            <w:gridSpan w:val="3"/>
          </w:tcPr>
          <w:p>
            <w:pPr>
              <w:jc w:val="center"/>
              <w:ind w:left="84"/>
              <w:spacing w:after="0"/>
              <w:rPr>
                <w:sz w:val="20"/>
                <w:szCs w:val="20"/>
                <w:color w:val="auto"/>
              </w:rPr>
            </w:pPr>
            <w:r>
              <w:rPr>
                <w:rFonts w:ascii="Arial" w:cs="Arial" w:eastAsia="Arial" w:hAnsi="Arial"/>
                <w:sz w:val="18"/>
                <w:szCs w:val="18"/>
                <w:color w:val="auto"/>
                <w:w w:val="89"/>
              </w:rPr>
              <w:t>$298</w:t>
            </w:r>
          </w:p>
        </w:tc>
        <w:tc>
          <w:tcPr>
            <w:tcW w:w="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-1896110</wp:posOffset>
            </wp:positionV>
            <wp:extent cx="126492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6492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-1038225</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-1038225</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-1038225</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-1038225</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-1038225</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-1038225</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-1038225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-1038225</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-1038225</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0820"/>
          </w:cols>
          <w:pgMar w:left="240" w:top="280" w:right="83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Accounts payable and accrued liabilities </w:t>
      </w:r>
      <w:r>
        <w:rPr>
          <w:rFonts w:ascii="Arial" w:cs="Arial" w:eastAsia="Arial" w:hAnsi="Arial"/>
          <w:sz w:val="18"/>
          <w:szCs w:val="18"/>
          <w:color w:val="auto"/>
        </w:rPr>
        <w:t>are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13"/>
          </w:tcPr>
          <w:p>
            <w:pPr>
              <w:ind w:lef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4"/>
        </w:trPr>
        <w:tc>
          <w:tcPr>
            <w:tcW w:w="9640" w:type="dxa"/>
            <w:vAlign w:val="bottom"/>
            <w:gridSpan w:val="5"/>
          </w:tcPr>
          <w:p>
            <w:pPr>
              <w:spacing w:after="0"/>
              <w:rPr>
                <w:sz w:val="20"/>
                <w:szCs w:val="20"/>
                <w:color w:val="auto"/>
              </w:rPr>
            </w:pPr>
            <w:r>
              <w:rPr>
                <w:rFonts w:ascii="Arial" w:cs="Arial" w:eastAsia="Arial" w:hAnsi="Arial"/>
                <w:sz w:val="14"/>
                <w:szCs w:val="14"/>
                <w:b w:val="1"/>
                <w:bCs w:val="1"/>
                <w:color w:val="auto"/>
              </w:rPr>
              <w:t>As at December 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1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6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Payroll, vacation and employee benefits</w:t>
            </w: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957</w:t>
            </w:r>
          </w:p>
        </w:tc>
        <w:tc>
          <w:tcPr>
            <w:tcW w:w="140" w:type="dxa"/>
            <w:vAlign w:val="bottom"/>
            <w:shd w:val="clear" w:color="auto" w:fill="CCEEFF"/>
          </w:tcPr>
          <w:p>
            <w:pPr>
              <w:spacing w:after="0"/>
              <w:rPr>
                <w:sz w:val="18"/>
                <w:szCs w:val="18"/>
                <w:color w:val="auto"/>
              </w:rPr>
            </w:pPr>
          </w:p>
        </w:tc>
        <w:tc>
          <w:tcPr>
            <w:tcW w:w="29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1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4"/>
              </w:rPr>
              <w:t>Trade</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999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10" w:type="dxa"/>
            <w:vAlign w:val="bottom"/>
            <w:gridSpan w:val="4"/>
          </w:tcPr>
          <w:p>
            <w:pPr>
              <w:jc w:val="right"/>
              <w:spacing w:after="0"/>
              <w:rPr>
                <w:sz w:val="20"/>
                <w:szCs w:val="20"/>
                <w:color w:val="auto"/>
              </w:rPr>
            </w:pPr>
            <w:r>
              <w:rPr>
                <w:rFonts w:ascii="Arial" w:cs="Arial" w:eastAsia="Arial" w:hAnsi="Arial"/>
                <w:sz w:val="18"/>
                <w:szCs w:val="18"/>
                <w:color w:val="auto"/>
                <w:w w:val="84"/>
              </w:rPr>
              <w:t>1,184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Taxes, other than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8"/>
              </w:rPr>
              <w:t>1,266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10" w:type="dxa"/>
            <w:vAlign w:val="bottom"/>
            <w:gridSpan w:val="4"/>
          </w:tcPr>
          <w:p>
            <w:pPr>
              <w:jc w:val="right"/>
              <w:spacing w:after="0"/>
              <w:rPr>
                <w:sz w:val="20"/>
                <w:szCs w:val="20"/>
                <w:color w:val="auto"/>
              </w:rPr>
            </w:pPr>
            <w:r>
              <w:rPr>
                <w:rFonts w:ascii="Arial" w:cs="Arial" w:eastAsia="Arial" w:hAnsi="Arial"/>
                <w:sz w:val="18"/>
                <w:szCs w:val="18"/>
                <w:color w:val="auto"/>
                <w:w w:val="84"/>
              </w:rPr>
              <w:t>1,697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Other</w:t>
            </w: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1,114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940" w:type="dxa"/>
            <w:vAlign w:val="bottom"/>
            <w:gridSpan w:val="9"/>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$ 4,581</w:t>
            </w:r>
          </w:p>
        </w:tc>
        <w:tc>
          <w:tcPr>
            <w:tcW w:w="140" w:type="dxa"/>
            <w:vAlign w:val="bottom"/>
            <w:shd w:val="clear" w:color="auto" w:fill="CCEEFF"/>
          </w:tcPr>
          <w:p>
            <w:pPr>
              <w:spacing w:after="0"/>
              <w:rPr>
                <w:sz w:val="18"/>
                <w:szCs w:val="18"/>
                <w:color w:val="auto"/>
              </w:rPr>
            </w:pPr>
          </w:p>
        </w:tc>
        <w:tc>
          <w:tcPr>
            <w:tcW w:w="7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$ 4,507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4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includes the following: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64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16"/>
          </w:tcPr>
          <w:p>
            <w:pPr>
              <w:jc w:val="center"/>
              <w:ind w:right="38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174"/>
        </w:trPr>
        <w:tc>
          <w:tcPr>
            <w:tcW w:w="9640" w:type="dxa"/>
            <w:vAlign w:val="bottom"/>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5"/>
          </w:tcPr>
          <w:p>
            <w:pPr>
              <w:jc w:val="center"/>
              <w:ind w:left="117"/>
              <w:spacing w:after="0"/>
              <w:rPr>
                <w:sz w:val="20"/>
                <w:szCs w:val="20"/>
                <w:color w:val="auto"/>
              </w:rPr>
            </w:pPr>
            <w:r>
              <w:rPr>
                <w:rFonts w:ascii="Arial" w:cs="Arial" w:eastAsia="Arial" w:hAnsi="Arial"/>
                <w:sz w:val="14"/>
                <w:szCs w:val="14"/>
                <w:b w:val="1"/>
                <w:bCs w:val="1"/>
                <w:color w:val="auto"/>
                <w:w w:val="83"/>
              </w:rPr>
              <w:t>2001</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1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Borders>
              <w:bottom w:val="single" w:sz="8" w:color="auto"/>
            </w:tcBorders>
            <w:gridSpan w:val="3"/>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gridSpan w:val="3"/>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$ 159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4"/>
              </w:rPr>
              <w:t>$ 302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rPr>
              <w:t>Equity in net earnings of affiliated companies</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64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10" w:type="dxa"/>
            <w:vAlign w:val="bottom"/>
            <w:gridSpan w:val="4"/>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on sale of business</w:t>
            </w:r>
          </w:p>
        </w:tc>
        <w:tc>
          <w:tcPr>
            <w:tcW w:w="500" w:type="dxa"/>
            <w:vAlign w:val="bottom"/>
            <w:gridSpan w:val="5"/>
            <w:shd w:val="clear" w:color="auto" w:fill="CCEEFF"/>
          </w:tcPr>
          <w:p>
            <w:pPr>
              <w:jc w:val="center"/>
              <w:ind w:right="32"/>
              <w:spacing w:after="0"/>
              <w:rPr>
                <w:sz w:val="20"/>
                <w:szCs w:val="20"/>
                <w:color w:val="auto"/>
              </w:rPr>
            </w:pPr>
            <w:r>
              <w:rPr>
                <w:rFonts w:ascii="Arial" w:cs="Arial" w:eastAsia="Arial" w:hAnsi="Arial"/>
                <w:sz w:val="18"/>
                <w:szCs w:val="18"/>
                <w:b w:val="1"/>
                <w:bCs w:val="1"/>
                <w:color w:val="auto"/>
                <w:w w:val="88"/>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rPr>
              <w:t>Gain on sale of financial instruments</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gridSpan w:val="3"/>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$ 139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$ 242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4"/>
              </w:rPr>
              <w:t>$ 423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4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is as follows:</w:t>
            </w: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3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64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14"/>
          </w:tcPr>
          <w:p>
            <w:pPr>
              <w:ind w:lef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4"/>
        </w:trPr>
        <w:tc>
          <w:tcPr>
            <w:tcW w:w="9640" w:type="dxa"/>
            <w:vAlign w:val="bottom"/>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gridSpan w:val="6"/>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20" w:type="dxa"/>
            <w:vAlign w:val="bottom"/>
            <w:gridSpan w:val="4"/>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 w:type="dxa"/>
            <w:vAlign w:val="bottom"/>
            <w:gridSpan w:val="2"/>
          </w:tcPr>
          <w:p>
            <w:pPr>
              <w:spacing w:after="0"/>
              <w:rPr>
                <w:sz w:val="8"/>
                <w:szCs w:val="8"/>
                <w:color w:val="auto"/>
              </w:rPr>
            </w:pPr>
          </w:p>
        </w:tc>
        <w:tc>
          <w:tcPr>
            <w:tcW w:w="31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10" w:type="dxa"/>
            <w:vAlign w:val="bottom"/>
            <w:tcBorders>
              <w:top w:val="single" w:sz="8" w:color="auto"/>
            </w:tcBorders>
          </w:tcPr>
          <w:p>
            <w:pPr>
              <w:spacing w:after="0"/>
              <w:rPr>
                <w:sz w:val="8"/>
                <w:szCs w:val="8"/>
                <w:color w:val="auto"/>
              </w:rPr>
            </w:pPr>
          </w:p>
        </w:tc>
        <w:tc>
          <w:tcPr>
            <w:tcW w:w="3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68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$ 145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1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107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rPr>
              <w:t>Provision in year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1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Written off in year</w:t>
            </w:r>
          </w:p>
        </w:tc>
        <w:tc>
          <w:tcPr>
            <w:tcW w:w="920" w:type="dxa"/>
            <w:vAlign w:val="bottom"/>
            <w:gridSpan w:val="8"/>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31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620" w:type="dxa"/>
            <w:vAlign w:val="bottom"/>
            <w:gridSpan w:val="4"/>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 w:type="dxa"/>
            <w:vAlign w:val="bottom"/>
            <w:tcBorders>
              <w:bottom w:val="single" w:sz="8" w:color="auto"/>
            </w:tcBorders>
            <w:gridSpan w:val="2"/>
          </w:tcPr>
          <w:p>
            <w:pPr>
              <w:spacing w:after="0"/>
              <w:rPr>
                <w:sz w:val="2"/>
                <w:szCs w:val="2"/>
                <w:color w:val="auto"/>
              </w:rPr>
            </w:pPr>
          </w:p>
        </w:tc>
        <w:tc>
          <w:tcPr>
            <w:tcW w:w="31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68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$ 173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1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145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4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9200" w:type="dxa"/>
            <w:vAlign w:val="bottom"/>
            <w:gridSpan w:val="3"/>
            <w:vMerge w:val="restart"/>
          </w:tcPr>
          <w:p>
            <w:pPr>
              <w:ind w:left="20"/>
              <w:spacing w:after="0"/>
              <w:rPr>
                <w:sz w:val="20"/>
                <w:szCs w:val="20"/>
                <w:color w:val="auto"/>
              </w:rPr>
            </w:pPr>
            <w:r>
              <w:rPr>
                <w:rFonts w:ascii="Arial" w:cs="Arial" w:eastAsia="Arial" w:hAnsi="Arial"/>
                <w:sz w:val="18"/>
                <w:szCs w:val="18"/>
                <w:color w:val="auto"/>
              </w:rPr>
              <w:t>Includes business acquisitions and divestitures.</w:t>
            </w: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440" w:type="dxa"/>
            <w:vAlign w:val="bottom"/>
            <w:gridSpan w:val="2"/>
            <w:vMerge w:val="continue"/>
          </w:tcPr>
          <w:p>
            <w:pPr>
              <w:spacing w:after="0"/>
              <w:rPr>
                <w:sz w:val="20"/>
                <w:szCs w:val="20"/>
                <w:color w:val="auto"/>
              </w:rPr>
            </w:pPr>
          </w:p>
        </w:tc>
        <w:tc>
          <w:tcPr>
            <w:tcW w:w="92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920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 w:type="dxa"/>
            <w:vAlign w:val="bottom"/>
          </w:tcPr>
          <w:p>
            <w:pPr>
              <w:spacing w:after="0"/>
              <w:rPr>
                <w:sz w:val="7"/>
                <w:szCs w:val="7"/>
                <w:color w:val="auto"/>
              </w:rPr>
            </w:pPr>
          </w:p>
        </w:tc>
        <w:tc>
          <w:tcPr>
            <w:tcW w:w="3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6383655</wp:posOffset>
            </wp:positionH>
            <wp:positionV relativeFrom="paragraph">
              <wp:posOffset>-3542030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-3542030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-3542030</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-3542030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-3542030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-3542030</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-1886585</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-1886585</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-1886585</wp:posOffset>
            </wp:positionV>
            <wp:extent cx="2159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-1886585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-1886585</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-1886585</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-1886585</wp:posOffset>
            </wp:positionV>
            <wp:extent cx="2444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-231775</wp:posOffset>
            </wp:positionV>
            <wp:extent cx="30416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-231775</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-231775</wp:posOffset>
            </wp:positionV>
            <wp:extent cx="215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-231775</wp:posOffset>
            </wp:positionV>
            <wp:extent cx="3873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Schlumberger Limited</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of stockholders’ equity and of cash flows present fairly, in all material respects, the financial position of Schlumberger Limited and its subsidiaries at December 31, 2002 and 2001, and the results of their operations and their cash flows for each of the three years in the period ended December 31, 2002,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As discussed in the note </w:t>
      </w:r>
      <w:r>
        <w:rPr>
          <w:rFonts w:ascii="Arial" w:cs="Arial" w:eastAsia="Arial" w:hAnsi="Arial"/>
          <w:sz w:val="15"/>
          <w:szCs w:val="15"/>
          <w:i w:val="1"/>
          <w:iCs w:val="1"/>
          <w:color w:val="auto"/>
        </w:rPr>
        <w:t>New Accounting Standards</w:t>
      </w:r>
      <w:r>
        <w:rPr>
          <w:rFonts w:ascii="Arial" w:cs="Arial" w:eastAsia="Arial" w:hAnsi="Arial"/>
          <w:sz w:val="15"/>
          <w:szCs w:val="15"/>
          <w:color w:val="auto"/>
        </w:rPr>
        <w:t xml:space="preserve"> to the Consolidated Financial Statements, in 2002 the Company changed its accounting method for goodwill.</w:t>
      </w:r>
    </w:p>
    <w:p>
      <w:pPr>
        <w:spacing w:after="0" w:line="200" w:lineRule="exact"/>
        <w:rPr>
          <w:sz w:val="20"/>
          <w:szCs w:val="20"/>
          <w:color w:val="auto"/>
        </w:rPr>
      </w:pPr>
    </w:p>
    <w:p>
      <w:pPr>
        <w:spacing w:after="0" w:line="208" w:lineRule="exact"/>
        <w:rPr>
          <w:sz w:val="20"/>
          <w:szCs w:val="20"/>
          <w:color w:val="auto"/>
        </w:rPr>
      </w:pPr>
    </w:p>
    <w:p>
      <w:pPr>
        <w:ind w:left="1080"/>
        <w:spacing w:after="0"/>
        <w:tabs>
          <w:tab w:leader="none" w:pos="1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January 22, 2003, except for the discontinued operations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accounting treatment discussed in the note “Discontinued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Operations in 2003” as to which the date is September 11,</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2003</w:t>
      </w:r>
    </w:p>
    <w:p>
      <w:pPr>
        <w:sectPr>
          <w:pgSz w:w="11900" w:h="16838" w:orient="portrait"/>
          <w:cols w:equalWidth="0" w:num="1">
            <w:col w:w="11400"/>
          </w:cols>
          <w:pgMar w:left="240" w:top="280"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Quarterly Results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following table summarizes Schlumberger’s results for each of the four quarters for the years ended December 31, 2002 and 2001. Revenue and Gross margin, which equals operating revenue less cost of goods sold and services, has been restated to exclude discontinued operations.</w:t>
      </w: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12"/>
          </w:tcPr>
          <w:p>
            <w:pPr>
              <w:jc w:val="right"/>
              <w:ind w:right="100"/>
              <w:spacing w:after="0"/>
              <w:rPr>
                <w:sz w:val="20"/>
                <w:szCs w:val="20"/>
                <w:color w:val="auto"/>
              </w:rPr>
            </w:pPr>
            <w:r>
              <w:rPr>
                <w:rFonts w:ascii="Arial" w:cs="Arial" w:eastAsia="Arial" w:hAnsi="Arial"/>
                <w:sz w:val="14"/>
                <w:szCs w:val="14"/>
                <w:i w:val="1"/>
                <w:iCs w:val="1"/>
                <w:color w:val="auto"/>
                <w:w w:val="91"/>
              </w:rPr>
              <w:t>(Stated in millions except per share amounts)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Earnings per</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0"/>
              </w:rPr>
              <w:t xml:space="preserve">share </w:t>
            </w:r>
            <w:r>
              <w:rPr>
                <w:rFonts w:ascii="Arial" w:cs="Arial" w:eastAsia="Arial" w:hAnsi="Arial"/>
                <w:sz w:val="22"/>
                <w:szCs w:val="22"/>
                <w:b w:val="1"/>
                <w:bCs w:val="1"/>
                <w:color w:val="auto"/>
                <w:w w:val="80"/>
                <w:vertAlign w:val="superscript"/>
              </w:rPr>
              <w:t>7</w:t>
            </w:r>
          </w:p>
        </w:tc>
        <w:tc>
          <w:tcPr>
            <w:tcW w:w="110" w:type="dxa"/>
            <w:vAlign w:val="bottom"/>
          </w:tcPr>
          <w:p>
            <w:pPr>
              <w:spacing w:after="0"/>
              <w:rPr>
                <w:sz w:val="22"/>
                <w:szCs w:val="22"/>
                <w:color w:val="auto"/>
              </w:rPr>
            </w:pPr>
          </w:p>
        </w:tc>
        <w:tc>
          <w:tcPr>
            <w:tcW w:w="39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2"/>
            <w:vMerge w:val="restart"/>
          </w:tcPr>
          <w:p>
            <w:pPr>
              <w:jc w:val="right"/>
              <w:ind w:right="420"/>
              <w:spacing w:after="0" w:line="14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 w:type="dxa"/>
            <w:vAlign w:val="bottom"/>
            <w:tcBorders>
              <w:bottom w:val="single" w:sz="8" w:color="auto"/>
            </w:tcBorders>
          </w:tcPr>
          <w:p>
            <w:pPr>
              <w:spacing w:after="0"/>
              <w:rPr>
                <w:sz w:val="3"/>
                <w:szCs w:val="3"/>
                <w:color w:val="auto"/>
              </w:rPr>
            </w:pPr>
          </w:p>
        </w:tc>
        <w:tc>
          <w:tcPr>
            <w:tcW w:w="39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0" w:type="dxa"/>
            <w:vAlign w:val="bottom"/>
          </w:tcPr>
          <w:p>
            <w:pPr>
              <w:spacing w:after="0"/>
              <w:rPr>
                <w:sz w:val="7"/>
                <w:szCs w:val="7"/>
                <w:color w:val="auto"/>
              </w:rPr>
            </w:pPr>
          </w:p>
        </w:tc>
        <w:tc>
          <w:tcPr>
            <w:tcW w:w="39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Revenue</w:t>
            </w: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Margin</w:t>
            </w:r>
          </w:p>
        </w:tc>
        <w:tc>
          <w:tcPr>
            <w:tcW w:w="220" w:type="dxa"/>
            <w:vAlign w:val="bottom"/>
          </w:tcPr>
          <w:p>
            <w:pPr>
              <w:spacing w:after="0"/>
              <w:rPr>
                <w:sz w:val="15"/>
                <w:szCs w:val="15"/>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Income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Basic</w:t>
            </w:r>
          </w:p>
        </w:tc>
        <w:tc>
          <w:tcPr>
            <w:tcW w:w="6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Diluted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Quarters-2002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line="217" w:lineRule="exact"/>
              <w:rPr>
                <w:sz w:val="20"/>
                <w:szCs w:val="20"/>
                <w:color w:val="auto"/>
              </w:rPr>
            </w:pPr>
            <w:r>
              <w:rPr>
                <w:rFonts w:ascii="Arial" w:cs="Arial" w:eastAsia="Arial" w:hAnsi="Arial"/>
                <w:sz w:val="18"/>
                <w:szCs w:val="18"/>
                <w:color w:val="auto"/>
              </w:rPr>
              <w:t xml:space="preserve">First </w:t>
            </w:r>
            <w:r>
              <w:rPr>
                <w:rFonts w:ascii="Arial" w:cs="Arial" w:eastAsia="Arial" w:hAnsi="Arial"/>
                <w:sz w:val="22"/>
                <w:szCs w:val="22"/>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3,257</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695</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center"/>
              <w:ind w:left="14"/>
              <w:spacing w:after="0"/>
              <w:rPr>
                <w:sz w:val="20"/>
                <w:szCs w:val="20"/>
                <w:color w:val="auto"/>
              </w:rPr>
            </w:pPr>
            <w:r>
              <w:rPr>
                <w:rFonts w:ascii="Arial" w:cs="Arial" w:eastAsia="Arial" w:hAnsi="Arial"/>
                <w:sz w:val="18"/>
                <w:szCs w:val="18"/>
                <w:b w:val="1"/>
                <w:bCs w:val="1"/>
                <w:color w:val="auto"/>
                <w:w w:val="85"/>
              </w:rPr>
              <w:t>0.30</w:t>
            </w:r>
          </w:p>
        </w:tc>
        <w:tc>
          <w:tcPr>
            <w:tcW w:w="420" w:type="dxa"/>
            <w:vAlign w:val="bottom"/>
          </w:tcPr>
          <w:p>
            <w:pPr>
              <w:spacing w:after="0"/>
              <w:rPr>
                <w:sz w:val="18"/>
                <w:szCs w:val="18"/>
                <w:color w:val="auto"/>
              </w:rPr>
            </w:pP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90" w:type="dxa"/>
            <w:vAlign w:val="bottom"/>
          </w:tcPr>
          <w:p>
            <w:pPr>
              <w:jc w:val="right"/>
              <w:spacing w:after="0"/>
              <w:rPr>
                <w:sz w:val="20"/>
                <w:szCs w:val="20"/>
                <w:color w:val="auto"/>
              </w:rPr>
            </w:pPr>
            <w:r>
              <w:rPr>
                <w:rFonts w:ascii="Arial" w:cs="Arial" w:eastAsia="Arial" w:hAnsi="Arial"/>
                <w:sz w:val="18"/>
                <w:szCs w:val="18"/>
                <w:b w:val="1"/>
                <w:bCs w:val="1"/>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Second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b w:val="1"/>
                <w:bCs w:val="1"/>
                <w:color w:val="auto"/>
                <w:w w:val="85"/>
              </w:rPr>
              <w:t>0.34</w:t>
            </w:r>
          </w:p>
        </w:tc>
        <w:tc>
          <w:tcPr>
            <w:tcW w:w="4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Third</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3,446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center"/>
              <w:ind w:left="14"/>
              <w:spacing w:after="0"/>
              <w:rPr>
                <w:sz w:val="20"/>
                <w:szCs w:val="20"/>
                <w:color w:val="auto"/>
              </w:rPr>
            </w:pPr>
            <w:r>
              <w:rPr>
                <w:rFonts w:ascii="Arial" w:cs="Arial" w:eastAsia="Arial" w:hAnsi="Arial"/>
                <w:sz w:val="18"/>
                <w:szCs w:val="18"/>
                <w:b w:val="1"/>
                <w:bCs w:val="1"/>
                <w:color w:val="auto"/>
                <w:w w:val="85"/>
              </w:rPr>
              <w:t>0.30</w:t>
            </w:r>
          </w:p>
        </w:tc>
        <w:tc>
          <w:tcPr>
            <w:tcW w:w="4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90" w:type="dxa"/>
            <w:vAlign w:val="bottom"/>
          </w:tcPr>
          <w:p>
            <w:pPr>
              <w:jc w:val="right"/>
              <w:spacing w:after="0"/>
              <w:rPr>
                <w:sz w:val="20"/>
                <w:szCs w:val="20"/>
                <w:color w:val="auto"/>
              </w:rPr>
            </w:pPr>
            <w:r>
              <w:rPr>
                <w:rFonts w:ascii="Arial" w:cs="Arial" w:eastAsia="Arial" w:hAnsi="Arial"/>
                <w:sz w:val="18"/>
                <w:szCs w:val="18"/>
                <w:b w:val="1"/>
                <w:bCs w:val="1"/>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Fourth </w:t>
            </w:r>
            <w:r>
              <w:rPr>
                <w:rFonts w:ascii="Arial" w:cs="Arial" w:eastAsia="Arial" w:hAnsi="Arial"/>
                <w:sz w:val="22"/>
                <w:szCs w:val="22"/>
                <w:color w:val="auto"/>
                <w:vertAlign w:val="superscript"/>
              </w:rPr>
              <w:t>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(2,433)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(2,861)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252"/>
              <w:spacing w:after="0"/>
              <w:rPr>
                <w:sz w:val="20"/>
                <w:szCs w:val="20"/>
                <w:color w:val="auto"/>
              </w:rPr>
            </w:pPr>
            <w:r>
              <w:rPr>
                <w:rFonts w:ascii="Arial" w:cs="Arial" w:eastAsia="Arial" w:hAnsi="Arial"/>
                <w:sz w:val="18"/>
                <w:szCs w:val="18"/>
                <w:b w:val="1"/>
                <w:bCs w:val="1"/>
                <w:color w:val="auto"/>
                <w:w w:val="89"/>
              </w:rPr>
              <w:t>(4.92)</w:t>
            </w:r>
          </w:p>
        </w:tc>
        <w:tc>
          <w:tcPr>
            <w:tcW w:w="110" w:type="dxa"/>
            <w:vAlign w:val="bottom"/>
            <w:shd w:val="clear" w:color="auto" w:fill="CCEEFF"/>
          </w:tcPr>
          <w:p>
            <w:pPr>
              <w:spacing w:after="0"/>
              <w:rPr>
                <w:sz w:val="18"/>
                <w:szCs w:val="18"/>
                <w:color w:val="auto"/>
              </w:rPr>
            </w:pPr>
          </w:p>
        </w:tc>
        <w:tc>
          <w:tcPr>
            <w:tcW w:w="4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(4.92)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13,474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(2,320)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center"/>
              <w:ind w:right="252"/>
              <w:spacing w:after="0"/>
              <w:rPr>
                <w:sz w:val="20"/>
                <w:szCs w:val="20"/>
                <w:color w:val="auto"/>
              </w:rPr>
            </w:pPr>
            <w:r>
              <w:rPr>
                <w:rFonts w:ascii="Arial" w:cs="Arial" w:eastAsia="Arial" w:hAnsi="Arial"/>
                <w:sz w:val="18"/>
                <w:szCs w:val="18"/>
                <w:b w:val="1"/>
                <w:bCs w:val="1"/>
                <w:color w:val="auto"/>
                <w:w w:val="89"/>
              </w:rPr>
              <w:t>(4.01)</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(4.01)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Quarters-2001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line="217" w:lineRule="exact"/>
              <w:rPr>
                <w:sz w:val="20"/>
                <w:szCs w:val="20"/>
                <w:color w:val="auto"/>
              </w:rPr>
            </w:pPr>
            <w:r>
              <w:rPr>
                <w:rFonts w:ascii="Arial" w:cs="Arial" w:eastAsia="Arial" w:hAnsi="Arial"/>
                <w:sz w:val="18"/>
                <w:szCs w:val="18"/>
                <w:color w:val="auto"/>
              </w:rPr>
              <w:t xml:space="preserve">First </w:t>
            </w:r>
            <w:r>
              <w:rPr>
                <w:rFonts w:ascii="Arial" w:cs="Arial" w:eastAsia="Arial" w:hAnsi="Arial"/>
                <w:sz w:val="22"/>
                <w:szCs w:val="22"/>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2,951</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ind w:left="14"/>
              <w:spacing w:after="0"/>
              <w:rPr>
                <w:sz w:val="20"/>
                <w:szCs w:val="20"/>
                <w:color w:val="auto"/>
              </w:rPr>
            </w:pPr>
            <w:r>
              <w:rPr>
                <w:rFonts w:ascii="Arial" w:cs="Arial" w:eastAsia="Arial" w:hAnsi="Arial"/>
                <w:sz w:val="18"/>
                <w:szCs w:val="18"/>
                <w:color w:val="auto"/>
                <w:w w:val="85"/>
              </w:rPr>
              <w:t>0.41</w:t>
            </w:r>
          </w:p>
        </w:tc>
        <w:tc>
          <w:tcPr>
            <w:tcW w:w="420" w:type="dxa"/>
            <w:vAlign w:val="bottom"/>
          </w:tcPr>
          <w:p>
            <w:pPr>
              <w:spacing w:after="0"/>
              <w:rPr>
                <w:sz w:val="18"/>
                <w:szCs w:val="18"/>
                <w:color w:val="auto"/>
              </w:rPr>
            </w:pP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9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Second </w:t>
            </w:r>
            <w:r>
              <w:rPr>
                <w:rFonts w:ascii="Arial" w:cs="Arial" w:eastAsia="Arial" w:hAnsi="Arial"/>
                <w:sz w:val="22"/>
                <w:szCs w:val="22"/>
                <w:color w:val="auto"/>
                <w:vertAlign w:val="superscript"/>
              </w:rPr>
              <w:t>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252"/>
              <w:spacing w:after="0"/>
              <w:rPr>
                <w:sz w:val="20"/>
                <w:szCs w:val="20"/>
                <w:color w:val="auto"/>
              </w:rPr>
            </w:pPr>
            <w:r>
              <w:rPr>
                <w:rFonts w:ascii="Arial" w:cs="Arial" w:eastAsia="Arial" w:hAnsi="Arial"/>
                <w:sz w:val="18"/>
                <w:szCs w:val="18"/>
                <w:color w:val="auto"/>
                <w:w w:val="89"/>
              </w:rPr>
              <w:t>(0.16)</w:t>
            </w:r>
          </w:p>
        </w:tc>
        <w:tc>
          <w:tcPr>
            <w:tcW w:w="110" w:type="dxa"/>
            <w:vAlign w:val="bottom"/>
            <w:shd w:val="clear" w:color="auto" w:fill="CCEEFF"/>
          </w:tcPr>
          <w:p>
            <w:pPr>
              <w:spacing w:after="0"/>
              <w:rPr>
                <w:sz w:val="18"/>
                <w:szCs w:val="18"/>
                <w:color w:val="auto"/>
              </w:rPr>
            </w:pPr>
          </w:p>
        </w:tc>
        <w:tc>
          <w:tcPr>
            <w:tcW w:w="4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line="217" w:lineRule="exact"/>
              <w:rPr>
                <w:sz w:val="20"/>
                <w:szCs w:val="20"/>
                <w:color w:val="auto"/>
              </w:rPr>
            </w:pPr>
            <w:r>
              <w:rPr>
                <w:rFonts w:ascii="Arial" w:cs="Arial" w:eastAsia="Arial" w:hAnsi="Arial"/>
                <w:sz w:val="18"/>
                <w:szCs w:val="18"/>
                <w:color w:val="auto"/>
              </w:rPr>
              <w:t xml:space="preserve">Third </w:t>
            </w:r>
            <w:r>
              <w:rPr>
                <w:rFonts w:ascii="Arial" w:cs="Arial" w:eastAsia="Arial" w:hAnsi="Arial"/>
                <w:sz w:val="22"/>
                <w:szCs w:val="22"/>
                <w:color w:val="auto"/>
                <w:vertAlign w:val="superscript"/>
              </w:rPr>
              <w:t>5</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center"/>
              <w:ind w:left="14"/>
              <w:spacing w:after="0"/>
              <w:rPr>
                <w:sz w:val="20"/>
                <w:szCs w:val="20"/>
                <w:color w:val="auto"/>
              </w:rPr>
            </w:pPr>
            <w:r>
              <w:rPr>
                <w:rFonts w:ascii="Arial" w:cs="Arial" w:eastAsia="Arial" w:hAnsi="Arial"/>
                <w:sz w:val="18"/>
                <w:szCs w:val="18"/>
                <w:color w:val="auto"/>
                <w:w w:val="85"/>
              </w:rPr>
              <w:t>0.34</w:t>
            </w:r>
          </w:p>
        </w:tc>
        <w:tc>
          <w:tcPr>
            <w:tcW w:w="4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9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Fourth </w:t>
            </w:r>
            <w:r>
              <w:rPr>
                <w:rFonts w:ascii="Arial" w:cs="Arial" w:eastAsia="Arial" w:hAnsi="Arial"/>
                <w:sz w:val="22"/>
                <w:szCs w:val="22"/>
                <w:color w:val="auto"/>
                <w:vertAlign w:val="superscript"/>
              </w:rPr>
              <w:t>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5"/>
              </w:rPr>
              <w:t>0.32</w:t>
            </w:r>
          </w:p>
        </w:tc>
        <w:tc>
          <w:tcPr>
            <w:tcW w:w="4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3,043</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5"/>
              </w:rPr>
              <w:t>0.91</w:t>
            </w:r>
          </w:p>
        </w:tc>
        <w:tc>
          <w:tcPr>
            <w:tcW w:w="42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-1161415</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-1161415</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-1161415</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-1161415</wp:posOffset>
            </wp:positionV>
            <wp:extent cx="38989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-1161415</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-1161415</wp:posOffset>
            </wp:positionV>
            <wp:extent cx="2159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-1161415</wp:posOffset>
            </wp:positionV>
            <wp:extent cx="3873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-1161415</wp:posOffset>
            </wp:positionV>
            <wp:extent cx="33845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-1161415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-1161415</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-1161415</wp:posOffset>
            </wp:positionV>
            <wp:extent cx="3873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38163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3873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53924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539240" cy="29845"/>
                    </a:xfrm>
                    <a:prstGeom prst="rect">
                      <a:avLst/>
                    </a:prstGeom>
                    <a:noFill/>
                  </pic:spPr>
                </pic:pic>
              </a:graphicData>
            </a:graphic>
          </wp:anchor>
        </w:drawing>
      </w:r>
    </w:p>
    <w:p>
      <w:pPr>
        <w:spacing w:after="0" w:line="33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Includes an after-tax charge of $29 million ($0.05 per share – diluted).</w:t>
      </w:r>
    </w:p>
    <w:p>
      <w:pPr>
        <w:ind w:left="460" w:hanging="452"/>
        <w:spacing w:after="0" w:line="205" w:lineRule="auto"/>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charge of $3,081 million ($5.30 per share).</w:t>
      </w:r>
    </w:p>
    <w:p>
      <w:pPr>
        <w:ind w:left="460" w:hanging="452"/>
        <w:spacing w:after="0" w:line="205" w:lineRule="auto"/>
        <w:tabs>
          <w:tab w:leader="none" w:pos="46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Includes a $25 million (pretax and after tax) in-process R&amp;D charge ($0.04 per share – diluted).</w:t>
      </w:r>
    </w:p>
    <w:p>
      <w:pPr>
        <w:ind w:left="460" w:hanging="452"/>
        <w:spacing w:after="0" w:line="205" w:lineRule="auto"/>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charge of $280 million ($0.48 per share – diluted).</w:t>
      </w:r>
    </w:p>
    <w:p>
      <w:pPr>
        <w:ind w:left="460" w:hanging="452"/>
        <w:spacing w:after="0" w:line="205"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credit of $3 million ($0.00 per share – diluted).</w:t>
      </w:r>
    </w:p>
    <w:p>
      <w:pPr>
        <w:ind w:left="460" w:hanging="452"/>
        <w:spacing w:after="0" w:line="205"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credit of $5 million ($0.01 per share – diluted).</w:t>
      </w:r>
    </w:p>
    <w:p>
      <w:pPr>
        <w:ind w:left="460" w:hanging="452"/>
        <w:spacing w:after="0" w:line="208" w:lineRule="auto"/>
        <w:tabs>
          <w:tab w:leader="none" w:pos="46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The addition of earnings per share by quarter may not equal total earnings per share for the year.</w:t>
      </w:r>
    </w:p>
    <w:p>
      <w:pPr>
        <w:spacing w:after="0" w:line="8"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8"/>
          <w:szCs w:val="18"/>
          <w:color w:val="auto"/>
        </w:rPr>
        <w:t>*</w:t>
      </w:r>
      <w:r>
        <w:rPr>
          <w:rFonts w:ascii="Arial" w:cs="Arial" w:eastAsia="Arial" w:hAnsi="Arial"/>
          <w:sz w:val="16"/>
          <w:szCs w:val="16"/>
          <w:color w:val="auto"/>
        </w:rPr>
        <w:t>Mark of Schlumberger</w:t>
      </w:r>
    </w:p>
    <w:p>
      <w:pPr>
        <w:sectPr>
          <w:pgSz w:w="11900" w:h="16838" w:orient="portrait"/>
          <w:cols w:equalWidth="0" w:num="1">
            <w:col w:w="11420"/>
          </w:cols>
          <w:pgMar w:left="240" w:top="274" w:right="239" w:bottom="1440" w:gutter="0" w:footer="0" w:header="0"/>
        </w:sectPr>
      </w:pPr>
    </w:p>
    <w:bookmarkStart w:id="39" w:name="page40"/>
    <w:bookmarkEnd w:id="39"/>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jc w:val="right"/>
        <w:ind w:right="6259"/>
        <w:spacing w:after="0"/>
        <w:tabs>
          <w:tab w:leader="none" w:pos="25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Independent Accountants</w:t>
      </w:r>
    </w:p>
    <w:p>
      <w:pPr>
        <w:sectPr>
          <w:pgSz w:w="11900" w:h="16838" w:orient="portrait"/>
          <w:cols w:equalWidth="0" w:num="1">
            <w:col w:w="10219"/>
          </w:cols>
          <w:pgMar w:left="240" w:top="274" w:right="1440"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(SCHLUMBERGER LIMITED)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6260" w:val="left"/>
          <w:tab w:leader="none" w:pos="6780" w:val="left"/>
          <w:tab w:leader="none" w:pos="7140" w:val="left"/>
        </w:tabs>
        <w:rPr>
          <w:sz w:val="20"/>
          <w:szCs w:val="20"/>
          <w:color w:val="auto"/>
        </w:rPr>
      </w:pPr>
      <w:r>
        <w:rPr>
          <w:rFonts w:ascii="Arial" w:cs="Arial" w:eastAsia="Arial" w:hAnsi="Arial"/>
          <w:sz w:val="18"/>
          <w:szCs w:val="18"/>
          <w:color w:val="auto"/>
        </w:rPr>
        <w:t>Date: September 11, 2003</w:t>
      </w:r>
      <w:r>
        <w:rPr>
          <w:sz w:val="20"/>
          <w:szCs w:val="20"/>
          <w:color w:val="auto"/>
        </w:rPr>
        <w:tab/>
      </w: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A. S</w:t>
      </w:r>
      <w:r>
        <w:rPr>
          <w:rFonts w:ascii="Arial" w:cs="Arial" w:eastAsia="Arial" w:hAnsi="Arial"/>
          <w:sz w:val="13"/>
          <w:szCs w:val="13"/>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80010</wp:posOffset>
            </wp:positionV>
            <wp:extent cx="29845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1400"/>
          </w:cols>
          <w:pgMar w:left="240" w:top="274" w:right="2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CONSENT OF INDEPENDENT ACCOUNTANTS</w:t>
      </w:r>
    </w:p>
    <w:p>
      <w:pPr>
        <w:spacing w:after="0" w:line="16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hereby consent to the incorporation by reference in the Registration Statements on Forms S-8 (Nos. 33-35606, 33-47592, 33-86424, 333-40227, 333-62545, 333-36366, 333-33364, 333-67330 and 333-104225) and Form S-4 (No. 333-97899) of Schlumberger Limited of our report dated January 22, 2003, except as to the discontinued operations accounting treatment as discussed in the note “Discontinued Operations in 2003” as to which the date is September 11, 2003, relating to the financial statements of Schlumberger Limited, which appears in this Current Report on Form 8-K.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2003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1)"/>
      <w:numFmt w:val="upperLetter"/>
      <w:start w:val="35"/>
    </w:lvl>
  </w:abstractNum>
  <w:abstractNum w:abstractNumId="3">
    <w:nsid w:val="1190CDE7"/>
    <w:multiLevelType w:val="hybridMultilevel"/>
    <w:lvl w:ilvl="0">
      <w:lvlJc w:val="left"/>
      <w:lvlText w:val="n"/>
      <w:numFmt w:val="bullet"/>
      <w:start w:val="1"/>
    </w:lvl>
  </w:abstractNum>
  <w:abstractNum w:abstractNumId="4">
    <w:nsid w:val="66EF438D"/>
    <w:multiLevelType w:val="hybridMultilevel"/>
    <w:lvl w:ilvl="0">
      <w:lvlJc w:val="left"/>
      <w:lvlText w:val="n"/>
      <w:numFmt w:val="bullet"/>
      <w:start w:val="1"/>
    </w:lvl>
  </w:abstractNum>
  <w:abstractNum w:abstractNumId="5">
    <w:nsid w:val="140E0F76"/>
    <w:multiLevelType w:val="hybridMultilevel"/>
    <w:lvl w:ilvl="0">
      <w:lvlJc w:val="left"/>
      <w:lvlText w:val="n"/>
      <w:numFmt w:val="bullet"/>
      <w:start w:val="1"/>
    </w:lvl>
  </w:abstractNum>
  <w:abstractNum w:abstractNumId="6">
    <w:nsid w:val="3352255A"/>
    <w:multiLevelType w:val="hybridMultilevel"/>
    <w:lvl w:ilvl="0">
      <w:lvlJc w:val="left"/>
      <w:lvlText w:val="n"/>
      <w:numFmt w:val="bullet"/>
      <w:start w:val="1"/>
    </w:lvl>
  </w:abstractNum>
  <w:abstractNum w:abstractNumId="7">
    <w:nsid w:val="109CF92E"/>
    <w:multiLevelType w:val="hybridMultilevel"/>
    <w:lvl w:ilvl="0">
      <w:lvlJc w:val="left"/>
      <w:lvlText w:val="n"/>
      <w:numFmt w:val="bullet"/>
      <w:start w:val="1"/>
    </w:lvl>
  </w:abstractNum>
  <w:abstractNum w:abstractNumId="8">
    <w:nsid w:val="DED7263"/>
    <w:multiLevelType w:val="hybridMultilevel"/>
    <w:lvl w:ilvl="0">
      <w:lvlJc w:val="left"/>
      <w:lvlText w:val="n"/>
      <w:numFmt w:val="bullet"/>
      <w:start w:val="1"/>
    </w:lvl>
  </w:abstractNum>
  <w:abstractNum w:abstractNumId="9">
    <w:nsid w:val="7FDCC233"/>
    <w:multiLevelType w:val="hybridMultilevel"/>
    <w:lvl w:ilvl="0">
      <w:lvlJc w:val="left"/>
      <w:lvlText w:val="n"/>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bullet"/>
      <w:start w:val="1"/>
    </w:lvl>
  </w:abstractNum>
  <w:abstractNum w:abstractNumId="13">
    <w:nsid w:val="4E6AFB66"/>
    <w:multiLevelType w:val="hybridMultilevel"/>
    <w:lvl w:ilvl="0">
      <w:lvlJc w:val="left"/>
      <w:lvlText w:val="2"/>
      <w:numFmt w:val="bullet"/>
      <w:start w:val="1"/>
    </w:lvl>
  </w:abstractNum>
  <w:abstractNum w:abstractNumId="14">
    <w:nsid w:val="25E45D32"/>
    <w:multiLevelType w:val="hybridMultilevel"/>
    <w:lvl w:ilvl="0">
      <w:lvlJc w:val="left"/>
      <w:lvlText w:val="3"/>
      <w:numFmt w:val="bullet"/>
      <w:start w:val="1"/>
    </w:lvl>
  </w:abstractNum>
  <w:abstractNum w:abstractNumId="15">
    <w:nsid w:val="519B500D"/>
    <w:multiLevelType w:val="hybridMultilevel"/>
    <w:lvl w:ilvl="0">
      <w:lvlJc w:val="left"/>
      <w:lvlText w:val="4"/>
      <w:numFmt w:val="bullet"/>
      <w:start w:val="1"/>
    </w:lvl>
  </w:abstractNum>
  <w:abstractNum w:abstractNumId="16">
    <w:nsid w:val="431BD7B7"/>
    <w:multiLevelType w:val="hybridMultilevel"/>
    <w:lvl w:ilvl="0">
      <w:lvlJc w:val="left"/>
      <w:lvlText w:val="5"/>
      <w:numFmt w:val="bullet"/>
      <w:start w:val="1"/>
    </w:lvl>
  </w:abstractNum>
  <w:abstractNum w:abstractNumId="17">
    <w:nsid w:val="3F2DBA31"/>
    <w:multiLevelType w:val="hybridMultilevel"/>
    <w:lvl w:ilvl="0">
      <w:lvlJc w:val="left"/>
      <w:lvlText w:val="6"/>
      <w:numFmt w:val="bullet"/>
      <w:start w:val="1"/>
    </w:lvl>
  </w:abstractNum>
  <w:abstractNum w:abstractNumId="18">
    <w:nsid w:val="7C83E458"/>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2019-12-13T06:42:38Z</dcterms:created>
  <dcterms:modified xsi:type="dcterms:W3CDTF">2019-12-13T06:42:38Z</dcterms:modified>
</cp:coreProperties>
</file>