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107315</wp:posOffset>
            </wp:positionV>
            <wp:extent cx="2306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144145</wp:posOffset>
            </wp:positionV>
            <wp:extent cx="2306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122555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128905</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116205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80" w:lineRule="exact"/>
        <w:rPr>
          <w:sz w:val="24"/>
          <w:szCs w:val="24"/>
          <w:color w:val="auto"/>
        </w:rPr>
      </w:pPr>
    </w:p>
    <w:tbl>
      <w:tblPr>
        <w:tblLayout w:type="fixed"/>
        <w:tblInd w:w="1500" w:type="dxa"/>
        <w:tblCellMar>
          <w:top w:w="0" w:type="dxa"/>
          <w:left w:w="0" w:type="dxa"/>
          <w:bottom w:w="0" w:type="dxa"/>
          <w:right w:w="0" w:type="dxa"/>
        </w:tblCellMar>
      </w:tblPr>
      <w:tr>
        <w:trPr>
          <w:trHeight w:val="225"/>
        </w:trPr>
        <w:tc>
          <w:tcPr>
            <w:tcW w:w="4580" w:type="dxa"/>
            <w:vAlign w:val="bottom"/>
          </w:tcPr>
          <w:p>
            <w:pPr>
              <w:jc w:val="center"/>
              <w:ind w:right="1895"/>
              <w:spacing w:after="0"/>
              <w:rPr>
                <w:sz w:val="20"/>
                <w:szCs w:val="20"/>
                <w:color w:val="auto"/>
              </w:rPr>
            </w:pPr>
            <w:r>
              <w:rPr>
                <w:rFonts w:ascii="Arial" w:cs="Arial" w:eastAsia="Arial" w:hAnsi="Arial"/>
                <w:sz w:val="18"/>
                <w:szCs w:val="18"/>
                <w:b w:val="1"/>
                <w:bCs w:val="1"/>
                <w:color w:val="auto"/>
                <w:w w:val="99"/>
              </w:rPr>
              <w:t>CURAÇAO</w:t>
            </w:r>
          </w:p>
        </w:tc>
        <w:tc>
          <w:tcPr>
            <w:tcW w:w="3100" w:type="dxa"/>
            <w:vAlign w:val="bottom"/>
          </w:tcPr>
          <w:p>
            <w:pPr>
              <w:jc w:val="center"/>
              <w:ind w:left="1898"/>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580" w:type="dxa"/>
            <w:vAlign w:val="bottom"/>
          </w:tcPr>
          <w:p>
            <w:pPr>
              <w:jc w:val="center"/>
              <w:ind w:right="193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8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95"/>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98"/>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rPr>
              <w:t>42 RUE SAINT-DOMINIQUE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95"/>
              <w:spacing w:after="0"/>
              <w:rPr>
                <w:sz w:val="20"/>
                <w:szCs w:val="20"/>
                <w:color w:val="auto"/>
              </w:rPr>
            </w:pPr>
            <w:r>
              <w:rPr>
                <w:rFonts w:ascii="Arial" w:cs="Arial" w:eastAsia="Arial" w:hAnsi="Arial"/>
                <w:sz w:val="18"/>
                <w:szCs w:val="18"/>
                <w:b w:val="1"/>
                <w:bCs w:val="1"/>
                <w:color w:val="auto"/>
                <w:w w:val="97"/>
              </w:rPr>
              <w:t>PARIS, FRANCE</w:t>
            </w:r>
          </w:p>
        </w:tc>
        <w:tc>
          <w:tcPr>
            <w:tcW w:w="3100" w:type="dxa"/>
            <w:vAlign w:val="bottom"/>
          </w:tcPr>
          <w:p>
            <w:pPr>
              <w:jc w:val="center"/>
              <w:ind w:left="1898"/>
              <w:spacing w:after="0"/>
              <w:rPr>
                <w:sz w:val="20"/>
                <w:szCs w:val="20"/>
                <w:color w:val="auto"/>
              </w:rPr>
            </w:pPr>
            <w:r>
              <w:rPr>
                <w:rFonts w:ascii="Arial" w:cs="Arial" w:eastAsia="Arial" w:hAnsi="Arial"/>
                <w:sz w:val="18"/>
                <w:szCs w:val="18"/>
                <w:b w:val="1"/>
                <w:bCs w:val="1"/>
                <w:color w:val="auto"/>
                <w:w w:val="87"/>
              </w:rPr>
              <w:t>75007</w:t>
            </w:r>
          </w:p>
        </w:tc>
      </w:tr>
      <w:tr>
        <w:trPr>
          <w:trHeight w:val="387"/>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6"/>
              </w:rPr>
              <w:t>5599 SAN FELIPE, 17th FLOOR</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7"/>
              </w:rPr>
              <w:t>HOUSTON, TEXAS, U.S.A.</w:t>
            </w:r>
          </w:p>
        </w:tc>
        <w:tc>
          <w:tcPr>
            <w:tcW w:w="3100" w:type="dxa"/>
            <w:vAlign w:val="bottom"/>
          </w:tcPr>
          <w:p>
            <w:pPr>
              <w:jc w:val="center"/>
              <w:ind w:left="1898"/>
              <w:spacing w:after="0"/>
              <w:rPr>
                <w:sz w:val="20"/>
                <w:szCs w:val="20"/>
                <w:color w:val="auto"/>
              </w:rPr>
            </w:pPr>
            <w:r>
              <w:rPr>
                <w:rFonts w:ascii="Arial" w:cs="Arial" w:eastAsia="Arial" w:hAnsi="Arial"/>
                <w:sz w:val="18"/>
                <w:szCs w:val="18"/>
                <w:b w:val="1"/>
                <w:bCs w:val="1"/>
                <w:color w:val="auto"/>
                <w:w w:val="87"/>
              </w:rPr>
              <w:t>77056</w:t>
            </w:r>
          </w:p>
        </w:tc>
      </w:tr>
      <w:tr>
        <w:trPr>
          <w:trHeight w:val="387"/>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25"/>
        </w:trPr>
        <w:tc>
          <w:tcPr>
            <w:tcW w:w="4580" w:type="dxa"/>
            <w:vAlign w:val="bottom"/>
          </w:tcPr>
          <w:p>
            <w:pPr>
              <w:jc w:val="center"/>
              <w:ind w:right="1895"/>
              <w:spacing w:after="0"/>
              <w:rPr>
                <w:sz w:val="20"/>
                <w:szCs w:val="20"/>
                <w:color w:val="auto"/>
              </w:rPr>
            </w:pPr>
            <w:r>
              <w:rPr>
                <w:rFonts w:ascii="Arial" w:cs="Arial" w:eastAsia="Arial" w:hAnsi="Arial"/>
                <w:sz w:val="18"/>
                <w:szCs w:val="18"/>
                <w:b w:val="1"/>
                <w:bCs w:val="1"/>
                <w:color w:val="auto"/>
              </w:rPr>
              <w:t>THE NETHERLANDS</w:t>
            </w:r>
          </w:p>
        </w:tc>
        <w:tc>
          <w:tcPr>
            <w:tcW w:w="3100" w:type="dxa"/>
            <w:vAlign w:val="bottom"/>
          </w:tcPr>
          <w:p>
            <w:pPr>
              <w:jc w:val="center"/>
              <w:ind w:left="1898"/>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80" w:type="dxa"/>
            <w:vAlign w:val="bottom"/>
          </w:tcPr>
          <w:p>
            <w:pPr>
              <w:jc w:val="center"/>
              <w:ind w:right="187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00" w:type="dxa"/>
            <w:vAlign w:val="bottom"/>
          </w:tcPr>
          <w:p>
            <w:pPr>
              <w:jc w:val="center"/>
              <w:ind w:left="1898"/>
              <w:spacing w:after="0"/>
              <w:rPr>
                <w:sz w:val="20"/>
                <w:szCs w:val="20"/>
                <w:color w:val="auto"/>
              </w:rPr>
            </w:pPr>
            <w:r>
              <w:rPr>
                <w:rFonts w:ascii="Arial" w:cs="Arial" w:eastAsia="Arial" w:hAnsi="Arial"/>
                <w:sz w:val="14"/>
                <w:szCs w:val="14"/>
                <w:b w:val="1"/>
                <w:bCs w:val="1"/>
                <w:color w:val="auto"/>
                <w:w w:val="93"/>
              </w:rPr>
              <w:t>(Zip Codes)</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137795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04"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06" w:right="259" w:bottom="1440" w:gutter="0" w:footer="0" w:header="0"/>
        </w:sectPr>
      </w:pPr>
    </w:p>
    <w:p>
      <w:pPr>
        <w:spacing w:after="0" w:line="52"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40" w:space="460"/>
            <w:col w:w="5280" w:space="720"/>
            <w:col w:w="2300" w:space="720"/>
            <w:col w:w="280"/>
          </w:cols>
          <w:pgMar w:left="240" w:top="206" w:right="25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5">
            <w:col w:w="1540" w:space="560"/>
            <w:col w:w="160" w:space="100"/>
            <w:col w:w="5020" w:space="720"/>
            <w:col w:w="2300" w:space="720"/>
            <w:col w:w="280"/>
          </w:cols>
          <w:pgMar w:left="240" w:top="206"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180"/>
            <w:col w:w="260" w:space="100"/>
            <w:col w:w="160" w:space="180"/>
            <w:col w:w="2340"/>
          </w:cols>
          <w:pgMar w:left="240" w:top="206" w:right="25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Outstanding at September 30, 2013</w:t>
            </w:r>
          </w:p>
        </w:tc>
      </w:tr>
      <w:tr>
        <w:trPr>
          <w:trHeight w:val="20"/>
        </w:trPr>
        <w:tc>
          <w:tcPr>
            <w:tcW w:w="3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832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1,316,954,935</w:t>
            </w:r>
          </w:p>
        </w:tc>
      </w:tr>
    </w:tbl>
    <w:p>
      <w:pPr>
        <w:sectPr>
          <w:pgSz w:w="11900" w:h="16838" w:orient="portrait"/>
          <w:cols w:equalWidth="0" w:num="1">
            <w:col w:w="11400"/>
          </w:cols>
          <w:pgMar w:left="240" w:top="206"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2013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Informaiton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Financial Statements</w:t>
              </w:r>
            </w:hyperlink>
          </w:p>
        </w:tc>
        <w:tc>
          <w:tcPr>
            <w:tcW w:w="81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5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Management’s Discussion and Analysis of Financial Condition and Results of Operations</w:t>
              </w:r>
            </w:hyperlink>
          </w:p>
        </w:tc>
        <w:tc>
          <w:tcPr>
            <w:tcW w:w="3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2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Controls and Procedures</w:t>
              </w:r>
            </w:hyperlink>
          </w:p>
        </w:tc>
        <w:tc>
          <w:tcPr>
            <w:tcW w:w="78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45"/>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Legal Proceedings</w:t>
              </w:r>
            </w:hyperlink>
          </w:p>
        </w:tc>
        <w:tc>
          <w:tcPr>
            <w:tcW w:w="82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Risk Factors</w:t>
              </w:r>
            </w:hyperlink>
          </w:p>
        </w:tc>
        <w:tc>
          <w:tcPr>
            <w:tcW w:w="870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Unregistered Sales of Equity Securities and Use of Proceeds</w:t>
              </w:r>
            </w:hyperlink>
          </w:p>
        </w:tc>
        <w:tc>
          <w:tcPr>
            <w:tcW w:w="524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Defaults Upon Senior Securities</w:t>
              </w:r>
            </w:hyperlink>
          </w:p>
        </w:tc>
        <w:tc>
          <w:tcPr>
            <w:tcW w:w="728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Mine Safety Disclosures</w:t>
              </w:r>
            </w:hyperlink>
          </w:p>
        </w:tc>
        <w:tc>
          <w:tcPr>
            <w:tcW w:w="78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Other Information</w:t>
              </w:r>
            </w:hyperlink>
          </w:p>
        </w:tc>
        <w:tc>
          <w:tcPr>
            <w:tcW w:w="82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Exhibits</w:t>
              </w:r>
            </w:hyperlink>
          </w:p>
        </w:tc>
        <w:tc>
          <w:tcPr>
            <w:tcW w:w="900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4"/>
                <w:szCs w:val="24"/>
                <w:color w:val="auto"/>
              </w:rPr>
            </w:pPr>
          </w:p>
        </w:tc>
        <w:tc>
          <w:tcPr>
            <w:tcW w:w="964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gridSpan w:val="9"/>
          </w:tcPr>
          <w:p>
            <w:pPr>
              <w:ind w:left="420"/>
              <w:spacing w:after="0"/>
              <w:rPr>
                <w:sz w:val="20"/>
                <w:szCs w:val="20"/>
                <w:color w:val="auto"/>
              </w:rPr>
            </w:pPr>
            <w:r>
              <w:rPr>
                <w:rFonts w:ascii="Arial" w:cs="Arial" w:eastAsia="Arial" w:hAnsi="Arial"/>
                <w:sz w:val="14"/>
                <w:szCs w:val="14"/>
                <w:i w:val="1"/>
                <w:iCs w:val="1"/>
                <w:color w:val="auto"/>
                <w:w w:val="98"/>
              </w:rPr>
              <w:t>(Stated in millions, except per share amounts)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6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w w:val="89"/>
              </w:rPr>
              <w:t>2012</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w w:val="96"/>
              </w:rPr>
              <w:t>2012</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11,608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Cost of revenue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8,926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Research &amp; engineering</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General &amp; administrative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Merger &amp; integration</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Impairment &amp; other</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Interest</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before taxes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Taxes on income</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5,091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Net income attributable to noncontrolling interests</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1,715</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1,359</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5,137</w:t>
            </w:r>
          </w:p>
        </w:tc>
        <w:tc>
          <w:tcPr>
            <w:tcW w:w="180" w:type="dxa"/>
            <w:vAlign w:val="bottom"/>
          </w:tcPr>
          <w:p>
            <w:pPr>
              <w:spacing w:after="0"/>
              <w:rPr>
                <w:sz w:val="19"/>
                <w:szCs w:val="19"/>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3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w:t>
            </w:r>
          </w:p>
        </w:tc>
        <w:tc>
          <w:tcPr>
            <w:tcW w:w="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w:t>
            </w:r>
          </w:p>
        </w:tc>
        <w:tc>
          <w:tcPr>
            <w:tcW w:w="6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3.87</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Net income</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80" w:type="dxa"/>
            <w:vAlign w:val="bottom"/>
          </w:tcPr>
          <w:p>
            <w:pPr>
              <w:spacing w:after="0"/>
              <w:rPr>
                <w:sz w:val="19"/>
                <w:szCs w:val="19"/>
                <w:color w:val="auto"/>
              </w:rPr>
            </w:pP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(0.05)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3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Average shares outstanding:</w:t>
            </w: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Basic</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Assuming dilution</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5"/>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r>
      <w:tr>
        <w:trPr>
          <w:trHeight w:val="255"/>
        </w:trPr>
        <w:tc>
          <w:tcPr>
            <w:tcW w:w="5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Third Quarter</w:t>
            </w:r>
          </w:p>
        </w:tc>
        <w:tc>
          <w:tcPr>
            <w:tcW w:w="6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w:t>
            </w:r>
          </w:p>
        </w:tc>
        <w:tc>
          <w:tcPr>
            <w:tcW w:w="6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156"/>
        </w:trPr>
        <w:tc>
          <w:tcPr>
            <w:tcW w:w="59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w w:val="89"/>
              </w:rPr>
              <w:t>2012</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w w:val="96"/>
              </w:rPr>
              <w:t>2012</w:t>
            </w:r>
          </w:p>
        </w:tc>
        <w:tc>
          <w:tcPr>
            <w:tcW w:w="14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5,091</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14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Unrealized net change arising during the period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Unrealized (loss) gain arising during the period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derivatives gain (loss) on hedge transactions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Reclassification to net income of net realized (gain) loss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Actuarial loss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Actuarial loss arising during the period</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5940" w:type="dxa"/>
            <w:vAlign w:val="bottom"/>
          </w:tcPr>
          <w:p>
            <w:pPr>
              <w:ind w:left="420"/>
              <w:spacing w:after="0"/>
              <w:rPr>
                <w:sz w:val="20"/>
                <w:szCs w:val="20"/>
                <w:color w:val="auto"/>
              </w:rPr>
            </w:pPr>
            <w:r>
              <w:rPr>
                <w:rFonts w:ascii="Arial" w:cs="Arial" w:eastAsia="Arial" w:hAnsi="Arial"/>
                <w:sz w:val="18"/>
                <w:szCs w:val="18"/>
                <w:color w:val="auto"/>
              </w:rPr>
              <w:t>Amortization to net income of net actuarial loss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Prior service cost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940" w:type="dxa"/>
            <w:vAlign w:val="bottom"/>
          </w:tcPr>
          <w:p>
            <w:pPr>
              <w:ind w:left="420"/>
              <w:spacing w:after="0"/>
              <w:rPr>
                <w:sz w:val="20"/>
                <w:szCs w:val="20"/>
                <w:color w:val="auto"/>
              </w:rPr>
            </w:pPr>
            <w:r>
              <w:rPr>
                <w:rFonts w:ascii="Arial" w:cs="Arial" w:eastAsia="Arial" w:hAnsi="Arial"/>
                <w:sz w:val="18"/>
                <w:szCs w:val="18"/>
                <w:color w:val="auto"/>
              </w:rPr>
              <w:t>Amortization to net income of net prior service cost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taxes on pension and other postretirement benefit plans</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Comprehensive income</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4,379</w:t>
            </w:r>
          </w:p>
        </w:tc>
        <w:tc>
          <w:tcPr>
            <w:tcW w:w="140" w:type="dxa"/>
            <w:vAlign w:val="bottom"/>
          </w:tcPr>
          <w:p>
            <w:pPr>
              <w:spacing w:after="0"/>
              <w:rPr>
                <w:sz w:val="19"/>
                <w:szCs w:val="19"/>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Comprehensive income attributable to noncontrolling interests</w:t>
            </w:r>
          </w:p>
        </w:tc>
        <w:tc>
          <w:tcPr>
            <w:tcW w:w="7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7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5,230</w:t>
            </w: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4,359</w:t>
            </w:r>
          </w:p>
        </w:tc>
        <w:tc>
          <w:tcPr>
            <w:tcW w:w="14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right"/>
              <w:ind w:right="240"/>
              <w:spacing w:after="0"/>
              <w:rPr>
                <w:sz w:val="20"/>
                <w:szCs w:val="20"/>
                <w:color w:val="auto"/>
              </w:rPr>
            </w:pPr>
            <w:r>
              <w:rPr>
                <w:rFonts w:ascii="Arial" w:cs="Arial" w:eastAsia="Arial" w:hAnsi="Arial"/>
                <w:sz w:val="14"/>
                <w:szCs w:val="14"/>
                <w:i w:val="1"/>
                <w:iCs w:val="1"/>
                <w:color w:val="auto"/>
                <w:w w:val="97"/>
              </w:rPr>
              <w:t>(Stated in millions)</w:t>
            </w:r>
          </w:p>
        </w:tc>
      </w:tr>
      <w:tr>
        <w:trPr>
          <w:trHeight w:val="246"/>
        </w:trPr>
        <w:tc>
          <w:tcPr>
            <w:tcW w:w="6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Sept. 30, 2013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Dec. 31,</w:t>
            </w:r>
          </w:p>
        </w:tc>
      </w:tr>
      <w:tr>
        <w:trPr>
          <w:trHeight w:val="185"/>
        </w:trPr>
        <w:tc>
          <w:tcPr>
            <w:tcW w:w="6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6"/>
                <w:szCs w:val="16"/>
                <w:color w:val="auto"/>
              </w:rPr>
            </w:pPr>
          </w:p>
        </w:tc>
      </w:tr>
      <w:tr>
        <w:trPr>
          <w:trHeight w:val="223"/>
        </w:trPr>
        <w:tc>
          <w:tcPr>
            <w:tcW w:w="6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3,149</w:t>
            </w:r>
          </w:p>
        </w:tc>
        <w:tc>
          <w:tcPr>
            <w:tcW w:w="10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Receivables less allowance for doubtful accounts</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(2013—$254; 2012—$202)</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11,351</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Inventories</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4,895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assets</w:t>
            </w:r>
          </w:p>
        </w:tc>
        <w:tc>
          <w:tcPr>
            <w:tcW w:w="2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24,156</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Fixed Income Investments, held to maturity</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Investments in Affiliated Companies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Fixed Assets less accumulated depreciation</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14,780</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Multiclient Seismic Data</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Goodwill</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14,623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14,585</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4,802</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Assets</w:t>
            </w:r>
          </w:p>
        </w:tc>
        <w:tc>
          <w:tcPr>
            <w:tcW w:w="2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FF0FC"/>
          </w:tcPr>
          <w:p>
            <w:pPr>
              <w:spacing w:after="0"/>
              <w:rPr>
                <w:sz w:val="19"/>
                <w:szCs w:val="19"/>
                <w:color w:val="auto"/>
              </w:rPr>
            </w:pPr>
          </w:p>
        </w:tc>
      </w:tr>
      <w:tr>
        <w:trPr>
          <w:trHeight w:val="263"/>
        </w:trPr>
        <w:tc>
          <w:tcPr>
            <w:tcW w:w="6360" w:type="dxa"/>
            <w:vAlign w:val="bottom"/>
            <w:tcBorders>
              <w:bottom w:val="single" w:sz="8" w:color="CFF0FC"/>
            </w:tcBorders>
          </w:tcPr>
          <w:p>
            <w:pPr>
              <w:spacing w:after="0"/>
              <w:rPr>
                <w:sz w:val="22"/>
                <w:szCs w:val="22"/>
                <w:color w:val="auto"/>
              </w:rPr>
            </w:pPr>
          </w:p>
        </w:tc>
        <w:tc>
          <w:tcPr>
            <w:tcW w:w="26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65,123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gridSpan w:val="2"/>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61,547</w:t>
            </w:r>
          </w:p>
        </w:tc>
        <w:tc>
          <w:tcPr>
            <w:tcW w:w="220" w:type="dxa"/>
            <w:vAlign w:val="bottom"/>
            <w:tcBorders>
              <w:bottom w:val="single" w:sz="8" w:color="CFF0FC"/>
            </w:tcBorders>
          </w:tcPr>
          <w:p>
            <w:pPr>
              <w:spacing w:after="0"/>
              <w:rPr>
                <w:sz w:val="22"/>
                <w:szCs w:val="22"/>
                <w:color w:val="auto"/>
              </w:rPr>
            </w:pPr>
          </w:p>
        </w:tc>
      </w:tr>
      <w:tr>
        <w:trPr>
          <w:trHeight w:val="210"/>
        </w:trPr>
        <w:tc>
          <w:tcPr>
            <w:tcW w:w="63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8,366</w:t>
            </w:r>
          </w:p>
        </w:tc>
        <w:tc>
          <w:tcPr>
            <w:tcW w:w="10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8,453</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Estimated liability for taxes on income</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Long-term debt—current portion</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Dividends payable</w:t>
            </w:r>
          </w:p>
        </w:tc>
        <w:tc>
          <w:tcPr>
            <w:tcW w:w="2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12,753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12,368</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9,509</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27,092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26,689</w:t>
            </w:r>
          </w:p>
        </w:tc>
        <w:tc>
          <w:tcPr>
            <w:tcW w:w="220" w:type="dxa"/>
            <w:vAlign w:val="bottom"/>
            <w:shd w:val="clear" w:color="auto" w:fill="CFF0FC"/>
          </w:tcPr>
          <w:p>
            <w:pPr>
              <w:spacing w:after="0"/>
              <w:rPr>
                <w:sz w:val="19"/>
                <w:szCs w:val="19"/>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6"/>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w:t>
            </w:r>
          </w:p>
        </w:tc>
        <w:tc>
          <w:tcPr>
            <w:tcW w:w="2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12,108</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220" w:type="dxa"/>
            <w:vAlign w:val="bottom"/>
            <w:shd w:val="clear" w:color="auto" w:fill="CFF0FC"/>
          </w:tcPr>
          <w:p>
            <w:pPr>
              <w:spacing w:after="0"/>
              <w:rPr>
                <w:sz w:val="20"/>
                <w:szCs w:val="20"/>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(7,208)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(6,160)</w:t>
            </w:r>
          </w:p>
        </w:tc>
      </w:tr>
      <w:tr>
        <w:trPr>
          <w:trHeight w:val="230"/>
        </w:trPr>
        <w:tc>
          <w:tcPr>
            <w:tcW w:w="63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Retained earnings</w:t>
            </w:r>
          </w:p>
        </w:tc>
        <w:tc>
          <w:tcPr>
            <w:tcW w:w="2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32,887</w:t>
            </w:r>
          </w:p>
        </w:tc>
        <w:tc>
          <w:tcPr>
            <w:tcW w:w="220" w:type="dxa"/>
            <w:vAlign w:val="bottom"/>
            <w:shd w:val="clear" w:color="auto" w:fill="CFF0FC"/>
          </w:tcPr>
          <w:p>
            <w:pPr>
              <w:spacing w:after="0"/>
              <w:rPr>
                <w:sz w:val="19"/>
                <w:szCs w:val="19"/>
                <w:color w:val="auto"/>
              </w:rPr>
            </w:pPr>
          </w:p>
        </w:tc>
      </w:tr>
      <w:tr>
        <w:trPr>
          <w:trHeight w:val="230"/>
        </w:trPr>
        <w:tc>
          <w:tcPr>
            <w:tcW w:w="63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(3,888)</w:t>
            </w:r>
          </w:p>
        </w:tc>
      </w:tr>
      <w:tr>
        <w:trPr>
          <w:trHeight w:val="223"/>
        </w:trPr>
        <w:tc>
          <w:tcPr>
            <w:tcW w:w="63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Schlumberger stockholders’ equity</w:t>
            </w:r>
          </w:p>
        </w:tc>
        <w:tc>
          <w:tcPr>
            <w:tcW w:w="26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37,885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34,751</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63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Noncontrolling interests</w:t>
            </w:r>
          </w:p>
        </w:tc>
        <w:tc>
          <w:tcPr>
            <w:tcW w:w="2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38,031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34,858</w:t>
            </w:r>
          </w:p>
        </w:tc>
        <w:tc>
          <w:tcPr>
            <w:tcW w:w="220" w:type="dxa"/>
            <w:vAlign w:val="bottom"/>
            <w:shd w:val="clear" w:color="auto" w:fill="CFF0FC"/>
          </w:tcPr>
          <w:p>
            <w:pPr>
              <w:spacing w:after="0"/>
              <w:rPr>
                <w:sz w:val="19"/>
                <w:szCs w:val="19"/>
                <w:color w:val="auto"/>
              </w:rPr>
            </w:pPr>
          </w:p>
        </w:tc>
      </w:tr>
      <w:tr>
        <w:trPr>
          <w:trHeight w:val="223"/>
        </w:trPr>
        <w:tc>
          <w:tcPr>
            <w:tcW w:w="6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65,123</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61,547</w:t>
            </w:r>
          </w:p>
        </w:tc>
        <w:tc>
          <w:tcPr>
            <w:tcW w:w="2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Nine Months Ended Sept.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76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5,091</w:t>
            </w:r>
          </w:p>
        </w:tc>
        <w:tc>
          <w:tcPr>
            <w:tcW w:w="100" w:type="dxa"/>
            <w:vAlign w:val="bottom"/>
          </w:tcPr>
          <w:p>
            <w:pPr>
              <w:spacing w:after="0"/>
              <w:rPr>
                <w:sz w:val="19"/>
                <w:szCs w:val="19"/>
                <w:color w:val="auto"/>
              </w:rPr>
            </w:pP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Loss (income) from discontinued operations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6"/>
                <w:szCs w:val="26"/>
                <w:color w:val="auto"/>
                <w:vertAlign w:val="superscript"/>
              </w:rPr>
              <w:t>(1)</w:t>
            </w:r>
            <w:r>
              <w:rPr>
                <w:rFonts w:ascii="Arial" w:cs="Arial" w:eastAsia="Arial" w:hAnsi="Arial"/>
                <w:sz w:val="15"/>
                <w:szCs w:val="15"/>
                <w:color w:val="auto"/>
              </w:rPr>
              <w: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Non-cash charges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formation of OneSubsea</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(1,028)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Earnings of companies carried at equity, less dividends received</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other postretirement benefits expense</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Pension and other postretirement benefits funding</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5"/>
                <w:szCs w:val="15"/>
                <w:color w:val="auto"/>
              </w:rPr>
              <w:t>(2)</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Increase in receivables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inventories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Decrease (increase) in other current assets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other assets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Increase in accounts payable and accrued liabilities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liability for taxes on income</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Increase (decrease) in other liabilities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Multiclient seismic data capitalized</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Payment for OneSubsea transaction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Sale of investments, net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repurchase program</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(1,526)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Repayment of long-term debt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(1,211)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Net (decrease) increase in short-term borrowings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flows from discontinued operations—operating activities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operations—investing activities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flows from discontinued operations</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increase in cash before translation effect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Translation effect on cash</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beginning of period</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end of period</w:t>
            </w:r>
          </w:p>
        </w:tc>
        <w:tc>
          <w:tcPr>
            <w:tcW w:w="1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3,149</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sz w:val="20"/>
                <w:szCs w:val="20"/>
                <w:color w:val="auto"/>
              </w:rPr>
            </w:pPr>
            <w:r>
              <w:rPr>
                <w:rFonts w:ascii="Arial" w:cs="Arial" w:eastAsia="Arial" w:hAnsi="Arial"/>
                <w:sz w:val="13"/>
                <w:szCs w:val="13"/>
                <w:color w:val="auto"/>
              </w:rPr>
              <w:t>(1)</w:t>
            </w:r>
          </w:p>
        </w:tc>
        <w:tc>
          <w:tcPr>
            <w:tcW w:w="7600" w:type="dxa"/>
            <w:vAlign w:val="bottom"/>
            <w:vMerge w:val="restart"/>
          </w:tcPr>
          <w:p>
            <w:pPr>
              <w:ind w:left="380"/>
              <w:spacing w:after="0"/>
              <w:rPr>
                <w:sz w:val="20"/>
                <w:szCs w:val="20"/>
                <w:color w:val="auto"/>
              </w:rPr>
            </w:pPr>
            <w:r>
              <w:rPr>
                <w:rFonts w:ascii="Arial" w:cs="Arial" w:eastAsia="Arial" w:hAnsi="Arial"/>
                <w:sz w:val="18"/>
                <w:szCs w:val="18"/>
                <w:color w:val="auto"/>
              </w:rPr>
              <w:t>Includes multiclient seismic data costs.</w:t>
            </w: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0" w:type="dxa"/>
            <w:vAlign w:val="bottom"/>
            <w:gridSpan w:val="2"/>
            <w:vMerge w:val="continue"/>
          </w:tcPr>
          <w:p>
            <w:pPr>
              <w:spacing w:after="0"/>
              <w:rPr>
                <w:sz w:val="24"/>
                <w:szCs w:val="24"/>
                <w:color w:val="auto"/>
              </w:rPr>
            </w:pPr>
          </w:p>
        </w:tc>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gridSpan w:val="2"/>
          </w:tcPr>
          <w:p>
            <w:pPr>
              <w:spacing w:after="0"/>
              <w:rPr>
                <w:sz w:val="20"/>
                <w:szCs w:val="20"/>
                <w:color w:val="auto"/>
              </w:rPr>
            </w:pPr>
            <w:r>
              <w:rPr>
                <w:rFonts w:ascii="Arial" w:cs="Arial" w:eastAsia="Arial" w:hAnsi="Arial"/>
                <w:sz w:val="13"/>
                <w:szCs w:val="13"/>
                <w:color w:val="auto"/>
              </w:rPr>
              <w:t>(2)</w:t>
            </w:r>
          </w:p>
        </w:tc>
        <w:tc>
          <w:tcPr>
            <w:tcW w:w="7600" w:type="dxa"/>
            <w:vAlign w:val="bottom"/>
          </w:tcPr>
          <w:p>
            <w:pPr>
              <w:ind w:left="380"/>
              <w:spacing w:after="0"/>
              <w:rPr>
                <w:sz w:val="20"/>
                <w:szCs w:val="20"/>
                <w:color w:val="auto"/>
              </w:rPr>
            </w:pPr>
            <w:r>
              <w:rPr>
                <w:rFonts w:ascii="Arial" w:cs="Arial" w:eastAsia="Arial" w:hAnsi="Arial"/>
                <w:sz w:val="18"/>
                <w:szCs w:val="18"/>
                <w:color w:val="auto"/>
              </w:rPr>
              <w:t>Net of the effect of business acquisitions and divestitures.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3"/>
          </w:tcPr>
          <w:p>
            <w:pPr>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320"/>
              <w:spacing w:after="0" w:line="113"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2013—September 30, 2013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In 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January 1, 2013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34,858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w w:val="96"/>
              </w:rPr>
              <w:t>Changes in unrealized gain on marketable securities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Changes in fair value of derivatives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Pension and other postretirement benefit plans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Shares sold to optionees, less shares exchanged</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Vesting of restricted stock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Shares issued under employee stock purchase plan</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Stock repurchase program</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Dividends declared ($0.9375 per share)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20" w:type="dxa"/>
            <w:vAlign w:val="bottom"/>
            <w:gridSpan w:val="2"/>
          </w:tcPr>
          <w:p>
            <w:pPr>
              <w:spacing w:after="0"/>
              <w:rPr>
                <w:sz w:val="20"/>
                <w:szCs w:val="20"/>
                <w:color w:val="auto"/>
              </w:rPr>
            </w:pPr>
            <w:r>
              <w:rPr>
                <w:rFonts w:ascii="Arial" w:cs="Arial" w:eastAsia="Arial" w:hAnsi="Arial"/>
                <w:sz w:val="16"/>
                <w:szCs w:val="16"/>
                <w:color w:val="auto"/>
              </w:rPr>
              <w:t>Balance, September 30, 2013</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320"/>
              <w:spacing w:after="0" w:line="113"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January 1, 2012—September 30, 2012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In Treasury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6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CFF0FC"/>
            </w:tcBorders>
          </w:tcPr>
          <w:p>
            <w:pPr>
              <w:spacing w:after="0" w:line="20" w:lineRule="exact"/>
              <w:rPr>
                <w:sz w:val="1"/>
                <w:szCs w:val="1"/>
                <w:color w:val="auto"/>
              </w:rPr>
            </w:pPr>
          </w:p>
        </w:tc>
        <w:tc>
          <w:tcPr>
            <w:tcW w:w="13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January 1, 2012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28,860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31,392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Changes in fair value of derivatives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Pension and other postretirement benefit plans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w w:val="98"/>
              </w:rPr>
              <w:t>Shares issued under employee stock purchase plan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repurchase program</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6"/>
        </w:trPr>
        <w:tc>
          <w:tcPr>
            <w:tcW w:w="36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Dividends declared ($0.825 per share)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September 30, 2012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11,840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(6,200)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31,889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34,311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84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0"/>
              </w:rPr>
              <w:t>Issued</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In Treasury</w:t>
            </w:r>
          </w:p>
        </w:tc>
        <w:tc>
          <w:tcPr>
            <w:tcW w:w="14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 2013</w:t>
            </w:r>
          </w:p>
        </w:tc>
        <w:tc>
          <w:tcPr>
            <w:tcW w:w="8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94"/>
              </w:rPr>
              <w:t>1,434</w:t>
            </w:r>
          </w:p>
        </w:tc>
        <w:tc>
          <w:tcPr>
            <w:tcW w:w="2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4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7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40" w:type="dxa"/>
            <w:vAlign w:val="bottom"/>
            <w:gridSpan w:val="2"/>
          </w:tcPr>
          <w:p>
            <w:pPr>
              <w:spacing w:after="0"/>
              <w:rPr>
                <w:sz w:val="20"/>
                <w:szCs w:val="20"/>
                <w:color w:val="auto"/>
              </w:rPr>
            </w:pPr>
            <w:r>
              <w:rPr>
                <w:rFonts w:ascii="Arial" w:cs="Arial" w:eastAsia="Arial" w:hAnsi="Arial"/>
                <w:sz w:val="16"/>
                <w:szCs w:val="16"/>
                <w:color w:val="auto"/>
              </w:rPr>
              <w:t>Shares issued under employee stock purchase plan</w:t>
            </w:r>
          </w:p>
        </w:tc>
        <w:tc>
          <w:tcPr>
            <w:tcW w:w="7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repurchase program</w:t>
            </w: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(19)</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5"/>
        </w:trPr>
        <w:tc>
          <w:tcPr>
            <w:tcW w:w="5700" w:type="dxa"/>
            <w:vAlign w:val="bottom"/>
          </w:tcPr>
          <w:p>
            <w:pPr>
              <w:spacing w:after="0"/>
              <w:rPr>
                <w:sz w:val="20"/>
                <w:szCs w:val="20"/>
                <w:color w:val="auto"/>
              </w:rPr>
            </w:pPr>
            <w:r>
              <w:rPr>
                <w:rFonts w:ascii="Arial" w:cs="Arial" w:eastAsia="Arial" w:hAnsi="Arial"/>
                <w:sz w:val="16"/>
                <w:szCs w:val="16"/>
                <w:color w:val="auto"/>
              </w:rPr>
              <w:t>Balance, September 30, 2013</w:t>
            </w:r>
          </w:p>
        </w:tc>
        <w:tc>
          <w:tcPr>
            <w:tcW w:w="8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4"/>
              </w:rPr>
              <w:t>1,434</w:t>
            </w:r>
          </w:p>
        </w:tc>
        <w:tc>
          <w:tcPr>
            <w:tcW w:w="2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3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2013 are not necessarily indicative of the results that may be expected for the full year ending December 31, 2013. The December 31, 2012 balance sheet information has been derived from the Schlumberger 2012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2012, filed with the Securities and Exchange Commission on January 31, 2013.</w:t>
      </w:r>
    </w:p>
    <w:p>
      <w:pPr>
        <w:spacing w:after="0" w:line="313"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2013 and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w:t>
      </w:r>
    </w:p>
    <w:p>
      <w:pPr>
        <w:spacing w:after="0" w:line="117" w:lineRule="exact"/>
        <w:rPr>
          <w:sz w:val="20"/>
          <w:szCs w:val="20"/>
          <w:color w:val="auto"/>
        </w:rPr>
      </w:pPr>
    </w:p>
    <w:p>
      <w:pPr>
        <w:jc w:val="both"/>
        <w:ind w:left="980" w:right="20" w:hanging="401"/>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gain of $1.028 billion as a result of the deconsolidation of its subsea business in connection with the formation of the OneSubsea joint venture with Cameron International Corporation (“Cameron”). Refer to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details.</w:t>
      </w:r>
    </w:p>
    <w:p>
      <w:pPr>
        <w:spacing w:after="0" w:line="86" w:lineRule="exact"/>
        <w:rPr>
          <w:rFonts w:ascii="Arial" w:cs="Arial" w:eastAsia="Arial" w:hAnsi="Arial"/>
          <w:sz w:val="18"/>
          <w:szCs w:val="18"/>
          <w:color w:val="auto"/>
        </w:rPr>
      </w:pPr>
    </w:p>
    <w:p>
      <w:pPr>
        <w:jc w:val="both"/>
        <w:ind w:left="980" w:right="20" w:hanging="401"/>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recorded a $222 million pretax ($203 million after-tax) impairment charge relating to an investment in a company involved in developing drilling-related technology and a $142 million pretax and after-tax impairment charge relating to an investment in a contract drilling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second quarter of 2013:</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2800" w:type="dxa"/>
            <w:vAlign w:val="bottom"/>
          </w:tcPr>
          <w:p>
            <w:pPr>
              <w:spacing w:after="0"/>
              <w:rPr>
                <w:sz w:val="15"/>
                <w:szCs w:val="15"/>
                <w:color w:val="auto"/>
              </w:rPr>
            </w:pPr>
          </w:p>
        </w:tc>
      </w:tr>
      <w:tr>
        <w:trPr>
          <w:trHeight w:val="155"/>
        </w:trPr>
        <w:tc>
          <w:tcPr>
            <w:tcW w:w="3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Consolidated Statement</w:t>
            </w:r>
          </w:p>
        </w:tc>
      </w:tr>
      <w:tr>
        <w:trPr>
          <w:trHeight w:val="181"/>
        </w:trPr>
        <w:tc>
          <w:tcPr>
            <w:tcW w:w="3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5"/>
                <w:szCs w:val="15"/>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2800" w:type="dxa"/>
            <w:vAlign w:val="bottom"/>
          </w:tcPr>
          <w:p>
            <w:pPr>
              <w:ind w:left="20"/>
              <w:spacing w:after="0"/>
              <w:rPr>
                <w:sz w:val="20"/>
                <w:szCs w:val="20"/>
                <w:color w:val="auto"/>
              </w:rPr>
            </w:pPr>
            <w:r>
              <w:rPr>
                <w:rFonts w:ascii="Arial" w:cs="Arial" w:eastAsia="Arial" w:hAnsi="Arial"/>
                <w:sz w:val="14"/>
                <w:szCs w:val="14"/>
                <w:i w:val="1"/>
                <w:iCs w:val="1"/>
                <w:color w:val="auto"/>
              </w:rPr>
              <w:t>of Income Classification</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Borders>
              <w:top w:val="single" w:sz="8" w:color="CFF0FC"/>
            </w:tcBorders>
            <w:shd w:val="clear" w:color="auto" w:fill="CFF0FC"/>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of equity-method investments</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00" w:type="dxa"/>
            <w:vAlign w:val="bottom"/>
            <w:tcBorders>
              <w:bottom w:val="single" w:sz="8" w:color="CFF0FC"/>
            </w:tcBorders>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3"/>
        </w:trPr>
        <w:tc>
          <w:tcPr>
            <w:tcW w:w="37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00" w:type="dxa"/>
            <w:vAlign w:val="bottom"/>
            <w:tcBorders>
              <w:bottom w:val="single" w:sz="8" w:color="CFF0FC"/>
            </w:tcBorders>
            <w:shd w:val="clear" w:color="auto" w:fill="CFF0FC"/>
          </w:tcPr>
          <w:p>
            <w:pPr>
              <w:spacing w:after="0"/>
              <w:rPr>
                <w:sz w:val="19"/>
                <w:szCs w:val="19"/>
                <w:color w:val="auto"/>
              </w:rPr>
            </w:pPr>
          </w:p>
        </w:tc>
        <w:tc>
          <w:tcPr>
            <w:tcW w:w="280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w:t>
      </w:r>
    </w:p>
    <w:p>
      <w:pPr>
        <w:spacing w:after="0" w:line="117" w:lineRule="exact"/>
        <w:rPr>
          <w:sz w:val="20"/>
          <w:szCs w:val="20"/>
          <w:color w:val="auto"/>
        </w:rPr>
      </w:pPr>
    </w:p>
    <w:p>
      <w:pPr>
        <w:jc w:val="both"/>
        <w:ind w:left="980" w:right="20" w:hanging="401"/>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2013:</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2800" w:type="dxa"/>
            <w:vAlign w:val="bottom"/>
          </w:tcPr>
          <w:p>
            <w:pPr>
              <w:spacing w:after="0"/>
              <w:rPr>
                <w:sz w:val="15"/>
                <w:szCs w:val="15"/>
                <w:color w:val="auto"/>
              </w:rPr>
            </w:pPr>
          </w:p>
        </w:tc>
      </w:tr>
      <w:tr>
        <w:trPr>
          <w:trHeight w:val="155"/>
        </w:trPr>
        <w:tc>
          <w:tcPr>
            <w:tcW w:w="3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ind w:left="20"/>
              <w:spacing w:after="0" w:line="155" w:lineRule="exact"/>
              <w:rPr>
                <w:sz w:val="20"/>
                <w:szCs w:val="20"/>
                <w:color w:val="auto"/>
              </w:rPr>
            </w:pPr>
            <w:r>
              <w:rPr>
                <w:rFonts w:ascii="Arial" w:cs="Arial" w:eastAsia="Arial" w:hAnsi="Arial"/>
                <w:sz w:val="14"/>
                <w:szCs w:val="14"/>
                <w:i w:val="1"/>
                <w:iCs w:val="1"/>
                <w:color w:val="auto"/>
              </w:rPr>
              <w:t>Consolidated Statement</w:t>
            </w:r>
          </w:p>
        </w:tc>
      </w:tr>
      <w:tr>
        <w:trPr>
          <w:trHeight w:val="181"/>
        </w:trPr>
        <w:tc>
          <w:tcPr>
            <w:tcW w:w="3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color w:val="auto"/>
              </w:rPr>
              <w:t>Tax</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2800" w:type="dxa"/>
            <w:vAlign w:val="bottom"/>
          </w:tcPr>
          <w:p>
            <w:pPr>
              <w:ind w:left="20"/>
              <w:spacing w:after="0"/>
              <w:rPr>
                <w:sz w:val="20"/>
                <w:szCs w:val="20"/>
                <w:color w:val="auto"/>
              </w:rPr>
            </w:pPr>
            <w:r>
              <w:rPr>
                <w:rFonts w:ascii="Arial" w:cs="Arial" w:eastAsia="Arial" w:hAnsi="Arial"/>
                <w:sz w:val="14"/>
                <w:szCs w:val="14"/>
                <w:i w:val="1"/>
                <w:iCs w:val="1"/>
                <w:color w:val="auto"/>
              </w:rPr>
              <w:t>of Income Classification</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Borders>
              <w:top w:val="single" w:sz="8" w:color="CFF0FC"/>
            </w:tcBorders>
            <w:shd w:val="clear" w:color="auto" w:fill="CFF0FC"/>
          </w:tcPr>
          <w:p>
            <w:pPr>
              <w:spacing w:after="0"/>
              <w:rPr>
                <w:sz w:val="19"/>
                <w:szCs w:val="19"/>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3"/>
        </w:trPr>
        <w:tc>
          <w:tcPr>
            <w:tcW w:w="3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45"/>
        </w:trPr>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2012</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recorded the following merger and integration-related charges in connection with its 2010 acquisitions of Smith International, Inc. and Geoservices.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r>
      <w:tr>
        <w:trPr>
          <w:trHeight w:val="181"/>
        </w:trPr>
        <w:tc>
          <w:tcPr>
            <w:tcW w:w="5660" w:type="dxa"/>
            <w:vAlign w:val="bottom"/>
          </w:tcPr>
          <w:p>
            <w:pPr>
              <w:spacing w:after="0"/>
              <w:rPr>
                <w:sz w:val="15"/>
                <w:szCs w:val="15"/>
                <w:color w:val="auto"/>
              </w:rPr>
            </w:pPr>
          </w:p>
        </w:tc>
        <w:tc>
          <w:tcPr>
            <w:tcW w:w="780" w:type="dxa"/>
            <w:vAlign w:val="bottom"/>
          </w:tcPr>
          <w:p>
            <w:pPr>
              <w:jc w:val="right"/>
              <w:ind w:right="6"/>
              <w:spacing w:after="0"/>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Tax</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Net</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Second Quarter</w:t>
            </w: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7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4"/>
            <w:vMerge w:val="restart"/>
          </w:tcPr>
          <w:p>
            <w:pPr>
              <w:jc w:val="center"/>
              <w:ind w:left="36"/>
              <w:spacing w:after="0"/>
              <w:rPr>
                <w:sz w:val="20"/>
                <w:szCs w:val="20"/>
                <w:color w:val="auto"/>
              </w:rPr>
            </w:pPr>
            <w:r>
              <w:rPr>
                <w:rFonts w:ascii="Arial" w:cs="Arial" w:eastAsia="Arial" w:hAnsi="Arial"/>
                <w:sz w:val="14"/>
                <w:szCs w:val="14"/>
                <w:b w:val="1"/>
                <w:bCs w:val="1"/>
                <w:color w:val="auto"/>
                <w:w w:val="97"/>
              </w:rPr>
              <w:t>Third Quarter 2013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00" w:type="dxa"/>
            <w:vAlign w:val="bottom"/>
            <w:gridSpan w:val="11"/>
          </w:tcPr>
          <w:p>
            <w:pPr>
              <w:jc w:val="right"/>
              <w:ind w:right="300"/>
              <w:spacing w:after="0"/>
              <w:rPr>
                <w:sz w:val="20"/>
                <w:szCs w:val="20"/>
                <w:color w:val="auto"/>
              </w:rPr>
            </w:pPr>
            <w:r>
              <w:rPr>
                <w:rFonts w:ascii="Arial" w:cs="Arial" w:eastAsia="Arial" w:hAnsi="Arial"/>
                <w:sz w:val="14"/>
                <w:szCs w:val="14"/>
                <w:i w:val="1"/>
                <w:iCs w:val="1"/>
                <w:color w:val="auto"/>
                <w:w w:val="97"/>
              </w:rPr>
              <w:t>(Stated in millions, except per share amounts)</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176"/>
              <w:spacing w:after="0"/>
              <w:rPr>
                <w:sz w:val="20"/>
                <w:szCs w:val="20"/>
                <w:color w:val="auto"/>
              </w:rPr>
            </w:pPr>
            <w:r>
              <w:rPr>
                <w:rFonts w:ascii="Arial" w:cs="Arial" w:eastAsia="Arial" w:hAnsi="Arial"/>
                <w:sz w:val="14"/>
                <w:szCs w:val="14"/>
                <w:color w:val="auto"/>
                <w:w w:val="94"/>
              </w:rPr>
              <w:t>Third Quarter 2012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Schlumberger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4"/>
          </w:tcPr>
          <w:p>
            <w:pPr>
              <w:jc w:val="center"/>
              <w:ind w:right="460"/>
              <w:spacing w:after="0" w:line="119" w:lineRule="exact"/>
              <w:rPr>
                <w:sz w:val="20"/>
                <w:szCs w:val="20"/>
                <w:color w:val="auto"/>
              </w:rPr>
            </w:pPr>
            <w:r>
              <w:rPr>
                <w:rFonts w:ascii="Arial" w:cs="Arial" w:eastAsia="Arial" w:hAnsi="Arial"/>
                <w:sz w:val="13"/>
                <w:szCs w:val="13"/>
                <w:color w:val="auto"/>
              </w:rPr>
              <w:t>Earnings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per Share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1"/>
              </w:rPr>
              <w:t>Schlumberger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1"/>
              </w:rPr>
              <w:t>per Share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Income from</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7"/>
              </w:rPr>
              <w:t>Income from</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9"/>
              </w:rPr>
              <w:t>from</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5"/>
              </w:rPr>
              <w:t>Continuing</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5"/>
              </w:rPr>
              <w:t>Continuing</w:t>
            </w: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Operations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color w:val="auto"/>
                <w:w w:val="93"/>
              </w:rPr>
              <w:t>Operations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color w:val="auto"/>
                <w:w w:val="93"/>
              </w:rPr>
              <w:t>Operations</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CFF0FC"/>
            </w:tcBorders>
            <w:shd w:val="clear" w:color="auto" w:fill="CFF0FC"/>
          </w:tcPr>
          <w:p>
            <w:pPr>
              <w:jc w:val="center"/>
              <w:ind w:left="499"/>
              <w:spacing w:after="0"/>
              <w:rPr>
                <w:sz w:val="20"/>
                <w:szCs w:val="20"/>
                <w:color w:val="auto"/>
              </w:rPr>
            </w:pPr>
            <w:r>
              <w:rPr>
                <w:rFonts w:ascii="Arial" w:cs="Arial" w:eastAsia="Arial" w:hAnsi="Arial"/>
                <w:sz w:val="18"/>
                <w:szCs w:val="18"/>
                <w:b w:val="1"/>
                <w:bCs w:val="1"/>
                <w:color w:val="auto"/>
                <w:w w:val="88"/>
              </w:rPr>
              <w:t>1,715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CFF0FC"/>
            </w:tcBorders>
            <w:shd w:val="clear" w:color="auto" w:fill="CFF0FC"/>
          </w:tcPr>
          <w:p>
            <w:pPr>
              <w:jc w:val="center"/>
              <w:ind w:left="479"/>
              <w:spacing w:after="0"/>
              <w:rPr>
                <w:sz w:val="20"/>
                <w:szCs w:val="20"/>
                <w:color w:val="auto"/>
              </w:rPr>
            </w:pPr>
            <w:r>
              <w:rPr>
                <w:rFonts w:ascii="Arial" w:cs="Arial" w:eastAsia="Arial" w:hAnsi="Arial"/>
                <w:sz w:val="18"/>
                <w:szCs w:val="18"/>
                <w:color w:val="auto"/>
                <w:w w:val="88"/>
              </w:rPr>
              <w:t>1,359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Borders>
              <w:top w:val="single" w:sz="8" w:color="auto"/>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w w:val="97"/>
              </w:rPr>
              <w:t>Assumed exercise of stock options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ind w:left="720"/>
              <w:spacing w:after="0"/>
              <w:rPr>
                <w:sz w:val="20"/>
                <w:szCs w:val="20"/>
                <w:color w:val="auto"/>
              </w:rPr>
            </w:pPr>
            <w:r>
              <w:rPr>
                <w:rFonts w:ascii="Arial" w:cs="Arial" w:eastAsia="Arial" w:hAnsi="Arial"/>
                <w:sz w:val="18"/>
                <w:szCs w:val="18"/>
                <w:color w:val="auto"/>
              </w:rPr>
              <w:t>—</w:t>
            </w: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center"/>
              <w:ind w:left="499"/>
              <w:spacing w:after="0"/>
              <w:rPr>
                <w:sz w:val="20"/>
                <w:szCs w:val="20"/>
                <w:color w:val="auto"/>
              </w:rPr>
            </w:pPr>
            <w:r>
              <w:rPr>
                <w:rFonts w:ascii="Arial" w:cs="Arial" w:eastAsia="Arial" w:hAnsi="Arial"/>
                <w:sz w:val="18"/>
                <w:szCs w:val="18"/>
                <w:b w:val="1"/>
                <w:bCs w:val="1"/>
                <w:color w:val="auto"/>
                <w:w w:val="88"/>
              </w:rPr>
              <w:t>1,715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1,333</w:t>
            </w:r>
          </w:p>
        </w:tc>
        <w:tc>
          <w:tcPr>
            <w:tcW w:w="1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center"/>
              <w:ind w:left="479"/>
              <w:spacing w:after="0"/>
              <w:rPr>
                <w:sz w:val="20"/>
                <w:szCs w:val="20"/>
                <w:color w:val="auto"/>
              </w:rPr>
            </w:pPr>
            <w:r>
              <w:rPr>
                <w:rFonts w:ascii="Arial" w:cs="Arial" w:eastAsia="Arial" w:hAnsi="Arial"/>
                <w:sz w:val="18"/>
                <w:szCs w:val="18"/>
                <w:color w:val="auto"/>
                <w:w w:val="88"/>
              </w:rPr>
              <w:t>1,359</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Borders>
              <w:top w:val="single" w:sz="8" w:color="auto"/>
            </w:tcBorders>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4"/>
              </w:rPr>
              <w:t>Nine Months 2013</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5"/>
              </w:rPr>
              <w:t>Nine Months 2012</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Schlumberger</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24"/>
              <w:spacing w:after="0" w:line="119" w:lineRule="exact"/>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104"/>
              <w:spacing w:after="0" w:line="119" w:lineRule="exact"/>
              <w:rPr>
                <w:sz w:val="20"/>
                <w:szCs w:val="20"/>
                <w:color w:val="auto"/>
              </w:rPr>
            </w:pPr>
            <w:r>
              <w:rPr>
                <w:rFonts w:ascii="Arial" w:cs="Arial" w:eastAsia="Arial" w:hAnsi="Arial"/>
                <w:sz w:val="13"/>
                <w:szCs w:val="13"/>
                <w:color w:val="auto"/>
                <w:w w:val="97"/>
              </w:rPr>
              <w:t>Earnings</w:t>
            </w:r>
          </w:p>
        </w:tc>
        <w:tc>
          <w:tcPr>
            <w:tcW w:w="3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per Share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1"/>
              </w:rPr>
              <w:t>Schlumberger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color w:val="auto"/>
                <w:w w:val="87"/>
              </w:rPr>
              <w:t>per Share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Income from</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color w:val="auto"/>
                <w:w w:val="95"/>
              </w:rPr>
              <w:t>Income from</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9"/>
              </w:rPr>
              <w:t>from</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5"/>
              </w:rPr>
              <w:t>Continuing</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480"/>
              <w:spacing w:after="0" w:line="149" w:lineRule="exact"/>
              <w:rPr>
                <w:sz w:val="20"/>
                <w:szCs w:val="20"/>
                <w:color w:val="auto"/>
              </w:rPr>
            </w:pPr>
            <w:r>
              <w:rPr>
                <w:rFonts w:ascii="Arial" w:cs="Arial" w:eastAsia="Arial" w:hAnsi="Arial"/>
                <w:sz w:val="14"/>
                <w:szCs w:val="14"/>
                <w:color w:val="auto"/>
                <w:w w:val="98"/>
              </w:rPr>
              <w:t>Continuing</w:t>
            </w: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Operations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color w:val="auto"/>
                <w:w w:val="90"/>
              </w:rPr>
              <w:t>Operations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tcPr>
          <w:p>
            <w:pPr>
              <w:jc w:val="center"/>
              <w:ind w:right="440"/>
              <w:spacing w:after="0"/>
              <w:rPr>
                <w:sz w:val="20"/>
                <w:szCs w:val="20"/>
                <w:color w:val="auto"/>
              </w:rPr>
            </w:pPr>
            <w:r>
              <w:rPr>
                <w:rFonts w:ascii="Arial" w:cs="Arial" w:eastAsia="Arial" w:hAnsi="Arial"/>
                <w:sz w:val="14"/>
                <w:szCs w:val="14"/>
                <w:color w:val="auto"/>
                <w:w w:val="90"/>
              </w:rPr>
              <w:t>Operations</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CFF0FC"/>
            </w:tcBorders>
            <w:shd w:val="clear" w:color="auto" w:fill="CFF0FC"/>
          </w:tcPr>
          <w:p>
            <w:pPr>
              <w:jc w:val="center"/>
              <w:ind w:left="499"/>
              <w:spacing w:after="0"/>
              <w:rPr>
                <w:sz w:val="20"/>
                <w:szCs w:val="20"/>
                <w:color w:val="auto"/>
              </w:rPr>
            </w:pPr>
            <w:r>
              <w:rPr>
                <w:rFonts w:ascii="Arial" w:cs="Arial" w:eastAsia="Arial" w:hAnsi="Arial"/>
                <w:sz w:val="18"/>
                <w:szCs w:val="18"/>
                <w:b w:val="1"/>
                <w:bCs w:val="1"/>
                <w:color w:val="auto"/>
                <w:w w:val="88"/>
              </w:rPr>
              <w:t>5,137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FF0FC"/>
            </w:tcBorders>
            <w:shd w:val="clear" w:color="auto" w:fill="CFF0FC"/>
          </w:tcPr>
          <w:p>
            <w:pPr>
              <w:jc w:val="center"/>
              <w:ind w:left="479"/>
              <w:spacing w:after="0"/>
              <w:rPr>
                <w:sz w:val="20"/>
                <w:szCs w:val="20"/>
                <w:color w:val="auto"/>
              </w:rPr>
            </w:pPr>
            <w:r>
              <w:rPr>
                <w:rFonts w:ascii="Arial" w:cs="Arial" w:eastAsia="Arial" w:hAnsi="Arial"/>
                <w:sz w:val="18"/>
                <w:szCs w:val="18"/>
                <w:color w:val="auto"/>
                <w:w w:val="88"/>
              </w:rPr>
              <w:t>3,916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w w:val="97"/>
              </w:rPr>
              <w:t>Assumed exercise of stock options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left="559"/>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center"/>
              <w:ind w:left="539"/>
              <w:spacing w:after="0"/>
              <w:rPr>
                <w:sz w:val="20"/>
                <w:szCs w:val="20"/>
                <w:color w:val="auto"/>
              </w:rPr>
            </w:pPr>
            <w:r>
              <w:rPr>
                <w:rFonts w:ascii="Arial" w:cs="Arial" w:eastAsia="Arial" w:hAnsi="Arial"/>
                <w:sz w:val="18"/>
                <w:szCs w:val="18"/>
                <w:color w:val="auto"/>
                <w:w w:val="99"/>
              </w:rPr>
              <w:t>—</w:t>
            </w:r>
          </w:p>
        </w:tc>
        <w:tc>
          <w:tcPr>
            <w:tcW w:w="1400" w:type="dxa"/>
            <w:vAlign w:val="bottom"/>
            <w:gridSpan w:val="3"/>
            <w:vMerge w:val="restart"/>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center"/>
              <w:ind w:left="559"/>
              <w:spacing w:after="0"/>
              <w:rPr>
                <w:sz w:val="20"/>
                <w:szCs w:val="20"/>
                <w:color w:val="auto"/>
              </w:rPr>
            </w:pPr>
            <w:r>
              <w:rPr>
                <w:rFonts w:ascii="Arial" w:cs="Arial" w:eastAsia="Arial" w:hAnsi="Arial"/>
                <w:sz w:val="18"/>
                <w:szCs w:val="18"/>
                <w:b w:val="1"/>
                <w:bCs w:val="1"/>
                <w:color w:val="auto"/>
                <w:w w:val="99"/>
              </w:rPr>
              <w:t>—</w:t>
            </w: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center"/>
              <w:ind w:left="539"/>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center"/>
              <w:ind w:left="499"/>
              <w:spacing w:after="0"/>
              <w:rPr>
                <w:sz w:val="20"/>
                <w:szCs w:val="20"/>
                <w:color w:val="auto"/>
              </w:rPr>
            </w:pPr>
            <w:r>
              <w:rPr>
                <w:rFonts w:ascii="Arial" w:cs="Arial" w:eastAsia="Arial" w:hAnsi="Arial"/>
                <w:sz w:val="18"/>
                <w:szCs w:val="18"/>
                <w:b w:val="1"/>
                <w:bCs w:val="1"/>
                <w:color w:val="auto"/>
                <w:w w:val="88"/>
              </w:rPr>
              <w:t>5,137</w:t>
            </w:r>
          </w:p>
        </w:tc>
        <w:tc>
          <w:tcPr>
            <w:tcW w:w="300" w:type="dxa"/>
            <w:vAlign w:val="bottom"/>
          </w:tcPr>
          <w:p>
            <w:pPr>
              <w:spacing w:after="0"/>
              <w:rPr>
                <w:sz w:val="22"/>
                <w:szCs w:val="22"/>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1,336</w:t>
            </w:r>
          </w:p>
        </w:tc>
        <w:tc>
          <w:tcPr>
            <w:tcW w:w="160" w:type="dxa"/>
            <w:vAlign w:val="bottom"/>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center"/>
              <w:ind w:left="479"/>
              <w:spacing w:after="0"/>
              <w:rPr>
                <w:sz w:val="20"/>
                <w:szCs w:val="20"/>
                <w:color w:val="auto"/>
              </w:rPr>
            </w:pPr>
            <w:r>
              <w:rPr>
                <w:rFonts w:ascii="Arial" w:cs="Arial" w:eastAsia="Arial" w:hAnsi="Arial"/>
                <w:sz w:val="18"/>
                <w:szCs w:val="18"/>
                <w:color w:val="auto"/>
                <w:w w:val="88"/>
              </w:rPr>
              <w:t>3,916</w:t>
            </w:r>
          </w:p>
        </w:tc>
        <w:tc>
          <w:tcPr>
            <w:tcW w:w="300" w:type="dxa"/>
            <w:vAlign w:val="bottom"/>
          </w:tcPr>
          <w:p>
            <w:pPr>
              <w:spacing w:after="0"/>
              <w:rPr>
                <w:sz w:val="22"/>
                <w:szCs w:val="22"/>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6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020" w:type="dxa"/>
            <w:vAlign w:val="bottom"/>
            <w:gridSpan w:val="3"/>
          </w:tcPr>
          <w:p>
            <w:pPr>
              <w:jc w:val="right"/>
              <w:ind w:right="3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1"/>
        </w:trPr>
        <w:tc>
          <w:tcPr>
            <w:tcW w:w="68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310"/>
              <w:spacing w:after="0"/>
              <w:rPr>
                <w:sz w:val="20"/>
                <w:szCs w:val="20"/>
                <w:color w:val="auto"/>
              </w:rPr>
            </w:pPr>
            <w:r>
              <w:rPr>
                <w:rFonts w:ascii="Arial" w:cs="Arial" w:eastAsia="Arial" w:hAnsi="Arial"/>
                <w:sz w:val="14"/>
                <w:szCs w:val="14"/>
                <w:color w:val="auto"/>
              </w:rPr>
              <w:t>2012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8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6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Arial" w:cs="Arial" w:eastAsia="Arial" w:hAnsi="Arial"/>
          <w:sz w:val="16"/>
          <w:szCs w:val="16"/>
          <w:i w:val="1"/>
          <w:iCs w:val="1"/>
          <w:color w:val="auto"/>
        </w:rPr>
        <w:t>Gain on formation of OneSubsea</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as a result of the deconsolidation of its subsea business. This gain is equal to the difference between the fair value of the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subsea business, which was determined based on the present value of its estimated future cash flows, and its carrying value at the time of closing.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5"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During the first nine months of 2013, Schlumberger made certain other acquisitions and investments, none of which were significant on an individual basis, for cash payments, net of cash acquired, of $544 million.</w:t>
      </w:r>
    </w:p>
    <w:p>
      <w:pPr>
        <w:spacing w:after="0" w:line="31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Sept. 30,</w:t>
            </w:r>
          </w:p>
        </w:tc>
        <w:tc>
          <w:tcPr>
            <w:tcW w:w="2020" w:type="dxa"/>
            <w:vAlign w:val="bottom"/>
            <w:gridSpan w:val="4"/>
          </w:tcPr>
          <w:p>
            <w:pPr>
              <w:ind w:left="5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CFF0FC"/>
            </w:tcBorders>
          </w:tcPr>
          <w:p>
            <w:pPr>
              <w:spacing w:after="0"/>
              <w:rPr>
                <w:sz w:val="16"/>
                <w:szCs w:val="16"/>
                <w:color w:val="auto"/>
              </w:rPr>
            </w:pPr>
          </w:p>
        </w:tc>
        <w:tc>
          <w:tcPr>
            <w:tcW w:w="18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2,642</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Work in process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1,957</w:t>
            </w:r>
          </w:p>
        </w:tc>
        <w:tc>
          <w:tcPr>
            <w:tcW w:w="6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4,895</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Sept. 30,</w:t>
            </w:r>
          </w:p>
        </w:tc>
        <w:tc>
          <w:tcPr>
            <w:tcW w:w="2000" w:type="dxa"/>
            <w:vAlign w:val="bottom"/>
            <w:gridSpan w:val="5"/>
          </w:tcPr>
          <w:p>
            <w:pPr>
              <w:ind w:left="5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4620" w:type="dxa"/>
            <w:vAlign w:val="bottom"/>
            <w:tcBorders>
              <w:bottom w:val="single" w:sz="8" w:color="CFF0FC"/>
            </w:tcBorders>
          </w:tcPr>
          <w:p>
            <w:pPr>
              <w:spacing w:after="0"/>
              <w:rPr>
                <w:sz w:val="16"/>
                <w:szCs w:val="16"/>
                <w:color w:val="auto"/>
              </w:rPr>
            </w:pPr>
          </w:p>
        </w:tc>
        <w:tc>
          <w:tcPr>
            <w:tcW w:w="138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3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34,571</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19,743</w:t>
            </w: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18,388</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14,828</w:t>
            </w:r>
          </w:p>
        </w:tc>
        <w:tc>
          <w:tcPr>
            <w:tcW w:w="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w:t>
            </w:r>
          </w:p>
        </w:tc>
        <w:tc>
          <w:tcPr>
            <w:tcW w:w="3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2000" w:type="dxa"/>
            <w:vAlign w:val="bottom"/>
            <w:gridSpan w:val="5"/>
          </w:tcPr>
          <w:p>
            <w:pPr>
              <w:ind w:left="5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4620" w:type="dxa"/>
            <w:vAlign w:val="bottom"/>
            <w:tcBorders>
              <w:bottom w:val="single" w:sz="8" w:color="CFF0FC"/>
            </w:tcBorders>
          </w:tcPr>
          <w:p>
            <w:pPr>
              <w:spacing w:after="0"/>
              <w:rPr>
                <w:sz w:val="15"/>
                <w:szCs w:val="15"/>
                <w:color w:val="auto"/>
              </w:rPr>
            </w:pPr>
          </w:p>
        </w:tc>
        <w:tc>
          <w:tcPr>
            <w:tcW w:w="13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4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788</w:t>
            </w:r>
          </w:p>
        </w:tc>
        <w:tc>
          <w:tcPr>
            <w:tcW w:w="6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Nine Months</w:t>
            </w:r>
          </w:p>
        </w:tc>
        <w:tc>
          <w:tcPr>
            <w:tcW w:w="16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2,324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2013 was as follows:</w:t>
      </w:r>
    </w:p>
    <w:p>
      <w:pPr>
        <w:sectPr>
          <w:pgSz w:w="11900" w:h="16838" w:orient="portrait"/>
          <w:cols w:equalWidth="0" w:num="1">
            <w:col w:w="11220"/>
          </w:cols>
          <w:pgMar w:left="240" w:top="341" w:right="4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at September 30, 2013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70"/>
        <w:spacing w:after="0"/>
        <w:rPr>
          <w:sz w:val="20"/>
          <w:szCs w:val="20"/>
          <w:color w:val="auto"/>
        </w:rPr>
      </w:pPr>
      <w:r>
        <w:rPr>
          <w:rFonts w:ascii="Arial" w:cs="Arial" w:eastAsia="Arial" w:hAnsi="Arial"/>
          <w:sz w:val="14"/>
          <w:szCs w:val="14"/>
          <w:i w:val="1"/>
          <w:iCs w:val="1"/>
          <w:color w:val="auto"/>
        </w:rPr>
        <w:t>(Stated in millions)</w:t>
      </w:r>
    </w:p>
    <w:p>
      <w:pPr>
        <w:spacing w:after="0" w:line="21" w:lineRule="exact"/>
        <w:rPr>
          <w:sz w:val="20"/>
          <w:szCs w:val="20"/>
          <w:color w:val="auto"/>
        </w:rPr>
      </w:pPr>
    </w:p>
    <w:p>
      <w:pPr>
        <w:ind w:left="1210" w:hanging="1210"/>
        <w:spacing w:after="0"/>
        <w:tabs>
          <w:tab w:leader="none" w:pos="1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518</w:t>
      </w:r>
    </w:p>
    <w:p>
      <w:pPr>
        <w:spacing w:after="0" w:line="7" w:lineRule="exact"/>
        <w:rPr>
          <w:rFonts w:ascii="Arial" w:cs="Arial" w:eastAsia="Arial" w:hAnsi="Arial"/>
          <w:sz w:val="18"/>
          <w:szCs w:val="18"/>
          <w:color w:val="auto"/>
        </w:rPr>
      </w:pPr>
    </w:p>
    <w:p>
      <w:pPr>
        <w:ind w:left="1210"/>
        <w:spacing w:after="0"/>
        <w:rPr>
          <w:rFonts w:ascii="Arial" w:cs="Arial" w:eastAsia="Arial" w:hAnsi="Arial"/>
          <w:sz w:val="18"/>
          <w:szCs w:val="18"/>
          <w:color w:val="auto"/>
        </w:rPr>
      </w:pPr>
      <w:r>
        <w:rPr>
          <w:rFonts w:ascii="Arial" w:cs="Arial" w:eastAsia="Arial" w:hAnsi="Arial"/>
          <w:sz w:val="18"/>
          <w:szCs w:val="18"/>
          <w:color w:val="auto"/>
        </w:rPr>
        <w:t>300</w:t>
      </w:r>
    </w:p>
    <w:p>
      <w:pPr>
        <w:spacing w:after="0" w:line="23"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(168)</w:t>
      </w:r>
    </w:p>
    <w:p>
      <w:pPr>
        <w:spacing w:after="0" w:line="35" w:lineRule="exact"/>
        <w:rPr>
          <w:sz w:val="20"/>
          <w:szCs w:val="20"/>
          <w:color w:val="auto"/>
        </w:rPr>
      </w:pPr>
    </w:p>
    <w:p>
      <w:pPr>
        <w:ind w:left="1210" w:hanging="1210"/>
        <w:spacing w:after="0"/>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06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1063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1063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10" w:space="720"/>
            <w:col w:w="3190"/>
          </w:cols>
          <w:pgMar w:left="240" w:top="341" w:right="4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341" w:right="439" w:bottom="1440" w:gutter="0" w:footer="0" w:header="0"/>
          <w:type w:val="continuous"/>
        </w:sectPr>
      </w:pPr>
    </w:p>
    <w:bookmarkStart w:id="10" w:name="page11"/>
    <w:bookmarkEnd w:id="10"/>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nine months ended September 30, 2013 were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Reservoir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Drilling</w:t>
            </w:r>
          </w:p>
        </w:tc>
        <w:tc>
          <w:tcPr>
            <w:tcW w:w="160" w:type="dxa"/>
            <w:vAlign w:val="bottom"/>
          </w:tcPr>
          <w:p>
            <w:pPr>
              <w:spacing w:after="0"/>
              <w:rPr>
                <w:sz w:val="10"/>
                <w:szCs w:val="10"/>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Production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Characterization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2012</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8,337</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14,585</w:t>
            </w: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Divestiture of business</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w w:val="94"/>
              </w:rPr>
              <w:t>Sept. 30, 2013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w w:val="96"/>
              </w:rPr>
              <w:t>Dec. 31, 2012</w:t>
            </w:r>
          </w:p>
        </w:tc>
        <w:tc>
          <w:tcPr>
            <w:tcW w:w="1760" w:type="dxa"/>
            <w:vAlign w:val="bottom"/>
            <w:gridSpan w:val="4"/>
          </w:tcPr>
          <w:p>
            <w:pPr>
              <w:ind w:left="3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Gross</w:t>
            </w:r>
          </w:p>
        </w:tc>
        <w:tc>
          <w:tcPr>
            <w:tcW w:w="560" w:type="dxa"/>
            <w:vAlign w:val="bottom"/>
          </w:tcPr>
          <w:p>
            <w:pPr>
              <w:spacing w:after="0"/>
              <w:rPr>
                <w:sz w:val="10"/>
                <w:szCs w:val="10"/>
                <w:color w:val="auto"/>
              </w:rPr>
            </w:pPr>
          </w:p>
        </w:tc>
        <w:tc>
          <w:tcPr>
            <w:tcW w:w="1040" w:type="dxa"/>
            <w:vAlign w:val="bottom"/>
            <w:gridSpan w:val="2"/>
          </w:tcPr>
          <w:p>
            <w:pPr>
              <w:jc w:val="right"/>
              <w:ind w:right="53"/>
              <w:spacing w:after="0" w:line="119" w:lineRule="exact"/>
              <w:rPr>
                <w:sz w:val="20"/>
                <w:szCs w:val="20"/>
                <w:color w:val="auto"/>
              </w:rPr>
            </w:pPr>
            <w:r>
              <w:rPr>
                <w:rFonts w:ascii="Arial" w:cs="Arial" w:eastAsia="Arial" w:hAnsi="Arial"/>
                <w:sz w:val="13"/>
                <w:szCs w:val="13"/>
                <w:b w:val="1"/>
                <w:bCs w:val="1"/>
                <w:color w:val="auto"/>
              </w:rPr>
              <w:t>Accumulated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Net Book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540"/>
              <w:spacing w:after="0" w:line="119" w:lineRule="exact"/>
              <w:rPr>
                <w:sz w:val="20"/>
                <w:szCs w:val="20"/>
                <w:color w:val="auto"/>
              </w:rPr>
            </w:pPr>
            <w:r>
              <w:rPr>
                <w:rFonts w:ascii="Arial" w:cs="Arial" w:eastAsia="Arial" w:hAnsi="Arial"/>
                <w:sz w:val="13"/>
                <w:szCs w:val="13"/>
                <w:color w:val="auto"/>
              </w:rPr>
              <w:t>Gross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50"/>
              <w:spacing w:after="0" w:line="119" w:lineRule="exact"/>
              <w:rPr>
                <w:sz w:val="20"/>
                <w:szCs w:val="20"/>
                <w:color w:val="auto"/>
              </w:rPr>
            </w:pPr>
            <w:r>
              <w:rPr>
                <w:rFonts w:ascii="Arial" w:cs="Arial" w:eastAsia="Arial" w:hAnsi="Arial"/>
                <w:sz w:val="13"/>
                <w:szCs w:val="13"/>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16"/>
              <w:spacing w:after="0" w:line="119" w:lineRule="exact"/>
              <w:rPr>
                <w:sz w:val="20"/>
                <w:szCs w:val="20"/>
                <w:color w:val="auto"/>
              </w:rPr>
            </w:pPr>
            <w:r>
              <w:rPr>
                <w:rFonts w:ascii="Arial" w:cs="Arial" w:eastAsia="Arial" w:hAnsi="Arial"/>
                <w:sz w:val="13"/>
                <w:szCs w:val="13"/>
                <w:color w:val="auto"/>
              </w:rPr>
              <w:t>Net Book</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Borders>
              <w:bottom w:val="single" w:sz="8" w:color="CFF0FC"/>
            </w:tcBorders>
          </w:tcPr>
          <w:p>
            <w:pPr>
              <w:spacing w:after="0"/>
              <w:rPr>
                <w:sz w:val="16"/>
                <w:szCs w:val="16"/>
                <w:color w:val="auto"/>
              </w:rPr>
            </w:pPr>
          </w:p>
        </w:tc>
        <w:tc>
          <w:tcPr>
            <w:tcW w:w="116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Book Value</w:t>
            </w: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Amortization</w:t>
            </w:r>
          </w:p>
        </w:tc>
        <w:tc>
          <w:tcPr>
            <w:tcW w:w="5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color w:val="auto"/>
                <w:w w:val="97"/>
              </w:rPr>
              <w:t>Book Value</w:t>
            </w:r>
          </w:p>
        </w:tc>
        <w:tc>
          <w:tcPr>
            <w:tcW w:w="20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Amortization</w:t>
            </w: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Value</w:t>
            </w:r>
          </w:p>
        </w:tc>
        <w:tc>
          <w:tcPr>
            <w:tcW w:w="2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w w:val="98"/>
              </w:rPr>
              <w:t>Technology/Technical Know-</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1,958</w:t>
            </w:r>
          </w:p>
        </w:tc>
        <w:tc>
          <w:tcPr>
            <w:tcW w:w="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563</w:t>
            </w: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1,395</w:t>
            </w: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How</w:t>
            </w:r>
          </w:p>
        </w:tc>
        <w:tc>
          <w:tcPr>
            <w:tcW w:w="300" w:type="dxa"/>
            <w:vAlign w:val="bottom"/>
            <w:gridSpan w:val="2"/>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660" w:type="dxa"/>
            <w:vAlign w:val="bottom"/>
            <w:gridSpan w:val="2"/>
            <w:vMerge w:val="continue"/>
            <w:shd w:val="clear" w:color="auto" w:fill="CFF0FC"/>
          </w:tcPr>
          <w:p>
            <w:pPr>
              <w:spacing w:after="0"/>
              <w:rPr>
                <w:sz w:val="21"/>
                <w:szCs w:val="21"/>
                <w:color w:val="auto"/>
              </w:rPr>
            </w:pPr>
          </w:p>
        </w:tc>
        <w:tc>
          <w:tcPr>
            <w:tcW w:w="940" w:type="dxa"/>
            <w:vAlign w:val="bottom"/>
            <w:vMerge w:val="continue"/>
            <w:shd w:val="clear" w:color="auto" w:fill="CFF0FC"/>
          </w:tcPr>
          <w:p>
            <w:pPr>
              <w:spacing w:after="0"/>
              <w:rPr>
                <w:sz w:val="21"/>
                <w:szCs w:val="21"/>
                <w:color w:val="auto"/>
              </w:rPr>
            </w:pPr>
          </w:p>
        </w:tc>
        <w:tc>
          <w:tcPr>
            <w:tcW w:w="680" w:type="dxa"/>
            <w:vAlign w:val="bottom"/>
            <w:gridSpan w:val="2"/>
            <w:vMerge w:val="continue"/>
            <w:shd w:val="clear" w:color="auto" w:fill="CFF0FC"/>
          </w:tcPr>
          <w:p>
            <w:pPr>
              <w:spacing w:after="0"/>
              <w:rPr>
                <w:sz w:val="21"/>
                <w:szCs w:val="21"/>
                <w:color w:val="auto"/>
              </w:rPr>
            </w:pPr>
          </w:p>
        </w:tc>
        <w:tc>
          <w:tcPr>
            <w:tcW w:w="800" w:type="dxa"/>
            <w:vAlign w:val="bottom"/>
            <w:vMerge w:val="continue"/>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2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1,407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2,235</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381</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1,854</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5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5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w:t>
            </w:r>
          </w:p>
        </w:tc>
        <w:tc>
          <w:tcPr>
            <w:tcW w:w="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6,247</w:t>
            </w: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1,515</w:t>
            </w:r>
          </w:p>
        </w:tc>
        <w:tc>
          <w:tcPr>
            <w:tcW w:w="5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4,732</w:t>
            </w: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gridSpan w:val="8"/>
          </w:tcPr>
          <w:p>
            <w:pPr>
              <w:spacing w:after="0"/>
              <w:rPr>
                <w:sz w:val="20"/>
                <w:szCs w:val="20"/>
                <w:color w:val="auto"/>
              </w:rPr>
            </w:pPr>
            <w:r>
              <w:rPr>
                <w:rFonts w:ascii="Arial" w:cs="Arial" w:eastAsia="Arial" w:hAnsi="Arial"/>
                <w:sz w:val="18"/>
                <w:szCs w:val="18"/>
                <w:color w:val="auto"/>
                <w:w w:val="91"/>
              </w:rPr>
              <w:t>Amortization expense charged to income was as follows: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325"/>
              <w:spacing w:after="0"/>
              <w:rPr>
                <w:sz w:val="20"/>
                <w:szCs w:val="20"/>
                <w:color w:val="auto"/>
              </w:rPr>
            </w:pPr>
            <w:r>
              <w:rPr>
                <w:rFonts w:ascii="Arial" w:cs="Arial" w:eastAsia="Arial" w:hAnsi="Arial"/>
                <w:sz w:val="14"/>
                <w:szCs w:val="14"/>
                <w:i w:val="1"/>
                <w:iCs w:val="1"/>
                <w:color w:val="auto"/>
              </w:rPr>
              <w:t>(Stated in millions)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3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rPr>
              <w:t>84</w:t>
            </w:r>
          </w:p>
        </w:tc>
        <w:tc>
          <w:tcPr>
            <w:tcW w:w="100" w:type="dxa"/>
            <w:vAlign w:val="bottom"/>
            <w:tcBorders>
              <w:left w:val="single" w:sz="8" w:color="CFF0FC"/>
            </w:tcBorders>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Nine Months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4"/>
              <w:spacing w:after="0"/>
              <w:rPr>
                <w:sz w:val="20"/>
                <w:szCs w:val="20"/>
                <w:color w:val="auto"/>
              </w:rPr>
            </w:pPr>
            <w:r>
              <w:rPr>
                <w:rFonts w:ascii="Arial" w:cs="Arial" w:eastAsia="Arial" w:hAnsi="Arial"/>
                <w:sz w:val="18"/>
                <w:szCs w:val="18"/>
                <w:color w:val="auto"/>
                <w:w w:val="86"/>
              </w:rPr>
              <w:t>245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2013, amortization charged to income for the subsequent five years is estimated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2013—$89 million; 2014—$349 million; 2015—$339 million; 2016—$321 million; 2017—$307 million; and 2018—$300 million.</w:t>
      </w:r>
    </w:p>
    <w:p>
      <w:pPr>
        <w:spacing w:after="0" w:line="342"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Sept. 30,</w:t>
            </w:r>
          </w:p>
        </w:tc>
        <w:tc>
          <w:tcPr>
            <w:tcW w:w="2020" w:type="dxa"/>
            <w:vAlign w:val="bottom"/>
            <w:gridSpan w:val="4"/>
          </w:tcPr>
          <w:p>
            <w:pPr>
              <w:ind w:left="5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5"/>
        </w:trPr>
        <w:tc>
          <w:tcPr>
            <w:tcW w:w="480" w:type="dxa"/>
            <w:vAlign w:val="bottom"/>
            <w:tcBorders>
              <w:bottom w:val="single" w:sz="8" w:color="CFF0FC"/>
            </w:tcBorders>
          </w:tcPr>
          <w:p>
            <w:pPr>
              <w:spacing w:after="0"/>
              <w:rPr>
                <w:sz w:val="16"/>
                <w:szCs w:val="16"/>
                <w:color w:val="auto"/>
              </w:rPr>
            </w:pPr>
          </w:p>
        </w:tc>
        <w:tc>
          <w:tcPr>
            <w:tcW w:w="3080" w:type="dxa"/>
            <w:vAlign w:val="bottom"/>
            <w:tcBorders>
              <w:bottom w:val="single" w:sz="8" w:color="CFF0FC"/>
            </w:tcBorders>
          </w:tcPr>
          <w:p>
            <w:pPr>
              <w:spacing w:after="0"/>
              <w:rPr>
                <w:sz w:val="16"/>
                <w:szCs w:val="16"/>
                <w:color w:val="auto"/>
              </w:rPr>
            </w:pPr>
          </w:p>
        </w:tc>
        <w:tc>
          <w:tcPr>
            <w:tcW w:w="24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3.30%</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1,596</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3080" w:type="dxa"/>
            <w:vAlign w:val="bottom"/>
          </w:tcPr>
          <w:p>
            <w:pPr>
              <w:ind w:left="20"/>
              <w:spacing w:after="0"/>
              <w:rPr>
                <w:sz w:val="20"/>
                <w:szCs w:val="20"/>
                <w:color w:val="auto"/>
              </w:rPr>
            </w:pPr>
            <w:r>
              <w:rPr>
                <w:rFonts w:ascii="Arial" w:cs="Arial" w:eastAsia="Arial" w:hAnsi="Arial"/>
                <w:sz w:val="18"/>
                <w:szCs w:val="18"/>
                <w:color w:val="auto"/>
              </w:rPr>
              <w:t>Guaranteed Notes due 2014</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2.75%</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2015</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1,347</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0"/>
              </w:rPr>
              <w:t>1.95%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1,099</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0"/>
              </w:rPr>
              <w:t>1.25%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2.40%</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998</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Floating Rate Senior Notes due 2014</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8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578</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9,916</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40" w:type="dxa"/>
            <w:vAlign w:val="bottom"/>
            <w:vMerge w:val="restart"/>
          </w:tcPr>
          <w:p>
            <w:pPr>
              <w:jc w:val="right"/>
              <w:ind w:right="127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2013 and December 31, 2012, based on quoted market prices, was $10.0 billion and $9.9 billion, respectively.</w:t>
      </w:r>
    </w:p>
    <w:p>
      <w:pPr>
        <w:spacing w:after="0" w:line="315"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are reclassified into earnings in the same period or periods that the hedged item is recognized in earnings. The ineffective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fair value of hedging instruments, if any, is recorded directly to earnings.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At September 30, 2013, Schlumberger recognized a cumulative net $18 million gain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recognized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xml:space="preserve"> along with the change in fair value of the hedged item.</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2013, contracts were outstanding for the US dollar equivalent of $6.4 billion in various foreign currencies, of which $3.2 billion related to hedges of debt denominated in currencies other than the functional currency.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2013, Schlumberger had fixed rate debt aggregating $9.0 billion and variable rate debt aggregating $3.4 billion.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$3.6 billion at September 30, 2013, and were comprised primarily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Fair Value of Derivatives</w:t>
            </w:r>
          </w:p>
        </w:tc>
        <w:tc>
          <w:tcPr>
            <w:tcW w:w="3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Consolidated Balance Sheet Classification</w:t>
            </w: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Sept. 30,</w:t>
            </w:r>
          </w:p>
        </w:tc>
        <w:tc>
          <w:tcPr>
            <w:tcW w:w="580" w:type="dxa"/>
            <w:vAlign w:val="bottom"/>
          </w:tcPr>
          <w:p>
            <w:pPr>
              <w:spacing w:after="0"/>
              <w:rPr>
                <w:sz w:val="10"/>
                <w:szCs w:val="10"/>
                <w:color w:val="auto"/>
              </w:rPr>
            </w:pPr>
          </w:p>
        </w:tc>
        <w:tc>
          <w:tcPr>
            <w:tcW w:w="880" w:type="dxa"/>
            <w:vAlign w:val="bottom"/>
            <w:gridSpan w:val="2"/>
          </w:tcPr>
          <w:p>
            <w:pPr>
              <w:jc w:val="right"/>
              <w:ind w:right="130"/>
              <w:spacing w:after="0" w:line="119" w:lineRule="exact"/>
              <w:rPr>
                <w:sz w:val="20"/>
                <w:szCs w:val="20"/>
                <w:color w:val="auto"/>
              </w:rPr>
            </w:pPr>
            <w:r>
              <w:rPr>
                <w:rFonts w:ascii="Arial" w:cs="Arial" w:eastAsia="Arial" w:hAnsi="Arial"/>
                <w:sz w:val="13"/>
                <w:szCs w:val="13"/>
                <w:color w:val="auto"/>
              </w:rPr>
              <w:t>Dec. 31,</w:t>
            </w:r>
          </w:p>
        </w:tc>
        <w:tc>
          <w:tcPr>
            <w:tcW w:w="4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w:t>
            </w:r>
          </w:p>
        </w:tc>
        <w:tc>
          <w:tcPr>
            <w:tcW w:w="1160" w:type="dxa"/>
            <w:vAlign w:val="bottom"/>
            <w:gridSpan w:val="2"/>
            <w:shd w:val="clear" w:color="auto" w:fill="CFF0FC"/>
          </w:tcPr>
          <w:p>
            <w:pPr>
              <w:jc w:val="right"/>
              <w:ind w:right="42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5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FF0FC"/>
            </w:tcBorders>
          </w:tcPr>
          <w:p>
            <w:pPr>
              <w:spacing w:after="0"/>
              <w:rPr>
                <w:sz w:val="19"/>
                <w:szCs w:val="19"/>
                <w:color w:val="auto"/>
              </w:rPr>
            </w:pPr>
          </w:p>
        </w:tc>
        <w:tc>
          <w:tcPr>
            <w:tcW w:w="29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160" w:type="dxa"/>
            <w:vAlign w:val="bottom"/>
            <w:gridSpan w:val="2"/>
          </w:tcPr>
          <w:p>
            <w:pPr>
              <w:jc w:val="right"/>
              <w:ind w:right="42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5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5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CFF0FC"/>
            </w:tcBorders>
          </w:tcPr>
          <w:p>
            <w:pPr>
              <w:spacing w:after="0"/>
              <w:rPr>
                <w:sz w:val="19"/>
                <w:szCs w:val="19"/>
                <w:color w:val="auto"/>
              </w:rPr>
            </w:pPr>
          </w:p>
        </w:tc>
        <w:tc>
          <w:tcPr>
            <w:tcW w:w="29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5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420" w:type="dxa"/>
            <w:vAlign w:val="bottom"/>
            <w:tcBorders>
              <w:bottom w:val="single" w:sz="8" w:color="CFF0FC"/>
            </w:tcBorders>
            <w:shd w:val="clear" w:color="auto" w:fill="CFF0FC"/>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160" w:type="dxa"/>
            <w:vAlign w:val="bottom"/>
            <w:gridSpan w:val="2"/>
          </w:tcPr>
          <w:p>
            <w:pPr>
              <w:jc w:val="right"/>
              <w:ind w:right="42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i w:val="1"/>
                <w:iCs w:val="1"/>
                <w:color w:val="auto"/>
                <w:w w:val="92"/>
              </w:rPr>
              <w:t>Accounts payable and accrued liabilities</w:t>
            </w: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5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5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20" w:type="dxa"/>
            <w:vAlign w:val="bottom"/>
            <w:tcBorders>
              <w:bottom w:val="single" w:sz="8" w:color="CFF0FC"/>
            </w:tcBorders>
          </w:tcPr>
          <w:p>
            <w:pPr>
              <w:spacing w:after="0"/>
              <w:rPr>
                <w:sz w:val="19"/>
                <w:szCs w:val="19"/>
                <w:color w:val="auto"/>
              </w:rPr>
            </w:pPr>
          </w:p>
        </w:tc>
        <w:tc>
          <w:tcPr>
            <w:tcW w:w="29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160" w:type="dxa"/>
            <w:vAlign w:val="bottom"/>
            <w:gridSpan w:val="2"/>
          </w:tcPr>
          <w:p>
            <w:pPr>
              <w:jc w:val="right"/>
              <w:ind w:right="42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3"/>
                <w:szCs w:val="23"/>
                <w:color w:val="auto"/>
              </w:rPr>
            </w:pPr>
          </w:p>
        </w:tc>
        <w:tc>
          <w:tcPr>
            <w:tcW w:w="2960" w:type="dxa"/>
            <w:vAlign w:val="bottom"/>
          </w:tcPr>
          <w:p>
            <w:pPr>
              <w:spacing w:after="0"/>
              <w:rPr>
                <w:sz w:val="20"/>
                <w:szCs w:val="20"/>
                <w:color w:val="auto"/>
              </w:rPr>
            </w:pPr>
            <w:r>
              <w:rPr>
                <w:rFonts w:ascii="Arial" w:cs="Arial" w:eastAsia="Arial" w:hAnsi="Arial"/>
                <w:sz w:val="18"/>
                <w:szCs w:val="18"/>
                <w:i w:val="1"/>
                <w:iCs w:val="1"/>
                <w:color w:val="auto"/>
                <w:w w:val="92"/>
              </w:rPr>
              <w:t>Accounts payable and accrued liabilities</w:t>
            </w: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5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102</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9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90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w w:val="95"/>
              </w:rPr>
              <w:t>(Stated in millions)</w:t>
            </w: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0"/>
          </w:tcPr>
          <w:p>
            <w:pPr>
              <w:jc w:val="right"/>
              <w:ind w:right="510"/>
              <w:spacing w:after="0"/>
              <w:rPr>
                <w:sz w:val="20"/>
                <w:szCs w:val="20"/>
                <w:color w:val="auto"/>
              </w:rPr>
            </w:pPr>
            <w:r>
              <w:rPr>
                <w:rFonts w:ascii="Arial" w:cs="Arial" w:eastAsia="Arial" w:hAnsi="Arial"/>
                <w:sz w:val="14"/>
                <w:szCs w:val="14"/>
                <w:b w:val="1"/>
                <w:bCs w:val="1"/>
                <w:color w:val="auto"/>
              </w:rPr>
              <w:t>Gain (Loss) Recognized in Income</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360"/>
              <w:spacing w:after="0" w:line="155" w:lineRule="exact"/>
              <w:rPr>
                <w:sz w:val="20"/>
                <w:szCs w:val="20"/>
                <w:color w:val="auto"/>
              </w:rPr>
            </w:pPr>
            <w:r>
              <w:rPr>
                <w:rFonts w:ascii="Arial" w:cs="Arial" w:eastAsia="Arial" w:hAnsi="Arial"/>
                <w:sz w:val="14"/>
                <w:szCs w:val="14"/>
                <w:b w:val="1"/>
                <w:bCs w:val="1"/>
                <w:color w:val="auto"/>
                <w:w w:val="98"/>
              </w:rPr>
              <w:t>Third Quarter</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Nine Months</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tcPr>
          <w:p>
            <w:pPr>
              <w:ind w:left="20"/>
              <w:spacing w:after="0" w:line="155" w:lineRule="exact"/>
              <w:rPr>
                <w:sz w:val="20"/>
                <w:szCs w:val="20"/>
                <w:color w:val="auto"/>
              </w:rPr>
            </w:pPr>
            <w:r>
              <w:rPr>
                <w:rFonts w:ascii="Arial" w:cs="Arial" w:eastAsia="Arial" w:hAnsi="Arial"/>
                <w:sz w:val="14"/>
                <w:szCs w:val="14"/>
                <w:b w:val="1"/>
                <w:bCs w:val="1"/>
                <w:i w:val="1"/>
                <w:iCs w:val="1"/>
                <w:color w:val="auto"/>
              </w:rPr>
              <w:t>Consolidated Statement</w:t>
            </w: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color w:val="auto"/>
                <w:w w:val="89"/>
              </w:rPr>
              <w:t>2012</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color w:val="auto"/>
                <w:w w:val="96"/>
              </w:rPr>
              <w:t>2012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5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i w:val="1"/>
                <w:iCs w:val="1"/>
                <w:color w:val="auto"/>
              </w:rPr>
              <w:t>of Income Classification</w:t>
            </w: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Interest rate swaps</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740" w:type="dxa"/>
            <w:vAlign w:val="bottom"/>
            <w:gridSpan w:val="2"/>
            <w:shd w:val="clear" w:color="auto" w:fill="CFF0FC"/>
          </w:tcPr>
          <w:p>
            <w:pPr>
              <w:ind w:left="1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CFF0FC"/>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CFF0FC"/>
            </w:tcBorders>
            <w:vMerge w:val="restart"/>
          </w:tcPr>
          <w:p>
            <w:pPr>
              <w:spacing w:after="0" w:line="20" w:lineRule="exact"/>
              <w:rPr>
                <w:sz w:val="1"/>
                <w:szCs w:val="1"/>
                <w:color w:val="auto"/>
              </w:rPr>
            </w:pPr>
          </w:p>
        </w:tc>
        <w:tc>
          <w:tcPr>
            <w:tcW w:w="26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CFF0FC"/>
            </w:tcBorders>
            <w:vMerge w:val="restart"/>
          </w:tcPr>
          <w:p>
            <w:pPr>
              <w:spacing w:after="0" w:line="20" w:lineRule="exact"/>
              <w:rPr>
                <w:sz w:val="1"/>
                <w:szCs w:val="1"/>
                <w:color w:val="auto"/>
              </w:rPr>
            </w:pPr>
          </w:p>
        </w:tc>
        <w:tc>
          <w:tcPr>
            <w:tcW w:w="480" w:type="dxa"/>
            <w:vAlign w:val="bottom"/>
            <w:tcBorders>
              <w:top w:val="single" w:sz="8" w:color="CFF0FC"/>
              <w:bottom w:val="single" w:sz="8" w:color="CFF0FC"/>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CFF0FC"/>
            </w:tcBorders>
            <w:vMerge w:val="restart"/>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FF0FC"/>
            </w:tcBorders>
          </w:tcPr>
          <w:p>
            <w:pPr>
              <w:spacing w:after="0"/>
              <w:rPr>
                <w:sz w:val="21"/>
                <w:szCs w:val="21"/>
                <w:color w:val="auto"/>
              </w:rPr>
            </w:pPr>
          </w:p>
        </w:tc>
        <w:tc>
          <w:tcPr>
            <w:tcW w:w="4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FF0FC"/>
            </w:tcBorders>
            <w:vMerge w:val="continue"/>
          </w:tcPr>
          <w:p>
            <w:pPr>
              <w:spacing w:after="0"/>
              <w:rPr>
                <w:sz w:val="21"/>
                <w:szCs w:val="21"/>
                <w:color w:val="auto"/>
              </w:rPr>
            </w:pPr>
          </w:p>
        </w:tc>
        <w:tc>
          <w:tcPr>
            <w:tcW w:w="48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5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Derivatives not designated as hedges: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340"/>
              <w:spacing w:after="0"/>
              <w:rPr>
                <w:sz w:val="20"/>
                <w:szCs w:val="20"/>
                <w:color w:val="auto"/>
              </w:rPr>
            </w:pPr>
            <w:r>
              <w:rPr>
                <w:rFonts w:ascii="Arial" w:cs="Arial" w:eastAsia="Arial" w:hAnsi="Arial"/>
                <w:sz w:val="18"/>
                <w:szCs w:val="18"/>
                <w:b w:val="1"/>
                <w:bCs w:val="1"/>
                <w:color w:val="auto"/>
                <w:w w:val="89"/>
              </w:rPr>
              <w:t>31</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b w:val="1"/>
                <w:bCs w:val="1"/>
                <w:color w:val="auto"/>
                <w:w w:val="89"/>
              </w:rPr>
              <w:t>31</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effect of derivative instruments in cash flow hedging relationships on income and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(AOCL) was as follows: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ind w:left="40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8"/>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Gain (Loss) Reclassified from</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85"/>
        </w:trPr>
        <w:tc>
          <w:tcPr>
            <w:tcW w:w="3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8"/>
              </w:rPr>
              <w:t>AOCL into Income</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56"/>
        </w:trPr>
        <w:tc>
          <w:tcPr>
            <w:tcW w:w="3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60" w:type="dxa"/>
            <w:vAlign w:val="bottom"/>
            <w:gridSpan w:val="7"/>
          </w:tcPr>
          <w:p>
            <w:pPr>
              <w:jc w:val="right"/>
              <w:ind w:right="700"/>
              <w:spacing w:after="0" w:line="155" w:lineRule="exact"/>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right"/>
              <w:ind w:right="354"/>
              <w:spacing w:after="0" w:line="155" w:lineRule="exact"/>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tcPr>
          <w:p>
            <w:pPr>
              <w:ind w:left="20"/>
              <w:spacing w:after="0" w:line="155" w:lineRule="exact"/>
              <w:rPr>
                <w:sz w:val="20"/>
                <w:szCs w:val="20"/>
                <w:color w:val="auto"/>
              </w:rPr>
            </w:pPr>
            <w:r>
              <w:rPr>
                <w:rFonts w:ascii="Arial" w:cs="Arial" w:eastAsia="Arial" w:hAnsi="Arial"/>
                <w:sz w:val="14"/>
                <w:szCs w:val="14"/>
                <w:b w:val="1"/>
                <w:bCs w:val="1"/>
                <w:i w:val="1"/>
                <w:iCs w:val="1"/>
                <w:color w:val="auto"/>
              </w:rPr>
              <w:t>Consolidated Statement</w:t>
            </w:r>
          </w:p>
        </w:tc>
      </w:tr>
      <w:tr>
        <w:trPr>
          <w:trHeight w:val="156"/>
        </w:trPr>
        <w:tc>
          <w:tcPr>
            <w:tcW w:w="32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color w:val="auto"/>
                <w:w w:val="83"/>
              </w:rPr>
              <w:t>2012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7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i w:val="1"/>
                <w:iCs w:val="1"/>
                <w:color w:val="auto"/>
              </w:rPr>
              <w:t>of Income Classification</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33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ind w:left="300"/>
              <w:spacing w:after="0"/>
              <w:rPr>
                <w:sz w:val="20"/>
                <w:szCs w:val="20"/>
                <w:color w:val="auto"/>
              </w:rPr>
            </w:pPr>
            <w:r>
              <w:rPr>
                <w:rFonts w:ascii="Arial" w:cs="Arial" w:eastAsia="Arial" w:hAnsi="Arial"/>
                <w:sz w:val="18"/>
                <w:szCs w:val="18"/>
                <w:color w:val="auto"/>
                <w:w w:val="74"/>
              </w:rPr>
              <w:t>(48)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2860" w:type="dxa"/>
            <w:vAlign w:val="bottom"/>
            <w:gridSpan w:val="2"/>
          </w:tcPr>
          <w:p>
            <w:pPr>
              <w:ind w:left="100"/>
              <w:spacing w:after="0"/>
              <w:rPr>
                <w:sz w:val="20"/>
                <w:szCs w:val="20"/>
                <w:color w:val="auto"/>
              </w:rPr>
            </w:pPr>
            <w:r>
              <w:rPr>
                <w:rFonts w:ascii="Arial" w:cs="Arial" w:eastAsia="Arial" w:hAnsi="Arial"/>
                <w:sz w:val="18"/>
                <w:szCs w:val="18"/>
                <w:i w:val="1"/>
                <w:iCs w:val="1"/>
                <w:color w:val="auto"/>
              </w:rPr>
              <w:t>Research &amp; engineering</w:t>
            </w:r>
          </w:p>
        </w:tc>
      </w:tr>
      <w:tr>
        <w:trPr>
          <w:trHeight w:val="223"/>
        </w:trPr>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30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74"/>
              </w:rPr>
              <w:t>(58)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45"/>
        </w:trPr>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w w:val="89"/>
              </w:rPr>
              <w:t>13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3" w:name="page14"/>
    <w:bookmarkEnd w:id="1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gridSpan w:val="5"/>
          </w:tcPr>
          <w:p>
            <w:pPr>
              <w:ind w:left="300"/>
              <w:spacing w:after="0"/>
              <w:rPr>
                <w:sz w:val="20"/>
                <w:szCs w:val="20"/>
                <w:color w:val="auto"/>
              </w:rPr>
            </w:pPr>
            <w:r>
              <w:rPr>
                <w:rFonts w:ascii="Arial" w:cs="Arial" w:eastAsia="Arial" w:hAnsi="Arial"/>
                <w:sz w:val="14"/>
                <w:szCs w:val="14"/>
                <w:i w:val="1"/>
                <w:iCs w:val="1"/>
                <w:color w:val="auto"/>
              </w:rPr>
              <w:t>(Stated in millions)</w:t>
            </w:r>
          </w:p>
        </w:tc>
      </w:tr>
      <w:tr>
        <w:trPr>
          <w:trHeight w:val="185"/>
        </w:trPr>
        <w:tc>
          <w:tcPr>
            <w:tcW w:w="4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Gain (Loss) Recognized in AOCL</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Pr>
          <w:p>
            <w:pPr>
              <w:spacing w:after="0"/>
              <w:rPr>
                <w:sz w:val="16"/>
                <w:szCs w:val="16"/>
                <w:color w:val="auto"/>
              </w:rPr>
            </w:pPr>
          </w:p>
        </w:tc>
      </w:tr>
      <w:tr>
        <w:trPr>
          <w:trHeight w:val="156"/>
        </w:trPr>
        <w:tc>
          <w:tcPr>
            <w:tcW w:w="4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Third Quarter</w:t>
            </w:r>
          </w:p>
        </w:tc>
        <w:tc>
          <w:tcPr>
            <w:tcW w:w="5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240"/>
              <w:spacing w:after="0" w:line="155" w:lineRule="exact"/>
              <w:rPr>
                <w:sz w:val="20"/>
                <w:szCs w:val="20"/>
                <w:color w:val="auto"/>
              </w:rPr>
            </w:pPr>
            <w:r>
              <w:rPr>
                <w:rFonts w:ascii="Arial" w:cs="Arial" w:eastAsia="Arial" w:hAnsi="Arial"/>
                <w:sz w:val="14"/>
                <w:szCs w:val="14"/>
                <w:b w:val="1"/>
                <w:bCs w:val="1"/>
                <w:color w:val="auto"/>
              </w:rPr>
              <w:t>Nine Months</w:t>
            </w:r>
          </w:p>
        </w:tc>
        <w:tc>
          <w:tcPr>
            <w:tcW w:w="2900" w:type="dxa"/>
            <w:vAlign w:val="bottom"/>
          </w:tcPr>
          <w:p>
            <w:pPr>
              <w:spacing w:after="0"/>
              <w:rPr>
                <w:sz w:val="13"/>
                <w:szCs w:val="13"/>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w w:val="89"/>
              </w:rPr>
              <w:t>2012</w:t>
            </w:r>
          </w:p>
        </w:tc>
        <w:tc>
          <w:tcPr>
            <w:tcW w:w="5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color w:val="auto"/>
              </w:rPr>
              <w:t>2012</w:t>
            </w:r>
          </w:p>
        </w:tc>
        <w:tc>
          <w:tcPr>
            <w:tcW w:w="2900" w:type="dxa"/>
            <w:vAlign w:val="bottom"/>
            <w:tcBorders>
              <w:bottom w:val="single" w:sz="8" w:color="CFF0FC"/>
            </w:tcBorders>
          </w:tcPr>
          <w:p>
            <w:pPr>
              <w:spacing w:after="0"/>
              <w:rPr>
                <w:sz w:val="13"/>
                <w:szCs w:val="13"/>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b w:val="1"/>
                <w:bCs w:val="1"/>
                <w:color w:val="auto"/>
                <w:w w:val="74"/>
              </w:rPr>
              <w:t>(27)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90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before taxes </w:t>
      </w:r>
      <w:r>
        <w:rPr>
          <w:rFonts w:ascii="Arial" w:cs="Arial" w:eastAsia="Arial" w:hAnsi="Arial"/>
          <w:sz w:val="18"/>
          <w:szCs w:val="18"/>
          <w:color w:val="auto"/>
        </w:rPr>
        <w:t>which was subject to US and non-US income taxes was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Third Quarter</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1,425</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5,096</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3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6,521</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charges or credits in the third quarter of 2013. Schlumberger recorded pretax charges of $32 million ($20 million in the US and $12 million outside of the US) during the third quarter of 2012.</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Schlumberger recorded net pretax credits of $572 million during the nine months ended September 30, 2013 ($53 million of charges in the US and $625 million of net credits outside of the US) and pretax charges of $68 million during the nine months ended September 30, 2012 ($41 million in the US and $27 million outside the US). These charges and credits are included in the table above and are more fully described in Note 2 — </w:t>
      </w:r>
      <w:r>
        <w:rPr>
          <w:rFonts w:ascii="Arial" w:cs="Arial" w:eastAsia="Arial" w:hAnsi="Arial"/>
          <w:sz w:val="16"/>
          <w:szCs w:val="16"/>
          <w:i w:val="1"/>
          <w:iCs w:val="1"/>
          <w:color w:val="auto"/>
        </w:rPr>
        <w:t>Charges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5"/>
        </w:trPr>
        <w:tc>
          <w:tcPr>
            <w:tcW w:w="4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7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CFF0FC"/>
            </w:tcBorders>
          </w:tcPr>
          <w:p>
            <w:pPr>
              <w:spacing w:after="0"/>
              <w:rPr>
                <w:sz w:val="16"/>
                <w:szCs w:val="16"/>
                <w:color w:val="auto"/>
              </w:rPr>
            </w:pPr>
          </w:p>
        </w:tc>
        <w:tc>
          <w:tcPr>
            <w:tcW w:w="144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 net</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Intangible assets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above deferred tax balances at September 30, 2013 and December 31, 2012 were net of valuation allowances relating to net operating losses in certain countries of $237 million and $256 million,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i w:val="1"/>
                <w:iCs w:val="1"/>
                <w:color w:val="auto"/>
                <w:w w:val="97"/>
              </w:rPr>
              <w:t>(Stated in millions)</w:t>
            </w:r>
          </w:p>
        </w:tc>
      </w:tr>
      <w:tr>
        <w:trPr>
          <w:trHeight w:val="181"/>
        </w:trPr>
        <w:tc>
          <w:tcPr>
            <w:tcW w:w="45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color w:val="auto"/>
              </w:rPr>
              <w:t>Third Quarter</w:t>
            </w:r>
          </w:p>
        </w:tc>
        <w:tc>
          <w:tcPr>
            <w:tcW w:w="8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46"/>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color w:val="auto"/>
              </w:rPr>
              <w:t>2012</w:t>
            </w:r>
          </w:p>
        </w:tc>
        <w:tc>
          <w:tcPr>
            <w:tcW w:w="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458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800" w:type="dxa"/>
            <w:vAlign w:val="bottom"/>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340" w:type="dxa"/>
            <w:vAlign w:val="bottom"/>
          </w:tcPr>
          <w:p>
            <w:pPr>
              <w:spacing w:after="0"/>
              <w:rPr>
                <w:sz w:val="19"/>
                <w:szCs w:val="19"/>
                <w:color w:val="auto"/>
              </w:rPr>
            </w:pPr>
          </w:p>
        </w:tc>
        <w:tc>
          <w:tcPr>
            <w:tcW w:w="320" w:type="dxa"/>
            <w:vAlign w:val="bottom"/>
            <w:gridSpan w:val="2"/>
          </w:tcPr>
          <w:p>
            <w:pPr>
              <w:jc w:val="right"/>
              <w:ind w:right="14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9"/>
                <w:szCs w:val="19"/>
                <w:color w:val="auto"/>
              </w:rPr>
            </w:pPr>
          </w:p>
        </w:tc>
      </w:tr>
      <w:tr>
        <w:trPr>
          <w:trHeight w:val="230"/>
        </w:trPr>
        <w:tc>
          <w:tcPr>
            <w:tcW w:w="45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United States — State</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Outside United States</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00" w:type="dxa"/>
            <w:vAlign w:val="bottom"/>
            <w:shd w:val="clear" w:color="auto" w:fill="CFF0FC"/>
          </w:tcPr>
          <w:p>
            <w:pPr>
              <w:spacing w:after="0"/>
              <w:rPr>
                <w:sz w:val="19"/>
                <w:szCs w:val="19"/>
                <w:color w:val="auto"/>
              </w:rPr>
            </w:pP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45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United States — Federal</w:t>
            </w:r>
          </w:p>
        </w:tc>
        <w:tc>
          <w:tcPr>
            <w:tcW w:w="800" w:type="dxa"/>
            <w:vAlign w:val="bottom"/>
            <w:shd w:val="clear" w:color="auto" w:fill="CFF0FC"/>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(91)</w:t>
            </w:r>
          </w:p>
        </w:tc>
      </w:tr>
      <w:tr>
        <w:trPr>
          <w:trHeight w:val="230"/>
        </w:trPr>
        <w:tc>
          <w:tcPr>
            <w:tcW w:w="458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30"/>
        </w:trPr>
        <w:tc>
          <w:tcPr>
            <w:tcW w:w="45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Outside United States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r>
      <w:tr>
        <w:trPr>
          <w:trHeight w:val="230"/>
        </w:trPr>
        <w:tc>
          <w:tcPr>
            <w:tcW w:w="458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r>
      <w:tr>
        <w:trPr>
          <w:trHeight w:val="223"/>
        </w:trPr>
        <w:tc>
          <w:tcPr>
            <w:tcW w:w="45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CFF0FC"/>
            </w:tcBorders>
            <w:shd w:val="clear" w:color="auto" w:fill="CFF0FC"/>
          </w:tcPr>
          <w:p>
            <w:pPr>
              <w:spacing w:after="0"/>
              <w:rPr>
                <w:sz w:val="19"/>
                <w:szCs w:val="19"/>
                <w:color w:val="auto"/>
              </w:rPr>
            </w:pPr>
          </w:p>
        </w:tc>
      </w:tr>
      <w:tr>
        <w:trPr>
          <w:trHeight w:val="223"/>
        </w:trPr>
        <w:tc>
          <w:tcPr>
            <w:tcW w:w="4580" w:type="dxa"/>
            <w:vAlign w:val="bottom"/>
          </w:tcPr>
          <w:p>
            <w:pPr>
              <w:spacing w:after="0"/>
              <w:rPr>
                <w:sz w:val="19"/>
                <w:szCs w:val="19"/>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Third Quarter</w:t>
            </w:r>
          </w:p>
        </w:tc>
        <w:tc>
          <w:tcPr>
            <w:tcW w:w="3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Nine Months</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35%</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35%</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US state income taxes</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(12)</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Charges and credits (See Note 2)</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w:t>
            </w:r>
          </w:p>
        </w:tc>
        <w:tc>
          <w:tcPr>
            <w:tcW w:w="1940" w:type="dxa"/>
            <w:vAlign w:val="bottom"/>
            <w:gridSpan w:val="3"/>
            <w:shd w:val="clear" w:color="auto" w:fill="CFF0FC"/>
          </w:tcPr>
          <w:p>
            <w:pPr>
              <w:ind w:left="9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8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is cooperating with the governmental authorities and cannot currently predict the outcome or estimate the possible impact of the ultimate resolution of these matters.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named an M-I SWACO entity as a defendant, were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Many of these claims were consolidated into multidistrict litigation pending in federal court (the “MDL”). During the first quarter of 2013, the federal court entered its order dismissing all claims against M-I SWACO that were consolidated as part of the MDL.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200" w:lineRule="exact"/>
        <w:rPr>
          <w:sz w:val="20"/>
          <w:szCs w:val="20"/>
          <w:color w:val="auto"/>
        </w:rPr>
      </w:pP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Third Quarter 2013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6"/>
          </w:tcPr>
          <w:p>
            <w:pPr>
              <w:jc w:val="right"/>
              <w:ind w:right="880"/>
              <w:spacing w:after="0"/>
              <w:rPr>
                <w:sz w:val="20"/>
                <w:szCs w:val="20"/>
                <w:color w:val="auto"/>
              </w:rPr>
            </w:pPr>
            <w:r>
              <w:rPr>
                <w:rFonts w:ascii="Arial" w:cs="Arial" w:eastAsia="Arial" w:hAnsi="Arial"/>
                <w:sz w:val="14"/>
                <w:szCs w:val="14"/>
                <w:color w:val="auto"/>
              </w:rPr>
              <w:t>Third Quarter 2012</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55"/>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75"/>
              <w:spacing w:after="0" w:line="119" w:lineRule="exact"/>
              <w:rPr>
                <w:sz w:val="20"/>
                <w:szCs w:val="20"/>
                <w:color w:val="auto"/>
              </w:rPr>
            </w:pPr>
            <w:r>
              <w:rPr>
                <w:rFonts w:ascii="Arial" w:cs="Arial" w:eastAsia="Arial" w:hAnsi="Arial"/>
                <w:sz w:val="13"/>
                <w:szCs w:val="13"/>
                <w:color w:val="auto"/>
              </w:rPr>
              <w:t>Income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before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taxes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3,232</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983</w:t>
            </w:r>
          </w:p>
        </w:tc>
        <w:tc>
          <w:tcPr>
            <w:tcW w:w="18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9"/>
                <w:szCs w:val="19"/>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4,024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 &amp; other</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486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2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0" w:hanging="225"/>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($3 million in 2013; $— million in 2012).</w:t>
      </w:r>
    </w:p>
    <w:p>
      <w:pPr>
        <w:spacing w:after="0" w:line="130" w:lineRule="exact"/>
        <w:rPr>
          <w:rFonts w:ascii="Arial" w:cs="Arial" w:eastAsia="Arial" w:hAnsi="Arial"/>
          <w:sz w:val="15"/>
          <w:szCs w:val="15"/>
          <w:color w:val="auto"/>
        </w:rPr>
      </w:pPr>
    </w:p>
    <w:p>
      <w:pPr>
        <w:ind w:left="800" w:hanging="225"/>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($6 million in 2013; $3 million in 2012).</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Nine Months 2013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4"/>
                <w:szCs w:val="14"/>
                <w:color w:val="auto"/>
              </w:rPr>
              <w:t>Nine Months 2012</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55"/>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75"/>
              <w:spacing w:after="0" w:line="119" w:lineRule="exact"/>
              <w:rPr>
                <w:sz w:val="20"/>
                <w:szCs w:val="20"/>
                <w:color w:val="auto"/>
              </w:rPr>
            </w:pPr>
            <w:r>
              <w:rPr>
                <w:rFonts w:ascii="Arial" w:cs="Arial" w:eastAsia="Arial" w:hAnsi="Arial"/>
                <w:sz w:val="13"/>
                <w:szCs w:val="13"/>
                <w:color w:val="auto"/>
              </w:rPr>
              <w:t>Income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before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taxes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8,996</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180" w:type="dxa"/>
            <w:vAlign w:val="bottom"/>
          </w:tcPr>
          <w:p>
            <w:pPr>
              <w:spacing w:after="0"/>
              <w:rPr>
                <w:sz w:val="19"/>
                <w:szCs w:val="19"/>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8,066</w:t>
            </w:r>
          </w:p>
        </w:tc>
        <w:tc>
          <w:tcPr>
            <w:tcW w:w="180" w:type="dxa"/>
            <w:vAlign w:val="bottom"/>
          </w:tcPr>
          <w:p>
            <w:pPr>
              <w:spacing w:after="0"/>
              <w:rPr>
                <w:sz w:val="19"/>
                <w:szCs w:val="19"/>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11,708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(164)</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33,360</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 &amp; other</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486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2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0" w:hanging="225"/>
        <w:spacing w:after="0"/>
        <w:tabs>
          <w:tab w:leader="none" w:pos="800" w:val="left"/>
        </w:tabs>
        <w:numPr>
          <w:ilvl w:val="1"/>
          <w:numId w:val="19"/>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($5 million in 2013; $— million in 2012).</w:t>
      </w:r>
    </w:p>
    <w:p>
      <w:pPr>
        <w:spacing w:after="0" w:line="130" w:lineRule="exact"/>
        <w:rPr>
          <w:rFonts w:ascii="Arial" w:cs="Arial" w:eastAsia="Arial" w:hAnsi="Arial"/>
          <w:sz w:val="15"/>
          <w:szCs w:val="15"/>
          <w:color w:val="auto"/>
        </w:rPr>
      </w:pPr>
    </w:p>
    <w:p>
      <w:pPr>
        <w:ind w:left="800" w:hanging="225"/>
        <w:spacing w:after="0"/>
        <w:tabs>
          <w:tab w:leader="none" w:pos="800" w:val="left"/>
        </w:tabs>
        <w:numPr>
          <w:ilvl w:val="1"/>
          <w:numId w:val="19"/>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($17 million in 2013; $5 million in 2012).</w:t>
      </w:r>
    </w:p>
    <w:p>
      <w:pPr>
        <w:spacing w:after="0" w:line="383" w:lineRule="exact"/>
        <w:rPr>
          <w:rFonts w:ascii="Arial" w:cs="Arial" w:eastAsia="Arial" w:hAnsi="Arial"/>
          <w:sz w:val="15"/>
          <w:szCs w:val="15"/>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vMerge w:val="restart"/>
          </w:tcPr>
          <w:p>
            <w:pPr>
              <w:jc w:val="right"/>
              <w:spacing w:after="0"/>
              <w:rPr>
                <w:sz w:val="20"/>
                <w:szCs w:val="20"/>
                <w:color w:val="auto"/>
              </w:rPr>
            </w:pPr>
            <w:r>
              <w:rPr>
                <w:rFonts w:ascii="Arial" w:cs="Arial" w:eastAsia="Arial" w:hAnsi="Arial"/>
                <w:sz w:val="14"/>
                <w:szCs w:val="14"/>
                <w:color w:val="auto"/>
              </w:rPr>
              <w:t>Nine Months</w:t>
            </w:r>
          </w:p>
        </w:tc>
        <w:tc>
          <w:tcPr>
            <w:tcW w:w="1800" w:type="dxa"/>
            <w:vAlign w:val="bottom"/>
            <w:gridSpan w:val="6"/>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2012</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2012</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US</w:t>
            </w:r>
          </w:p>
        </w:tc>
        <w:tc>
          <w:tcPr>
            <w:tcW w:w="4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Int’l</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US</w:t>
            </w:r>
          </w:p>
        </w:tc>
        <w:tc>
          <w:tcPr>
            <w:tcW w:w="6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Int’l</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Int’l</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color w:val="auto"/>
              </w:rPr>
              <w:t>US</w:t>
            </w:r>
          </w:p>
        </w:tc>
        <w:tc>
          <w:tcPr>
            <w:tcW w:w="6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color w:val="auto"/>
              </w:rPr>
              <w:t>Int’l</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5"/>
              </w:rPr>
              <w:t>Service cost — benefits earned during</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FF0FC"/>
          </w:tcPr>
          <w:p>
            <w:pPr>
              <w:spacing w:after="0"/>
              <w:rPr>
                <w:sz w:val="16"/>
                <w:szCs w:val="16"/>
                <w:color w:val="auto"/>
              </w:rPr>
            </w:pP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gridSpan w:val="2"/>
            <w:vMerge w:val="restart"/>
            <w:shd w:val="clear" w:color="auto" w:fill="CFF0FC"/>
          </w:tcPr>
          <w:p>
            <w:pPr>
              <w:jc w:val="right"/>
              <w:ind w:right="5"/>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38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period</w:t>
            </w:r>
          </w:p>
        </w:tc>
        <w:tc>
          <w:tcPr>
            <w:tcW w:w="320" w:type="dxa"/>
            <w:vAlign w:val="bottom"/>
            <w:gridSpan w:val="2"/>
            <w:vMerge w:val="continue"/>
            <w:shd w:val="clear" w:color="auto" w:fill="CFF0FC"/>
          </w:tcPr>
          <w:p>
            <w:pPr>
              <w:spacing w:after="0"/>
              <w:rPr>
                <w:sz w:val="21"/>
                <w:szCs w:val="21"/>
                <w:color w:val="auto"/>
              </w:rPr>
            </w:pPr>
          </w:p>
        </w:tc>
        <w:tc>
          <w:tcPr>
            <w:tcW w:w="460" w:type="dxa"/>
            <w:vAlign w:val="bottom"/>
            <w:vMerge w:val="continue"/>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 w:type="dxa"/>
            <w:vAlign w:val="bottom"/>
            <w:gridSpan w:val="2"/>
            <w:vMerge w:val="continue"/>
            <w:shd w:val="clear" w:color="auto" w:fill="CFF0FC"/>
          </w:tcPr>
          <w:p>
            <w:pPr>
              <w:spacing w:after="0"/>
              <w:rPr>
                <w:sz w:val="21"/>
                <w:szCs w:val="21"/>
                <w:color w:val="auto"/>
              </w:rPr>
            </w:pPr>
          </w:p>
        </w:tc>
        <w:tc>
          <w:tcPr>
            <w:tcW w:w="48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21"/>
                <w:szCs w:val="21"/>
                <w:color w:val="auto"/>
              </w:rPr>
            </w:pPr>
          </w:p>
        </w:tc>
        <w:tc>
          <w:tcPr>
            <w:tcW w:w="360" w:type="dxa"/>
            <w:vAlign w:val="bottom"/>
            <w:gridSpan w:val="2"/>
            <w:vMerge w:val="continue"/>
            <w:shd w:val="clear" w:color="auto" w:fill="CFF0FC"/>
          </w:tcPr>
          <w:p>
            <w:pPr>
              <w:spacing w:after="0"/>
              <w:rPr>
                <w:sz w:val="21"/>
                <w:szCs w:val="21"/>
                <w:color w:val="auto"/>
              </w:rPr>
            </w:pPr>
          </w:p>
        </w:tc>
        <w:tc>
          <w:tcPr>
            <w:tcW w:w="480" w:type="dxa"/>
            <w:vAlign w:val="bottom"/>
            <w:vMerge w:val="continue"/>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gridSpan w:val="2"/>
            <w:vMerge w:val="continue"/>
            <w:shd w:val="clear" w:color="auto" w:fill="CFF0FC"/>
          </w:tcPr>
          <w:p>
            <w:pPr>
              <w:spacing w:after="0"/>
              <w:rPr>
                <w:sz w:val="21"/>
                <w:szCs w:val="21"/>
                <w:color w:val="auto"/>
              </w:rPr>
            </w:pPr>
          </w:p>
        </w:tc>
        <w:tc>
          <w:tcPr>
            <w:tcW w:w="50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Interest cost on projected benefit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20"/>
              <w:spacing w:after="0"/>
              <w:rPr>
                <w:sz w:val="20"/>
                <w:szCs w:val="20"/>
                <w:color w:val="auto"/>
              </w:rPr>
            </w:pPr>
            <w:r>
              <w:rPr>
                <w:rFonts w:ascii="Arial" w:cs="Arial" w:eastAsia="Arial" w:hAnsi="Arial"/>
                <w:sz w:val="18"/>
                <w:szCs w:val="18"/>
                <w:color w:val="auto"/>
              </w:rPr>
              <w:t>obligation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(47)</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(150)</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3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9"/>
            <w:vMerge w:val="restart"/>
          </w:tcPr>
          <w:p>
            <w:pPr>
              <w:jc w:val="right"/>
              <w:ind w:right="116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9"/>
          </w:tcPr>
          <w:p>
            <w:pPr>
              <w:jc w:val="center"/>
              <w:ind w:right="6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9"/>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10"/>
              <w:spacing w:after="0"/>
              <w:rPr>
                <w:sz w:val="20"/>
                <w:szCs w:val="20"/>
                <w:color w:val="auto"/>
              </w:rPr>
            </w:pPr>
            <w:r>
              <w:rPr>
                <w:rFonts w:ascii="Arial" w:cs="Arial" w:eastAsia="Arial" w:hAnsi="Arial"/>
                <w:sz w:val="14"/>
                <w:szCs w:val="14"/>
                <w:color w:val="auto"/>
              </w:rPr>
              <w:t>Nine Months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6"/>
              </w:rPr>
              <w:t>2012</w:t>
            </w:r>
          </w:p>
        </w:tc>
        <w:tc>
          <w:tcPr>
            <w:tcW w:w="34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Service cost — benefits earned during period</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7"/>
          </w:tcPr>
          <w:p>
            <w:pPr>
              <w:spacing w:after="0"/>
              <w:rPr>
                <w:sz w:val="20"/>
                <w:szCs w:val="20"/>
                <w:color w:val="auto"/>
              </w:rPr>
            </w:pPr>
            <w:r>
              <w:rPr>
                <w:rFonts w:ascii="Arial" w:cs="Arial" w:eastAsia="Arial" w:hAnsi="Arial"/>
                <w:sz w:val="18"/>
                <w:szCs w:val="18"/>
                <w:color w:val="auto"/>
                <w:w w:val="91"/>
              </w:rPr>
              <w:t>Interest cost on accumulated postretirement benefit obligation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0"/>
              </w:rPr>
              <w:t>16. Accumulated Other Comprehensive Loss</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500" w:type="dxa"/>
            <w:vAlign w:val="bottom"/>
            <w:gridSpan w:val="7"/>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160" w:type="dxa"/>
            <w:vAlign w:val="bottom"/>
            <w:gridSpan w:val="4"/>
            <w:shd w:val="clear" w:color="auto" w:fill="000000"/>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60" w:type="dxa"/>
            <w:vAlign w:val="bottom"/>
            <w:gridSpan w:val="10"/>
          </w:tcPr>
          <w:p>
            <w:pPr>
              <w:spacing w:after="0"/>
              <w:rPr>
                <w:sz w:val="20"/>
                <w:szCs w:val="20"/>
                <w:color w:val="auto"/>
              </w:rPr>
            </w:pPr>
            <w:r>
              <w:rPr>
                <w:rFonts w:ascii="Arial" w:cs="Arial" w:eastAsia="Arial" w:hAnsi="Arial"/>
                <w:sz w:val="18"/>
                <w:szCs w:val="18"/>
                <w:i w:val="1"/>
                <w:iCs w:val="1"/>
                <w:color w:val="auto"/>
                <w:w w:val="93"/>
              </w:rPr>
              <w:t xml:space="preserve">Accumulated Other Comprehensive Loss </w:t>
            </w:r>
            <w:r>
              <w:rPr>
                <w:rFonts w:ascii="Arial" w:cs="Arial" w:eastAsia="Arial" w:hAnsi="Arial"/>
                <w:sz w:val="18"/>
                <w:szCs w:val="18"/>
                <w:color w:val="auto"/>
                <w:w w:val="93"/>
              </w:rPr>
              <w:t>consists of the following: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Pension and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Unrealized Gains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7"/>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7"/>
              </w:rPr>
              <w:t>on Marketable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2013</w:t>
            </w:r>
          </w:p>
        </w:tc>
        <w:tc>
          <w:tcPr>
            <w:tcW w:w="14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(918)</w:t>
            </w: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(3,141)</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b w:val="1"/>
                <w:bCs w:val="1"/>
                <w:color w:val="auto"/>
                <w:w w:val="86"/>
              </w:rPr>
              <w:t>141</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(3,888)</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3"/>
            <w:vMerge w:val="restart"/>
          </w:tcPr>
          <w:p>
            <w:pPr>
              <w:jc w:val="right"/>
              <w:ind w:right="380"/>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4"/>
            <w:vMerge w:val="restart"/>
          </w:tcPr>
          <w:p>
            <w:pPr>
              <w:jc w:val="right"/>
              <w:ind w:right="24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before reclassifications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2"/>
              </w:rPr>
              <w:t>Amounts reclassified from accumulated</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60" w:type="dxa"/>
            <w:vAlign w:val="bottom"/>
            <w:gridSpan w:val="3"/>
            <w:vMerge w:val="restart"/>
            <w:shd w:val="clear" w:color="auto" w:fill="CFF0FC"/>
          </w:tcPr>
          <w:p>
            <w:pPr>
              <w:jc w:val="right"/>
              <w:ind w:right="5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333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60" w:type="dxa"/>
            <w:vAlign w:val="bottom"/>
            <w:gridSpan w:val="3"/>
            <w:vMerge w:val="continue"/>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vMerge w:val="continue"/>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vMerge w:val="continue"/>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gridSpan w:val="3"/>
            <w:vMerge w:val="continue"/>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w w:val="98"/>
              </w:rPr>
              <w:t>Net other comprehensive income (loss)</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255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162</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Balance, September 30, 2013</w:t>
            </w:r>
          </w:p>
        </w:tc>
        <w:tc>
          <w:tcPr>
            <w:tcW w:w="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(2,886)</w:t>
            </w: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w w:val="86"/>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(3,726)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Pension and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Unrealized Gains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7"/>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7"/>
              </w:rPr>
              <w:t>on Marketable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Benefit Plans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2012</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before reclassifications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2"/>
              </w:rPr>
              <w:t>Amounts reclassified from accumulated</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gridSpan w:val="3"/>
            <w:shd w:val="clear" w:color="auto" w:fill="CFF0FC"/>
          </w:tcPr>
          <w:p>
            <w:pPr>
              <w:ind w:left="220"/>
              <w:spacing w:after="0"/>
              <w:rPr>
                <w:sz w:val="20"/>
                <w:szCs w:val="20"/>
                <w:color w:val="auto"/>
              </w:rPr>
            </w:pPr>
            <w:r>
              <w:rPr>
                <w:rFonts w:ascii="Arial" w:cs="Arial" w:eastAsia="Arial" w:hAnsi="Arial"/>
                <w:sz w:val="18"/>
                <w:szCs w:val="18"/>
                <w:color w:val="auto"/>
              </w:rPr>
              <w:t>Net other comprehensive income</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Balance, September 30, 2012</w:t>
            </w:r>
          </w:p>
        </w:tc>
        <w:tc>
          <w:tcPr>
            <w:tcW w:w="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80" w:type="dxa"/>
            <w:vAlign w:val="bottom"/>
          </w:tcPr>
          <w:p>
            <w:pPr>
              <w:jc w:val="center"/>
              <w:ind w:right="11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(3,325)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2013, Schlumberger completed the wind down of its operations in Iran and, therefore, has classified the historical results of this business as a discontinued operation.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second quarter of 2012, Schlumberger sold its Wilson distribution business to National Oilwell Varco Inc. (“NOV”) for $906 million in cash. During the third quarter of 2012, Schlumberger completed the sale of its 56% interest in CE Franklin Ltd. to NOV for $122 million in cash. As Wilson and CE Franklin comprised Schlumberger’s entire Distribution segment, the results of this segment were classified as discontinued operations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the results of these discontinued operations (in millions):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rPr>
              <w:t>Third Quarter</w:t>
            </w:r>
          </w:p>
        </w:tc>
        <w:tc>
          <w:tcPr>
            <w:tcW w:w="8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color w:val="auto"/>
              </w:rPr>
              <w:t>Nine Months</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102</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Income (loss) before taxes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4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Tax expense</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9"/>
                <w:szCs w:val="19"/>
                <w:color w:val="auto"/>
              </w:rPr>
            </w:pPr>
          </w:p>
        </w:tc>
        <w:tc>
          <w:tcPr>
            <w:tcW w:w="82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Gain on divestiture, net of tax</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240" w:top="341" w:right="699" w:bottom="1440" w:gutter="0" w:footer="0" w:header="0"/>
        </w:sectPr>
      </w:pPr>
    </w:p>
    <w:bookmarkStart w:id="18" w:name="page19"/>
    <w:bookmarkEnd w:id="18"/>
    <w:p>
      <w:pPr>
        <w:spacing w:after="0"/>
        <w:tabs>
          <w:tab w:leader="none" w:pos="124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2013 Compared to Second Quarter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7"/>
            <w:vMerge w:val="restart"/>
          </w:tcPr>
          <w:p>
            <w:pPr>
              <w:jc w:val="right"/>
              <w:ind w:right="740"/>
              <w:spacing w:after="0"/>
              <w:rPr>
                <w:sz w:val="20"/>
                <w:szCs w:val="20"/>
                <w:color w:val="auto"/>
              </w:rPr>
            </w:pPr>
            <w:r>
              <w:rPr>
                <w:rFonts w:ascii="Arial" w:cs="Arial" w:eastAsia="Arial" w:hAnsi="Arial"/>
                <w:sz w:val="14"/>
                <w:szCs w:val="14"/>
                <w:b w:val="1"/>
                <w:bCs w:val="1"/>
                <w:color w:val="auto"/>
              </w:rPr>
              <w:t>Third Quarter 2013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7"/>
          </w:tcPr>
          <w:p>
            <w:pPr>
              <w:jc w:val="right"/>
              <w:ind w:right="800"/>
              <w:spacing w:after="0"/>
              <w:rPr>
                <w:sz w:val="20"/>
                <w:szCs w:val="20"/>
                <w:color w:val="auto"/>
              </w:rPr>
            </w:pPr>
            <w:r>
              <w:rPr>
                <w:rFonts w:ascii="Arial" w:cs="Arial" w:eastAsia="Arial" w:hAnsi="Arial"/>
                <w:sz w:val="14"/>
                <w:szCs w:val="14"/>
                <w:color w:val="auto"/>
              </w:rPr>
              <w:t>Second Quarter 2013</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color w:val="auto"/>
              </w:rPr>
              <w:t>Income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Revenue</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0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184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3,232</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983</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3,014</w:t>
            </w:r>
          </w:p>
        </w:tc>
        <w:tc>
          <w:tcPr>
            <w:tcW w:w="140" w:type="dxa"/>
            <w:vAlign w:val="bottom"/>
          </w:tcPr>
          <w:p>
            <w:pPr>
              <w:spacing w:after="0"/>
              <w:rPr>
                <w:sz w:val="19"/>
                <w:szCs w:val="19"/>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Drilling</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40"/>
              <w:spacing w:after="0"/>
              <w:rPr>
                <w:sz w:val="20"/>
                <w:szCs w:val="20"/>
                <w:color w:val="auto"/>
              </w:rPr>
            </w:pPr>
            <w:r>
              <w:rPr>
                <w:rFonts w:ascii="Arial" w:cs="Arial" w:eastAsia="Arial" w:hAnsi="Arial"/>
                <w:sz w:val="18"/>
                <w:szCs w:val="18"/>
                <w:color w:val="auto"/>
              </w:rPr>
              <w:t>Production</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Eliminations &amp; other</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11,608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 &amp; other</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40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11,608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tcPr>
          <w:p>
            <w:pPr>
              <w:spacing w:after="0"/>
              <w:rPr>
                <w:sz w:val="24"/>
                <w:szCs w:val="24"/>
                <w:color w:val="auto"/>
              </w:rPr>
            </w:pPr>
          </w:p>
        </w:tc>
        <w:tc>
          <w:tcPr>
            <w:tcW w:w="284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88"/>
              </w:rPr>
              <w:t>Geographic Areas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vMerge w:val="restart"/>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line="20" w:lineRule="exact"/>
              <w:rPr>
                <w:sz w:val="1"/>
                <w:szCs w:val="1"/>
                <w:color w:val="auto"/>
              </w:rPr>
            </w:pPr>
          </w:p>
        </w:tc>
      </w:tr>
      <w:tr>
        <w:trPr>
          <w:trHeight w:val="380"/>
        </w:trPr>
        <w:tc>
          <w:tcPr>
            <w:tcW w:w="3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7"/>
            <w:vMerge w:val="restart"/>
          </w:tcPr>
          <w:p>
            <w:pPr>
              <w:jc w:val="right"/>
              <w:ind w:right="740"/>
              <w:spacing w:after="0"/>
              <w:rPr>
                <w:sz w:val="20"/>
                <w:szCs w:val="20"/>
                <w:color w:val="auto"/>
              </w:rPr>
            </w:pPr>
            <w:r>
              <w:rPr>
                <w:rFonts w:ascii="Arial" w:cs="Arial" w:eastAsia="Arial" w:hAnsi="Arial"/>
                <w:sz w:val="14"/>
                <w:szCs w:val="14"/>
                <w:b w:val="1"/>
                <w:bCs w:val="1"/>
                <w:color w:val="auto"/>
              </w:rPr>
              <w:t>Third Quarter 2013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7"/>
          </w:tcPr>
          <w:p>
            <w:pPr>
              <w:jc w:val="right"/>
              <w:ind w:right="800"/>
              <w:spacing w:after="0"/>
              <w:rPr>
                <w:sz w:val="20"/>
                <w:szCs w:val="20"/>
                <w:color w:val="auto"/>
              </w:rPr>
            </w:pPr>
            <w:r>
              <w:rPr>
                <w:rFonts w:ascii="Arial" w:cs="Arial" w:eastAsia="Arial" w:hAnsi="Arial"/>
                <w:sz w:val="14"/>
                <w:szCs w:val="14"/>
                <w:color w:val="auto"/>
              </w:rPr>
              <w:t>Second Quarter 2013</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b w:val="1"/>
                <w:bCs w:val="1"/>
                <w:color w:val="auto"/>
                <w:w w:val="96"/>
              </w:rPr>
              <w:t>Income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color w:val="auto"/>
              </w:rPr>
              <w:t>Income</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Revenue</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0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184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3,602</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3,357</w:t>
            </w:r>
          </w:p>
        </w:tc>
        <w:tc>
          <w:tcPr>
            <w:tcW w:w="140" w:type="dxa"/>
            <w:vAlign w:val="bottom"/>
          </w:tcPr>
          <w:p>
            <w:pPr>
              <w:spacing w:after="0"/>
              <w:rPr>
                <w:sz w:val="19"/>
                <w:szCs w:val="19"/>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Middle East &amp; Asia</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2,801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11,608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Charges and credits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11,608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11,182</w:t>
            </w: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26"/>
          <w:szCs w:val="26"/>
          <w:color w:val="auto"/>
          <w:vertAlign w:val="superscript"/>
        </w:rPr>
      </w:pPr>
      <w:r>
        <w:rPr>
          <w:rFonts w:ascii="Arial" w:cs="Arial" w:eastAsia="Arial" w:hAnsi="Arial"/>
          <w:sz w:val="18"/>
          <w:szCs w:val="18"/>
          <w:color w:val="auto"/>
        </w:rPr>
        <w:t>Excludes interest income and interest expense included in the Product Group and Geographical Area results.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 intangible assets recorded as a result of Schlumberger’s 2010 acquisition of Smith.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revenue of $11.61 billion was up 4% sequentially with International Area revenue of $7.91 billion growing $209 million, or 3% sequentially, while North America Area revenue of $3.60 billion increased $245 million, or 7% sequentially.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Reservoir Characterization Group revenue of $3.23 billion grew 7% while Drilling Group revenue of $4.41 billion increased 3%. These increases were due to strong exploration and drilling activity, both offshore and in key international land markets that benefited Wireline, Testing Services, Drilling &amp; Measurements and M-I SWACO Technologies. WesternGeco revenue also increased from improved global marine vessel activity leading to high asset utilization during the quarter. Production Group revenue of $4.02 billion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7"/>
          <w:szCs w:val="17"/>
          <w:color w:val="auto"/>
        </w:rPr>
        <w:t>grew 3% despite the transfer of the Schlumberger subsea business at the end of the second quarter to OneSubsea, a Cameron/Schlumberger joint venture. Excluding this effect, the Production Group revenue grew 6% sequentially mainly from strong results in Well Services, Completions &amp; Artificial Lift Technologies and Schlumberger Production Management (SPM) projects. The seasonal rebound in Western Canada following the spring break-up accounted for the majority of the sequential increase in Well Services activity with a significant amount also coming from improved efficiency in US land hydraulic fracturing services that enabled deployment of four additional fleets from existing equipment despite continued pricing weakness.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Geographically, North America led the increase with revenue of $3.60 billion growing 7%. The performance in North America was driven by the offshore business setting a new high for quarterly revenue, Western Canada land rebounding from the seasonal spring break-up in the previous quarter, and US land being up from improved efficiency, growing new technology penetration, and market share gains. Middle East &amp; Asia revenue of $2.80 billion increased 5%, mainly from continued growth across a diversified portfolio of projects and activities in Saudi Arabia and Iraq, while high growth rates were posted in the United Arab Emirates and Qatar. Strong WesternGeco marine vessel activity in the Brunei, Malaysia &amp; Philippines and Indonesia GeoMarkets, and increased land drilling and stimulation activities in China also contributed to the strong results. Europe/CIS/Africa revenue of $3.18 billion increased 2% from high WesternGeco marine vessel activity in the North Sea and Equatorial Guinea and peak summer drilling and exploration activity in Russia and Central Asia, while Angola and North Africa activity continued to be subdued by project delays. Europe/CIS/Africa revenue for the third quarter reflects the absence of the results of the subsea business that was transferred to the OneSubsea joint venture in the second quarter of 2013. Excluding the effect of this business transfer, the revenue for Europe/CIS/Africa grew 5%. Latin America revenue of $1.93 billion grew 1% with strong sequential growth posted in Venezuela and Argentina. Higher incremental production results from the SPM project in Ecuador also contributed to growth. These increases, however, were partially offset by a decrease in Brazil due to lower rig count, both on land and in deepwater.</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Third-quarter pretax operating income of $2.50 billion was up 10% sequentially. International pretax operating income of $1.84 billion increased 9% sequentially, while North America pretax operating income of $730 million increased 10% sequentially.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Sequentially, pretax operating margin of 21.5% increased 114 basis points (bps), as International pretax operating margin expanded 134 bps to 23.3%. Middle East &amp; Asia posted a 151-bps sequential margin improvement to reach 26.1%, Europe/CIS/Africa increased by 189 bps to 22.5%, while Latin America was steady at 20.6%. The expansion in International margins was due to strong results in Russia &amp; Central Asia resulting from deployment of higher-margin technologies during the peak summer drilling and exploration campaigns. Increased high-margin wireline and seismic activities also helped boost international margins further in Middle East &amp; Asia as exploration work increased. North America pretax operating margin increased 57 bps sequentially to 20.3% as Western Canada recovered following the previous quarter’s seasonal spring break-up. US land margin continued to expand on improving efficiency, better utilization, and lower raw material costs in pressure pumping stimulation services. North America offshore operating margin continued to grow on increasing activity and technology deployment but overall results decreased sequentially due to lower multiclient sales during the quarter.</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Sequentially by Product Group, Reservoir Characterization Group pretax operating margin expanded 27 bps to 30.4% due to strong exploration activities that benefited Wireline and Testing Services Technologies. The pretax operating margin of the Drilling Group increased 154 bps to 20.3% through improved Drilling &amp; Measurements operational performance and increased profitability on Integrated Project Management (IPM) projects in the Latin America and Middle East &amp; Asia Areas. Production Group pretax operating margin increased 165 bps to 17.6% on improved profitability in Well Services as Western Canada recovered from the previous quarter’s spring break-up and US land margin continued to expand on improving efficiency, better utilization, and lower raw material costs. SPM projects in Latin America and Asia also continued to be accretive to the group’s expanding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$3.23 billion increased 7% sequentially. Pretax operating income of $983 million was 8% higher sequentially.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Sequentially, the increase in revenue was driven primarily by higher use of Wireline and Testing Services technologies as a result of strong exploration activity in the Middle East &amp; Asia and Europe/CIS/Africa Areas. This was particularly marked in Russia &amp; Central Asia where drilling &amp; exploration activity increased during the summer. WesternGeco revenue also increased sequentially from improved global marine vessel activity leading to high asset utilization during the quarter, although the effect of this was partially offset by sequentially lower multiclient sales.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30.4% increased 27 bps sequentially from robust higher-margin exploration activity for Wireline in Russia and the Middle East &amp; Asia Area, while Testing Services across all Areas also contributed to the group’s expanding margin.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Drilling Group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Third-quarter revenue of $4.41 billion increased 3% over the prior quarter. Pretax operating income of $894 million was 11% higher than the second quarter.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Sequentially, revenue increased primarily on strong M-I SWACO performance from the rebound of Western Canada land activity, increased deepwater work in North America, and increased activity in Mexico and Russia. Strong Drilling &amp; Measurements activity in the Middle East &amp; Asia Area, in Russia, and offshore North America also contributed to growth.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Sequentially, pretax operating margin grew 154 bps to 20.3% as a result of improved profitability in Drilling &amp; Measurements due to stronger activity and a more favorable geographical and technology mix. Improved profitability on IPM projects in the Middle East &amp; Asia and Latin America Areas continued to contribute to the group’s expanding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$4.02 billion increased 3% sequentially. Pretax operating income of $707 million was 13% higher sequentially.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group’s revenue increased 3% despite the transfer of the subsea business to the OneSubsea joint venture. Excluding the effect of the transfer of this business, the group grew 6% mainly from strong results in Well Services, Completions, Artificial Lift and SPM. The rebound from the seasonal spring break-up in Western Canada accounted for the majority of the sequential increase in Well Services while a significant proportion came through improved efficiency in the US land hydraulic fracturing market with the deployment of additional fleets and crews from existing assets despite continued pricing weakness. Strong sales of Completions and Artificial Lift products in the Latin America and Middle East &amp; Asia Areas also contributed to growth.</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Pretax operating margin of 17.6% increased 165 bps sequentially on improved profitability in Well Services as Western Canada recovered from the previous quarter’s seasonal spring break-up and US land margin continued to expand on improving efficiency, better utilization, and lower raw material costs. SPM projects in Latin America and Asia also continued to be accretive to the group’s expanding margins.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2013 Compared to Third Quarter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Third Quarter 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4"/>
                <w:szCs w:val="14"/>
                <w:color w:val="auto"/>
              </w:rPr>
              <w:t>Third Quarter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Revenue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3,232</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983</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Drilling</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Eliminations &amp; other</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Charges and credits</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Third Quarter 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color w:val="auto"/>
              </w:rPr>
              <w:t>Third Quarter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14"/>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4"/>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Revenue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33"/>
              <w:spacing w:after="0"/>
              <w:rPr>
                <w:sz w:val="20"/>
                <w:szCs w:val="20"/>
                <w:color w:val="auto"/>
              </w:rPr>
            </w:pPr>
            <w:r>
              <w:rPr>
                <w:rFonts w:ascii="Arial" w:cs="Arial" w:eastAsia="Arial" w:hAnsi="Arial"/>
                <w:sz w:val="14"/>
                <w:szCs w:val="14"/>
                <w:color w:val="auto"/>
                <w:w w:val="96"/>
              </w:rPr>
              <w:t>Revenue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3,602</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Latin America</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3,178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Middle East &amp; Asia</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11,608</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 &amp; other</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6"/>
          <w:szCs w:val="26"/>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Third-quarter 2013 revenue of $11.61 billion was 11% higher than the same period last year with International Area revenue of $7.91 billion increasing 12% while North America Area revenue of $3.60 billion was up 9%.</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Internationally, higher exploration and development activities in a number of GeoMarkets both offshore and in key land markets contributed to the increase. The increase was led by the Middle East &amp; Asia Area increasing 25%, mainly from robust results across a diversified portfolio of projects and activities in Saudi Arabia, Iraq and United Arab Emirates; increased seismic surveys across Asia; and sustained land and offshore drilling activity in the Australasia and China GeoMarkets. Europe/CIS/Africa Area increased 7% led by the Russia and Central Asia region on strong land activity in West Siberia and robust offshore projects in Sakhalin. The Sub-Saharan Africa region increased on strong development, exploration and seismic activities as well. Latin America Area was 4% higher, mainly due to solid progress on an SPM project in Ecuador and strong IPM results in Argentina.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North America growth was driven by increased offshore revenue as a result of higher drilling and exploration activities. The land business continues to experience pricing weakness in the areas of drilling, stimulation and wireline, although this was more than offset by increased service intensity, improved efficiency, market share gains and new technology penetration.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Reservoir Characterization revenue of $3.23 billion grew 14% while Drilling Group revenue of $4.41 billion increased 9%. These increases were a result of robust exploration and development activities in a number of international GeoMarkets and in North America offshore, particularly in the US Gulf of Mexico. Production Group revenue of $4.02 billion grew 10%.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2013 pretax operating income of $2.50 billion grew $413 million, or 20% versus the same period last year with International pretax operating income of $1.84 billion increasing 24%, while North America pretax operating income of $730 million increased 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Third-quarter 2013 pretax operating margin of 21.5% grew 166 bps versus the same period last year, as International pretax operating margin expanded 227 bps to 23.3% while North America pretax operating margin increased 176 bps to 20.3%. The expansion in International margins was due to increased high-margin exploration, seismic and deepwater activities while the North America margin improvement was from improved efficiency, better utilization and lower raw material costs despite the weak pricing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Third-quarter 2013 revenue of $3.23 billion was 14.0% higher than the same period last year due to market share gains and higher exploration activity in both offshore and key international land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224 bps to 30.4% largely due to the higher-margin exploration activities that benefited Wireline and Testing Services and increased Schlumberger Information Services software sales.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Drilling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Third-quarter 2013 revenue of $4.41 billion was 9% higher than the previous year primarily due to the robust demand for Drilling &amp; Measurements services as offshore drilling activity strengthened in the US Gulf of Mexico, Sub-Sahara Africa, Russia and the Middle East &amp; Asia Area and as rig count increased in key international land markets, namely in Saudi Arabia, China and Australia. M-I SWACO and Drilling Tools &amp; Remedial Technologies expanded across all Areas and IPM grew on projects in Iraq, Australia and Argentina.</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Year-on-year, pretax operating margin increased 224 bps to 20.3% primarily due to the increase in higher-margin activities of Drilling &amp; Measurements that benefited from higher-margin exploration activities in North America offshore and in the international markets and improved profitability on IPM projects.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Third-quarter 2013 revenue of $4.02 billion increased 10% year-on-year on increasing Well Services and Well Intervention activity, strong international sales of Completion and Artificial Lift products and increased SPM project results. While North America land rig count declined, well &amp; stage counts increased through drilling efficiency. Well Services revenue in North America increased despite pricing weakness on improved efficiency with the deployment of additional fleets and crews from existing assets.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Year-on-year, pretax operating margin increased 289 basis points to 17.6% mainly due to Well Services margin expansion mainly in US land due to improving efficiency, better asset utilization and lower raw material costs against the backdrop of a weak pricing environment. SPM projects in Latin America and Asia also continued to be accretive to the group’s expanding margins.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Nine Months 2013 Compared to Nine Months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Nine Months 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color w:val="auto"/>
              </w:rPr>
              <w:t>Nine Months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15"/>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Revenue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8,996</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8,066</w:t>
            </w:r>
          </w:p>
        </w:tc>
        <w:tc>
          <w:tcPr>
            <w:tcW w:w="80" w:type="dxa"/>
            <w:vAlign w:val="bottom"/>
          </w:tcPr>
          <w:p>
            <w:pPr>
              <w:spacing w:after="0"/>
              <w:rPr>
                <w:sz w:val="19"/>
                <w:szCs w:val="19"/>
                <w:color w:val="auto"/>
              </w:rPr>
            </w:pP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Drilling</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Production</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Eliminations &amp; other</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Charges and credits</w:t>
            </w: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Nine Months 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14"/>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4"/>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Revenue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33"/>
              <w:spacing w:after="0"/>
              <w:rPr>
                <w:sz w:val="20"/>
                <w:szCs w:val="20"/>
                <w:color w:val="auto"/>
              </w:rPr>
            </w:pPr>
            <w:r>
              <w:rPr>
                <w:rFonts w:ascii="Arial" w:cs="Arial" w:eastAsia="Arial" w:hAnsi="Arial"/>
                <w:sz w:val="14"/>
                <w:szCs w:val="14"/>
                <w:color w:val="auto"/>
                <w:w w:val="96"/>
              </w:rPr>
              <w:t>Revenue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Oilfield Services</w:t>
            </w:r>
          </w:p>
        </w:tc>
        <w:tc>
          <w:tcPr>
            <w:tcW w:w="1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10,249</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10,112</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Latin America</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9,154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Middle East &amp; Asia</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7,874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Eliminations &amp; other</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6,740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 &amp; other</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6"/>
                <w:szCs w:val="26"/>
                <w:b w:val="1"/>
                <w:bCs w:val="1"/>
                <w:color w:val="auto"/>
                <w:vertAlign w:val="superscript"/>
              </w:rPr>
              <w:t>(1)</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spacing w:after="0" w:line="230"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6"/>
                <w:szCs w:val="26"/>
                <w:b w:val="1"/>
                <w:bCs w:val="1"/>
                <w:color w:val="auto"/>
                <w:vertAlign w:val="superscript"/>
              </w:rPr>
              <w:t>(1)</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26"/>
          <w:szCs w:val="26"/>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Nine-month 2013 revenue of $33.36 billion grew $2.71 billion, or 9% versus the same period last year with International Area revenue of $22.78 billion increasing $2.52 billion, or 12%, while North America Area revenue of $10.25 billion increased $136 million, or 1%.</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Internationally, higher exploration and development activities in a number of GeoMarkets both offshore and in key land markets contributed to the increase. The increase was led by the Middle East &amp; Asia Area increasing 25%, mainly from robust results across a diversified portfolio of projects and activities in Saudi Arabia, Iraq, and United Arab Emirates; increased seismic surveys across Asia; and sustained land and offshore drilling activity in the Australasia and China GeoMarkets. Europe/CIS/Africa Area increased 8%, led by the Russia and Central Asia region on strong land activity in West Siberia and robust offshore projects in Sakhalin. The Sub-Saharan Africa region increased on strong development, exploration and seismic activities as well. Latin America Area was 5% higher, mainly due to solid progress on an SPM project in Ecuador and strong IPM results in Argentina.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North America growth was driven by increased offshore revenue as a result of higher drilling and exploration activities. This increase was largely offset by a decline in land as a result of a reduction in rig count and pricing weakness in the areas of drilling, stimulation and wireline, although the downward pricing trend slowed during the second and third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Reservoir Characterization and Drilling Group (primarily Drilling &amp; Measurements, M-I SWACO and Drilling Tools &amp; Remedial) revenue increased 12% and 9%, respectively as a result of robust exploration and development activities in a number of international GeoMarkets and in North America offshore, particularly in the US Gulf of Mexico. Production Group revenue was up 7% mostly from Well Intervention, Completions, Artificial Lift, SPM and Well Services Technologies in the international GeoMarkets.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Year-to-date 2013 pretax operating income of $6.74 billion grew $734 million, or 12% versus the same period last year with International pretax operating income of $4.96 billion increasing 23%, while North America pretax operating income of $2.02 billion declined 3%.</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Year-to-date 2013 pretax operating margin of 20.2% increased 61 bps versus the same period last year, as International pretax operating margin expanded 180 bps to 21.8% while North America pretax operating margin contracted 88 bps to 19.7%. The expansion in International margins was due to increased high-margin exploration, seismic and deepwater activities while the North American margin contraction was due to pricing weakness.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Nine-month 2013 revenue of $9.00 billion was 12% higher than the same period last year due to market share gains and higher exploration activity in both offshore and key international land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201 basis points to 29.1% largely due to the higher-margin exploration activities that benefited Testing Services, WesternGeco and Wireline Technologies.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Drilling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Nine-month 2013 revenue of $12.82 billion was 9% higher than the previous year primarily due to the robust demand for Drilling &amp; Measurements services as offshore drilling activity strengthened in the US Gulf of Mexico, Sub-Sahara Africa, Russia and the Middle East &amp; Asia Area and rig count increases in key international land markets, namely in Saudi Arabia, China and Australia. Drilling Tools &amp; Remedial and M-I SWACO Technologies expanded across all Areas and IPM grew strongly on projects in Iraq, Australia and Argentina.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109 bps to 18.9% primarily due to the increase in higher-margin activities of Drilling &amp; Measurements that benefited from higher-margin exploration activities in North America offshore and in the international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Nine-month 2013 revenue of $11.71 billion increased 7% year-on-year on increasing Well Intervention activity and strong international sales of Completion and Artificial Lift products and Well Services technologies. SPM also posted strong growth. While North America land rig count declined, well &amp; stage counts increased through drilling efficiency. Despite the efficiency-driven activity increase, Well Services revenue in North America declined on pricing weakness.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Year-on-year, pretax operating margin increased slightly by 10 bps to 16.1%. Margin expanded on improving profitability in SPM, Completions and Artificial Lift but this was offset by a decline in margins of Well Services technologies, primarily in North America, as a result of pricing pressure and cost inflation.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third quarter and nine months ended September 30, 2013 and 2012: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gridSpan w:val="4"/>
          </w:tcPr>
          <w:p>
            <w:pPr>
              <w:ind w:left="500"/>
              <w:spacing w:after="0"/>
              <w:rPr>
                <w:sz w:val="20"/>
                <w:szCs w:val="20"/>
                <w:color w:val="auto"/>
              </w:rPr>
            </w:pPr>
            <w:r>
              <w:rPr>
                <w:rFonts w:ascii="Arial" w:cs="Arial" w:eastAsia="Arial" w:hAnsi="Arial"/>
                <w:sz w:val="14"/>
                <w:szCs w:val="14"/>
                <w:i w:val="1"/>
                <w:iCs w:val="1"/>
                <w:color w:val="auto"/>
              </w:rPr>
              <w:t>(Stated in millions)</w:t>
            </w:r>
          </w:p>
        </w:tc>
      </w:tr>
      <w:tr>
        <w:trPr>
          <w:trHeight w:val="181"/>
        </w:trPr>
        <w:tc>
          <w:tcPr>
            <w:tcW w:w="3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color w:val="auto"/>
              </w:rPr>
              <w:t>Third Quarter</w:t>
            </w:r>
          </w:p>
        </w:tc>
        <w:tc>
          <w:tcPr>
            <w:tcW w:w="8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382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2012</w:t>
            </w:r>
          </w:p>
        </w:tc>
        <w:tc>
          <w:tcPr>
            <w:tcW w:w="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CFF0FC"/>
            </w:tcBorders>
          </w:tcPr>
          <w:p>
            <w:pPr>
              <w:spacing w:after="0"/>
              <w:rPr>
                <w:sz w:val="13"/>
                <w:szCs w:val="13"/>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and 2012 were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18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Third Quarter</w:t>
            </w:r>
          </w:p>
        </w:tc>
        <w:tc>
          <w:tcPr>
            <w:tcW w:w="7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Nine Months</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6"/>
        </w:trPr>
        <w:tc>
          <w:tcPr>
            <w:tcW w:w="43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color w:val="auto"/>
              </w:rPr>
              <w:t>2012</w:t>
            </w:r>
          </w:p>
        </w:tc>
        <w:tc>
          <w:tcPr>
            <w:tcW w:w="5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CFF0FC"/>
            </w:tcBorders>
          </w:tcPr>
          <w:p>
            <w:pPr>
              <w:spacing w:after="0"/>
              <w:rPr>
                <w:sz w:val="13"/>
                <w:szCs w:val="13"/>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third quarter of 2013 was 22.7% compared to 24.2% for the same period of 2012.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effective tax rate for the nine months ended September 30, 2013 was 20.9% compared to 24.4% for the same period of the prior year. The effective tax rate for the nine months ended September 30, 2013 was significantly impacted by the charges and credits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Excluding the impact of charges and credits, the effective tax rate for the nine months ended September 30, 2013 was 23.2% compared to 24.2%</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The decrease in the effective tax rate excluding charges and credits for the nine-month period ended September 30, 2013 as compared to the same period of the prior year, is primarily attributable to the fact that Schlumberger generated a smaller percentage of its pretax earnings in North America in 2013 as compared to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Schlumberger recorded no charges or credits during the third quarter of 2013. The following charges and credits were recorded during the first nine months of 2013 and 2012.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during the first nine months of 2013:</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gridSpan w:val="5"/>
          </w:tcPr>
          <w:p>
            <w:pPr>
              <w:ind w:left="420"/>
              <w:spacing w:after="0"/>
              <w:rPr>
                <w:sz w:val="20"/>
                <w:szCs w:val="20"/>
                <w:color w:val="auto"/>
              </w:rPr>
            </w:pPr>
            <w:r>
              <w:rPr>
                <w:rFonts w:ascii="Arial" w:cs="Arial" w:eastAsia="Arial" w:hAnsi="Arial"/>
                <w:sz w:val="14"/>
                <w:szCs w:val="14"/>
                <w:i w:val="1"/>
                <w:iCs w:val="1"/>
                <w:color w:val="auto"/>
              </w:rPr>
              <w:t>(Stated in millions)</w:t>
            </w:r>
          </w:p>
        </w:tc>
        <w:tc>
          <w:tcPr>
            <w:tcW w:w="180" w:type="dxa"/>
            <w:vAlign w:val="bottom"/>
          </w:tcPr>
          <w:p>
            <w:pPr>
              <w:spacing w:after="0"/>
              <w:rPr>
                <w:sz w:val="15"/>
                <w:szCs w:val="15"/>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Consolidated Statement</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5"/>
                <w:szCs w:val="15"/>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of Income Classification</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w w:val="90"/>
              </w:rPr>
              <w:t>Gain on formation of OneSubsea</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9"/>
                <w:szCs w:val="19"/>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ind w:left="180"/>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4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gridSpan w:val="2"/>
          </w:tcPr>
          <w:p>
            <w:pPr>
              <w:spacing w:after="0"/>
              <w:rPr>
                <w:sz w:val="19"/>
                <w:szCs w:val="19"/>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Schlumberger recorded the following merger and integration-related charges related to its 2010 acquisitions of Smith and Geoservices. These amounts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9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4"/>
                <w:szCs w:val="14"/>
                <w:i w:val="1"/>
                <w:iCs w:val="1"/>
                <w:color w:val="auto"/>
              </w:rPr>
              <w:t>(Stated in millions)</w:t>
            </w:r>
          </w:p>
        </w:tc>
      </w:tr>
      <w:tr>
        <w:trPr>
          <w:trHeight w:val="181"/>
        </w:trPr>
        <w:tc>
          <w:tcPr>
            <w:tcW w:w="5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Pretax</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Net</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Quarter</w:t>
            </w:r>
          </w:p>
        </w:tc>
        <w:tc>
          <w:tcPr>
            <w:tcW w:w="720" w:type="dxa"/>
            <w:vAlign w:val="bottom"/>
            <w:tcBorders>
              <w:top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 Quarter</w:t>
            </w: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7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72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 Sept. 30,</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6"/>
              </w:rPr>
              <w:t>2012</w:t>
            </w: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(5,111)</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6"/>
                <w:szCs w:val="26"/>
                <w:color w:val="auto"/>
                <w:vertAlign w:val="superscript"/>
              </w:rPr>
              <w:t>(1)</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Gain on formation of OneSubsea</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Non-cash charges</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Increase in working capital</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(1,182)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Multiclient seismic data capitalized</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Stock repurchase program</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Proceeds from employee stock plans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Business acquisitions, net of cash acquired</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Payment for OneSubsea transaction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Proceeds from divestiture of Wilson distribution business</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Proceeds from divestiture of CE Franklin business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Currency effect on net debt</w:t>
            </w: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Debt, end of period</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35"/>
              <w:spacing w:after="0"/>
              <w:rPr>
                <w:sz w:val="20"/>
                <w:szCs w:val="20"/>
                <w:color w:val="auto"/>
              </w:rPr>
            </w:pPr>
            <w:r>
              <w:rPr>
                <w:rFonts w:ascii="Arial" w:cs="Arial" w:eastAsia="Arial" w:hAnsi="Arial"/>
                <w:sz w:val="13"/>
                <w:szCs w:val="13"/>
                <w:color w:val="auto"/>
                <w:w w:val="87"/>
              </w:rPr>
              <w:t>(1)</w:t>
            </w:r>
          </w:p>
        </w:tc>
        <w:tc>
          <w:tcPr>
            <w:tcW w:w="660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w w:val="97"/>
              </w:rPr>
              <w:t>Includes multiclient seismic data costs.</w:t>
            </w: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0" w:type="dxa"/>
            <w:vAlign w:val="bottom"/>
            <w:vMerge w:val="continue"/>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6600" w:type="dxa"/>
            <w:vAlign w:val="bottom"/>
            <w:gridSpan w:val="2"/>
          </w:tcPr>
          <w:p>
            <w:pPr>
              <w:jc w:val="right"/>
              <w:ind w:right="107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82"/>
        </w:trPr>
        <w:tc>
          <w:tcPr>
            <w:tcW w:w="18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2"/>
        </w:trPr>
        <w:tc>
          <w:tcPr>
            <w:tcW w:w="1820" w:type="dxa"/>
            <w:vAlign w:val="bottom"/>
            <w:vMerge w:val="restart"/>
          </w:tcPr>
          <w:p>
            <w:pPr>
              <w:spacing w:after="0"/>
              <w:rPr>
                <w:sz w:val="20"/>
                <w:szCs w:val="20"/>
                <w:color w:val="auto"/>
              </w:rPr>
            </w:pPr>
            <w:r>
              <w:rPr>
                <w:rFonts w:ascii="Arial" w:cs="Arial" w:eastAsia="Arial" w:hAnsi="Arial"/>
                <w:sz w:val="18"/>
                <w:szCs w:val="18"/>
                <w:color w:val="auto"/>
                <w:w w:val="90"/>
              </w:rPr>
              <w:t>Components of Net Debt</w:t>
            </w: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Sept.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w w:val="89"/>
              </w:rPr>
              <w:t>Sept. 30,</w:t>
            </w:r>
          </w:p>
        </w:tc>
        <w:tc>
          <w:tcPr>
            <w:tcW w:w="1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36"/>
        </w:trPr>
        <w:tc>
          <w:tcPr>
            <w:tcW w:w="1820" w:type="dxa"/>
            <w:vAlign w:val="bottom"/>
            <w:tcBorders>
              <w:bottom w:val="single" w:sz="8" w:color="auto"/>
            </w:tcBorders>
            <w:vMerge w:val="continue"/>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14"/>
              <w:spacing w:after="0" w:line="125"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96"/>
              <w:spacing w:after="0" w:line="125"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14"/>
              <w:spacing w:after="0" w:line="125"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820" w:type="dxa"/>
            <w:vAlign w:val="bottom"/>
            <w:tcBorders>
              <w:bottom w:val="single" w:sz="8" w:color="CFF0FC"/>
            </w:tcBorders>
          </w:tcPr>
          <w:p>
            <w:pPr>
              <w:spacing w:after="0"/>
              <w:rPr>
                <w:sz w:val="2"/>
                <w:szCs w:val="2"/>
                <w:color w:val="auto"/>
              </w:rPr>
            </w:pPr>
          </w:p>
        </w:tc>
        <w:tc>
          <w:tcPr>
            <w:tcW w:w="43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(9,916)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2013 and 2012 included:</w:t>
      </w:r>
    </w:p>
    <w:p>
      <w:pPr>
        <w:spacing w:after="0" w:line="117" w:lineRule="exact"/>
        <w:rPr>
          <w:sz w:val="20"/>
          <w:szCs w:val="20"/>
          <w:color w:val="auto"/>
        </w:rPr>
      </w:pPr>
    </w:p>
    <w:p>
      <w:pPr>
        <w:ind w:left="980" w:hanging="401"/>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second quarter of 2013, Schlumberger paid Cameron $600 million in connection with the formation of the OneSubsea joint venture.</w:t>
      </w:r>
    </w:p>
    <w:p>
      <w:pPr>
        <w:spacing w:after="0" w:line="153" w:lineRule="exact"/>
        <w:rPr>
          <w:rFonts w:ascii="Arial" w:cs="Arial" w:eastAsia="Arial" w:hAnsi="Arial"/>
          <w:sz w:val="16"/>
          <w:szCs w:val="16"/>
          <w:color w:val="auto"/>
        </w:rPr>
      </w:pPr>
    </w:p>
    <w:p>
      <w:pPr>
        <w:jc w:val="both"/>
        <w:ind w:left="980" w:right="20" w:hanging="401"/>
        <w:spacing w:after="0" w:line="27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This program was completed during July r of 2013. On July 18, 2013, the Board approved a new $10 billion share repurchase program for shares of Schlumberger common stock, to be completed at the latest by June 30, 2018. Schlumberger had repurchased $0.6 billion of shares under this new share repurchase program as of September 30, 2013.</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during the nine months ended September 30, under these share repurchase programs: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60" w:type="dxa"/>
            <w:vAlign w:val="bottom"/>
            <w:gridSpan w:val="6"/>
          </w:tcPr>
          <w:p>
            <w:pPr>
              <w:jc w:val="right"/>
              <w:ind w:right="3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149"/>
        </w:trPr>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2"/>
              </w:rPr>
              <w:t>Total cost</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60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2"/>
              </w:rPr>
              <w:t>Average price</w:t>
            </w:r>
          </w:p>
        </w:tc>
      </w:tr>
      <w:tr>
        <w:trPr>
          <w:trHeight w:val="149"/>
        </w:trPr>
        <w:tc>
          <w:tcPr>
            <w:tcW w:w="4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0"/>
              </w:rPr>
              <w:t>of shares</w:t>
            </w:r>
          </w:p>
        </w:tc>
        <w:tc>
          <w:tcPr>
            <w:tcW w:w="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paid per</w:t>
            </w:r>
          </w:p>
        </w:tc>
      </w:tr>
      <w:tr>
        <w:trPr>
          <w:trHeight w:val="181"/>
        </w:trPr>
        <w:tc>
          <w:tcPr>
            <w:tcW w:w="4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color w:val="auto"/>
                <w:w w:val="88"/>
              </w:rPr>
              <w:t>purchased</w:t>
            </w:r>
          </w:p>
        </w:tc>
        <w:tc>
          <w:tcPr>
            <w:tcW w:w="5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purchased</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color w:val="auto"/>
                <w:w w:val="85"/>
              </w:rPr>
              <w:t>share</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1,526</w:t>
            </w:r>
          </w:p>
        </w:tc>
        <w:tc>
          <w:tcPr>
            <w:tcW w:w="5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78.61</w:t>
            </w:r>
          </w:p>
        </w:tc>
        <w:tc>
          <w:tcPr>
            <w:tcW w:w="30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Nine months ended September 30, 2012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68.99</w:t>
            </w:r>
          </w:p>
        </w:tc>
        <w:tc>
          <w:tcPr>
            <w:tcW w:w="300" w:type="dxa"/>
            <w:vAlign w:val="bottom"/>
          </w:tcPr>
          <w:p>
            <w:pPr>
              <w:spacing w:after="0"/>
              <w:rPr>
                <w:sz w:val="20"/>
                <w:szCs w:val="20"/>
                <w:color w:val="auto"/>
              </w:rPr>
            </w:pPr>
          </w:p>
        </w:tc>
      </w:tr>
    </w:tbl>
    <w:p>
      <w:pPr>
        <w:spacing w:after="0" w:line="93" w:lineRule="exact"/>
        <w:rPr>
          <w:sz w:val="20"/>
          <w:szCs w:val="20"/>
          <w:color w:val="auto"/>
        </w:rPr>
      </w:pPr>
    </w:p>
    <w:p>
      <w:pPr>
        <w:ind w:left="980" w:right="360" w:hanging="401"/>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flow provided by operations was $5.9 billion in the first nine months of 2013 compared to $3.4 billion in the first nine months of 2012 primarily reflecting a lower increase in working capital requirements year-on-year.</w:t>
      </w:r>
    </w:p>
    <w:p>
      <w:pPr>
        <w:spacing w:after="0" w:line="75" w:lineRule="exact"/>
        <w:rPr>
          <w:rFonts w:ascii="Arial" w:cs="Arial" w:eastAsia="Arial" w:hAnsi="Arial"/>
          <w:sz w:val="18"/>
          <w:szCs w:val="18"/>
          <w:color w:val="auto"/>
        </w:rPr>
      </w:pPr>
    </w:p>
    <w:p>
      <w:pPr>
        <w:ind w:left="980" w:right="300" w:hanging="401"/>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were $2.8 billion in the first nine months of 2013 compared to $3.2 billion during the first nine months of 2012. Capital expenditures for full year 2013 are expected to be approximately $3.9 billion as compared to $4.7 billion in 2012.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months, Schlumberger began experiencing delays in payment from OGX Petroleo e Gas SA (“OGX”), one of its customers in Brazil. OGX is currently experiencing liquidity issues and is pursuing various options. As of September 30, 2013, Schlumberger had outstanding accounts receivable due from OGX of approximately $195 million. At this time, it is not possible to predict the ultimate outcome of this situation. Depending upon the ultimate outcome, Schlumberger may be required to write-off a portion or all of these receivables in future periods.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times in recent quarters, Schlumberger has experienced delays in payments from its national oil company customer in Venezuela. Schlumberger operates in more than 85 countries. At September 30, 2013, only five of those countries (including Venezuela) individually accounted for greater than 5% of Schlumberger’s accounts receivable balance of which only two, the United States and Mexico, represented greater than 10%.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2013, Schlumberger had $6.4 billion of cash and short-term investments on hand. Schlumberger had separate committed debt facility agreements aggregating $4.0 billion with commercial banks, of which $1.8 billion was available and unused as of September 30, 2013. This included $3.5 billion of committed facilities which support commercial paper programs in the United States and Europe. Schlumberger believes that these amounts are sufficient to meet future business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commercial paper of $1.9 billion outstanding as of September 30,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During the second quarter of 2013, Schlumberger completed the wind down of its service operations in Iran. Prior to this, certain non-U.S. subsidiaries of Schlumberger provided oilfield services to the National Iranian Oil Company and certain of its affiliates (“NIOC”). Schlumberger has classified the results of this business as a discontinued operation. All prior periods were restated accordingly.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in the quarter consisted of payments of taxes, duties and other typical governmental charges, along with payments for transportation and hotel accommodations. Two non-U.S. subsidiaries of Schlumberger maintain depository accounts at the Dubai branch of Bank Saderat Iran (“Saderat”) and at Bank Tejarat (“Tejarat”) in Tehran for the deposit by NIOC of amounts owed to non-US subsidiaries of Schlumberger for prior services rendered in Iran. One of the non-U.S. subsidiaries also maintains the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third-quarter 2013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2012. Schlumberger’s exposure to market risk has not changed materially since December 31, 2012.</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(the “2008 Program”). On July 21, 2011, the Board approved an extension of this repurchase program to December 31, 2013. The program was completed during July of 2013. On July 18, 2013, the Board approved a new $10 billion share repurchase program for shares of Schlumberger common stock, to be completed at the latest by June 30, 2018 (the “2013 Program”). As of September 30, 2013, $9.4 billion remained available for repurchase under the 2013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2013 was as follows: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7"/>
          </w:tcPr>
          <w:p>
            <w:pPr>
              <w:jc w:val="right"/>
              <w:ind w:right="16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181"/>
        </w:trPr>
        <w:tc>
          <w:tcPr>
            <w:tcW w:w="1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644"/>
              <w:spacing w:after="0"/>
              <w:rPr>
                <w:sz w:val="20"/>
                <w:szCs w:val="20"/>
                <w:color w:val="auto"/>
              </w:rPr>
            </w:pPr>
            <w:r>
              <w:rPr>
                <w:rFonts w:ascii="Arial" w:cs="Arial" w:eastAsia="Arial" w:hAnsi="Arial"/>
                <w:sz w:val="14"/>
                <w:szCs w:val="14"/>
                <w:color w:val="auto"/>
              </w:rPr>
              <w:t>2008 Program</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604"/>
              <w:spacing w:after="0"/>
              <w:rPr>
                <w:sz w:val="20"/>
                <w:szCs w:val="20"/>
                <w:color w:val="auto"/>
              </w:rPr>
            </w:pPr>
            <w:r>
              <w:rPr>
                <w:rFonts w:ascii="Arial" w:cs="Arial" w:eastAsia="Arial" w:hAnsi="Arial"/>
                <w:sz w:val="14"/>
                <w:szCs w:val="14"/>
                <w:color w:val="auto"/>
              </w:rPr>
              <w:t>2013 Program</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23"/>
        </w:trPr>
        <w:tc>
          <w:tcPr>
            <w:tcW w:w="1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4"/>
                <w:szCs w:val="14"/>
                <w:color w:val="auto"/>
                <w:w w:val="89"/>
              </w:rPr>
              <w:t>Total</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8"/>
              </w:rPr>
              <w:t>Maximum</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Maximum</w:t>
            </w:r>
          </w:p>
        </w:tc>
      </w:tr>
      <w:tr>
        <w:trPr>
          <w:trHeight w:val="149"/>
        </w:trPr>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7"/>
              </w:rPr>
              <w:t>value of</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value of</w:t>
            </w:r>
          </w:p>
        </w:tc>
      </w:tr>
      <w:tr>
        <w:trPr>
          <w:trHeight w:val="149"/>
        </w:trPr>
        <w:tc>
          <w:tcPr>
            <w:tcW w:w="1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6"/>
              </w:rPr>
              <w:t>shares that</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shares that</w:t>
            </w:r>
          </w:p>
        </w:tc>
      </w:tr>
      <w:tr>
        <w:trPr>
          <w:trHeight w:val="149"/>
        </w:trPr>
        <w:tc>
          <w:tcPr>
            <w:tcW w:w="13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may yet be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as part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may yet be</w:t>
            </w:r>
          </w:p>
        </w:tc>
      </w:tr>
      <w:tr>
        <w:trPr>
          <w:trHeight w:val="149"/>
        </w:trPr>
        <w:tc>
          <w:tcPr>
            <w:tcW w:w="1360" w:type="dxa"/>
            <w:vAlign w:val="bottom"/>
          </w:tcPr>
          <w:p>
            <w:pPr>
              <w:spacing w:after="0"/>
              <w:rPr>
                <w:sz w:val="12"/>
                <w:szCs w:val="12"/>
                <w:color w:val="auto"/>
              </w:rPr>
            </w:pPr>
          </w:p>
        </w:tc>
        <w:tc>
          <w:tcPr>
            <w:tcW w:w="960" w:type="dxa"/>
            <w:vAlign w:val="bottom"/>
          </w:tcPr>
          <w:p>
            <w:pPr>
              <w:jc w:val="center"/>
              <w:ind w:right="1"/>
              <w:spacing w:after="0" w:line="149" w:lineRule="exact"/>
              <w:rPr>
                <w:sz w:val="20"/>
                <w:szCs w:val="20"/>
                <w:color w:val="auto"/>
              </w:rPr>
            </w:pPr>
            <w:r>
              <w:rPr>
                <w:rFonts w:ascii="Arial" w:cs="Arial" w:eastAsia="Arial" w:hAnsi="Arial"/>
                <w:sz w:val="14"/>
                <w:szCs w:val="14"/>
                <w:color w:val="auto"/>
                <w:w w:val="92"/>
              </w:rPr>
              <w:t>number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rPr>
              <w:t>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purchased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rPr>
              <w:t>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purchased</w:t>
            </w:r>
          </w:p>
        </w:tc>
      </w:tr>
      <w:tr>
        <w:trPr>
          <w:trHeight w:val="149"/>
        </w:trPr>
        <w:tc>
          <w:tcPr>
            <w:tcW w:w="1360" w:type="dxa"/>
            <w:vAlign w:val="bottom"/>
          </w:tcPr>
          <w:p>
            <w:pPr>
              <w:spacing w:after="0"/>
              <w:rPr>
                <w:sz w:val="12"/>
                <w:szCs w:val="12"/>
                <w:color w:val="auto"/>
              </w:rPr>
            </w:pPr>
          </w:p>
        </w:tc>
        <w:tc>
          <w:tcPr>
            <w:tcW w:w="960" w:type="dxa"/>
            <w:vAlign w:val="bottom"/>
          </w:tcPr>
          <w:p>
            <w:pPr>
              <w:jc w:val="center"/>
              <w:ind w:right="1"/>
              <w:spacing w:after="0" w:line="149" w:lineRule="exact"/>
              <w:rPr>
                <w:sz w:val="20"/>
                <w:szCs w:val="20"/>
                <w:color w:val="auto"/>
              </w:rPr>
            </w:pPr>
            <w:r>
              <w:rPr>
                <w:rFonts w:ascii="Arial" w:cs="Arial" w:eastAsia="Arial" w:hAnsi="Arial"/>
                <w:sz w:val="14"/>
                <w:szCs w:val="14"/>
                <w:color w:val="auto"/>
                <w:w w:val="90"/>
              </w:rPr>
              <w:t>of 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paid per</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announced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under the</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paid per</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announced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under the</w:t>
            </w:r>
          </w:p>
        </w:tc>
      </w:tr>
      <w:tr>
        <w:trPr>
          <w:trHeight w:val="181"/>
        </w:trPr>
        <w:tc>
          <w:tcPr>
            <w:tcW w:w="13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8"/>
              </w:rPr>
              <w:t>purchased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color w:val="auto"/>
                <w:w w:val="85"/>
              </w:rPr>
              <w:t>share</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program</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program</w:t>
            </w: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purchased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color w:val="auto"/>
                <w:w w:val="85"/>
              </w:rPr>
              <w:t>share</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program</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program</w:t>
            </w:r>
          </w:p>
        </w:tc>
      </w:tr>
      <w:tr>
        <w:trPr>
          <w:trHeight w:val="210"/>
        </w:trPr>
        <w:tc>
          <w:tcPr>
            <w:tcW w:w="1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July 2013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2,468.6</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center"/>
              <w:ind w:left="322"/>
              <w:spacing w:after="0"/>
              <w:rPr>
                <w:sz w:val="20"/>
                <w:szCs w:val="20"/>
                <w:color w:val="auto"/>
              </w:rPr>
            </w:pPr>
            <w:r>
              <w:rPr>
                <w:rFonts w:ascii="Arial" w:cs="Arial" w:eastAsia="Arial" w:hAnsi="Arial"/>
                <w:sz w:val="17"/>
                <w:szCs w:val="17"/>
                <w:color w:val="auto"/>
                <w:w w:val="89"/>
              </w:rPr>
              <w:t>75.72</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2,468.6</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312.8</w:t>
            </w: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82.33</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312.8</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9,972,244</w:t>
            </w: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7"/>
                <w:szCs w:val="17"/>
                <w:color w:val="auto"/>
              </w:rPr>
              <w:t>August 2013</w:t>
            </w:r>
          </w:p>
        </w:tc>
        <w:tc>
          <w:tcPr>
            <w:tcW w:w="960" w:type="dxa"/>
            <w:vAlign w:val="bottom"/>
          </w:tcPr>
          <w:p>
            <w:pPr>
              <w:ind w:left="6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left="62"/>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2,728.0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81.67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2,728.0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9,751,436</w:t>
            </w:r>
          </w:p>
        </w:tc>
        <w:tc>
          <w:tcPr>
            <w:tcW w:w="14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7"/>
                <w:szCs w:val="17"/>
                <w:color w:val="auto"/>
              </w:rPr>
              <w:t>September 2013</w:t>
            </w:r>
          </w:p>
        </w:tc>
        <w:tc>
          <w:tcPr>
            <w:tcW w:w="960" w:type="dxa"/>
            <w:vAlign w:val="bottom"/>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left="62"/>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6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4,577.3</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86.91</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4,577.3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9,353,626</w:t>
            </w:r>
          </w:p>
        </w:tc>
        <w:tc>
          <w:tcPr>
            <w:tcW w:w="140" w:type="dxa"/>
            <w:vAlign w:val="bottom"/>
            <w:shd w:val="clear" w:color="auto" w:fill="CFF0FC"/>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2,468.6</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center"/>
              <w:ind w:left="322"/>
              <w:spacing w:after="0"/>
              <w:rPr>
                <w:sz w:val="20"/>
                <w:szCs w:val="20"/>
                <w:color w:val="auto"/>
              </w:rPr>
            </w:pPr>
            <w:r>
              <w:rPr>
                <w:rFonts w:ascii="Arial" w:cs="Arial" w:eastAsia="Arial" w:hAnsi="Arial"/>
                <w:sz w:val="17"/>
                <w:szCs w:val="17"/>
                <w:color w:val="auto"/>
                <w:w w:val="89"/>
              </w:rPr>
              <w:t>75.72</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7,618.1</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84.85</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7,618.1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September 30, 2013, Schlumberger repurchased a total of 10.09 million shares of common stock under both the 2008 Program and the 2013 Program at an average price of $82.61 for a total of $833 million.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62" w:lineRule="exact"/>
        <w:rPr>
          <w:sz w:val="20"/>
          <w:szCs w:val="20"/>
          <w:color w:val="auto"/>
        </w:rPr>
      </w:pPr>
    </w:p>
    <w:p>
      <w:pPr>
        <w:ind w:left="420" w:right="1120"/>
        <w:spacing w:after="0" w:line="277"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62" w:lineRule="exact"/>
        <w:rPr>
          <w:sz w:val="20"/>
          <w:szCs w:val="20"/>
          <w:color w:val="auto"/>
        </w:rPr>
      </w:pPr>
    </w:p>
    <w:p>
      <w:pPr>
        <w:ind w:left="420" w:right="360" w:hanging="7"/>
        <w:spacing w:after="0" w:line="277" w:lineRule="auto"/>
        <w:tabs>
          <w:tab w:leader="none" w:pos="5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10.1—Form of 2013 One Year Performance Share Unit Award Agreement (Employees in France) under the Schlumberger 2010 Omnibus Stock Option Plan (+)</w:t>
      </w:r>
    </w:p>
    <w:p>
      <w:pPr>
        <w:spacing w:after="0" w:line="62"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color w:val="auto"/>
        </w:rPr>
        <w:t>Exhibit 10.2— Form of Indemnification Agreement (incorporated by reference to Exhibit 10 to Schlumberger’s Current Report on Form 8-K filed on October 21, 2013)</w:t>
      </w:r>
    </w:p>
    <w:p>
      <w:pPr>
        <w:spacing w:after="0" w:line="62" w:lineRule="exact"/>
        <w:rPr>
          <w:sz w:val="20"/>
          <w:szCs w:val="20"/>
          <w:color w:val="auto"/>
        </w:rPr>
      </w:pPr>
    </w:p>
    <w:p>
      <w:pPr>
        <w:ind w:left="420" w:right="260" w:hanging="7"/>
        <w:spacing w:after="0" w:line="277" w:lineRule="auto"/>
        <w:tabs>
          <w:tab w:leader="none" w:pos="5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62" w:lineRule="exact"/>
        <w:rPr>
          <w:rFonts w:ascii="Arial" w:cs="Arial" w:eastAsia="Arial" w:hAnsi="Arial"/>
          <w:sz w:val="18"/>
          <w:szCs w:val="18"/>
          <w:color w:val="auto"/>
        </w:rPr>
      </w:pPr>
    </w:p>
    <w:p>
      <w:pPr>
        <w:ind w:left="420" w:right="320" w:hanging="7"/>
        <w:spacing w:after="0" w:line="277" w:lineRule="auto"/>
        <w:tabs>
          <w:tab w:leader="none" w:pos="5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62" w:lineRule="exact"/>
        <w:rPr>
          <w:sz w:val="20"/>
          <w:szCs w:val="20"/>
          <w:color w:val="auto"/>
        </w:rPr>
      </w:pPr>
    </w:p>
    <w:p>
      <w:pPr>
        <w:ind w:left="420" w:right="400" w:hanging="7"/>
        <w:spacing w:after="0" w:line="277" w:lineRule="auto"/>
        <w:tabs>
          <w:tab w:leader="none" w:pos="6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62" w:lineRule="exact"/>
        <w:rPr>
          <w:rFonts w:ascii="Arial" w:cs="Arial" w:eastAsia="Arial" w:hAnsi="Arial"/>
          <w:sz w:val="18"/>
          <w:szCs w:val="18"/>
          <w:color w:val="auto"/>
        </w:rPr>
      </w:pPr>
    </w:p>
    <w:p>
      <w:pPr>
        <w:ind w:left="420" w:right="200" w:hanging="7"/>
        <w:spacing w:after="0" w:line="277" w:lineRule="auto"/>
        <w:tabs>
          <w:tab w:leader="none" w:pos="6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62" w:lineRule="exact"/>
        <w:rPr>
          <w:sz w:val="20"/>
          <w:szCs w:val="20"/>
          <w:color w:val="auto"/>
        </w:rPr>
      </w:pPr>
    </w:p>
    <w:p>
      <w:pPr>
        <w:ind w:left="540" w:hanging="127"/>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7" w:lineRule="exact"/>
        <w:rPr>
          <w:rFonts w:ascii="Arial" w:cs="Arial" w:eastAsia="Arial" w:hAnsi="Arial"/>
          <w:sz w:val="18"/>
          <w:szCs w:val="18"/>
          <w:color w:val="auto"/>
        </w:rPr>
      </w:pPr>
    </w:p>
    <w:p>
      <w:pPr>
        <w:ind w:left="420" w:right="200" w:hanging="7"/>
        <w:spacing w:after="0" w:line="259" w:lineRule="auto"/>
        <w:tabs>
          <w:tab w:leader="none" w:pos="5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2013,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8" w:lineRule="exact"/>
        <w:rPr>
          <w:rFonts w:ascii="Arial" w:cs="Arial" w:eastAsia="Arial" w:hAnsi="Arial"/>
          <w:sz w:val="18"/>
          <w:szCs w:val="18"/>
          <w:color w:val="auto"/>
        </w:rPr>
      </w:pPr>
    </w:p>
    <w:p>
      <w:pPr>
        <w:ind w:left="540" w:hanging="127"/>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Furnished with this Form 10-Q.</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86" w:right="259" w:bottom="1440" w:gutter="0" w:footer="0" w:header="0"/>
        </w:sectPr>
      </w:pPr>
    </w:p>
    <w:bookmarkStart w:id="30" w:name="page31"/>
    <w:bookmarkEnd w:id="30"/>
    <w:p>
      <w:pPr>
        <w:jc w:val="center"/>
        <w:ind w:right="-2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3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8340" w:val="left"/>
          <w:tab w:leader="none" w:pos="8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Howard Guild</w:t>
      </w:r>
    </w:p>
    <w:p>
      <w:pPr>
        <w:spacing w:after="0" w:line="2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-95885</wp:posOffset>
            </wp:positionV>
            <wp:extent cx="2924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341" w:right="4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Exhibit 10.1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SCHLUMBERGER 2010 OMNIBUS STOCK INCENTIVE PLAN 2013 ONE YEAR PERFORMANCE SHARE UNIT</w:t>
      </w:r>
    </w:p>
    <w:p>
      <w:pPr>
        <w:jc w:val="center"/>
        <w:ind w:right="-19"/>
        <w:spacing w:after="0"/>
        <w:rPr>
          <w:sz w:val="20"/>
          <w:szCs w:val="20"/>
          <w:color w:val="auto"/>
        </w:rPr>
      </w:pPr>
      <w:r>
        <w:rPr>
          <w:rFonts w:ascii="Arial" w:cs="Arial" w:eastAsia="Arial" w:hAnsi="Arial"/>
          <w:sz w:val="22"/>
          <w:szCs w:val="22"/>
          <w:b w:val="1"/>
          <w:bCs w:val="1"/>
          <w:color w:val="auto"/>
        </w:rPr>
        <w:t>AWARD AGREEMENT FOR FRANCE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(“FRENCH QUALIFIED PERFORMANCE SHARE UNITS”)</w:t>
      </w:r>
    </w:p>
    <w:p>
      <w:pPr>
        <w:spacing w:after="0" w:line="215" w:lineRule="exact"/>
        <w:rPr>
          <w:sz w:val="20"/>
          <w:szCs w:val="20"/>
          <w:color w:val="auto"/>
        </w:rPr>
      </w:pPr>
    </w:p>
    <w:p>
      <w:pPr>
        <w:ind w:left="1040" w:right="120" w:hanging="593"/>
        <w:spacing w:after="0" w:line="293" w:lineRule="auto"/>
        <w:rPr>
          <w:sz w:val="20"/>
          <w:szCs w:val="20"/>
          <w:color w:val="auto"/>
        </w:rPr>
      </w:pPr>
      <w:r>
        <w:rPr>
          <w:rFonts w:ascii="Arial" w:cs="Arial" w:eastAsia="Arial" w:hAnsi="Arial"/>
          <w:sz w:val="16"/>
          <w:szCs w:val="16"/>
          <w:color w:val="auto"/>
        </w:rPr>
        <w:t xml:space="preserve">This Performance Share Unit Award Agreement (“Agreement”) is entered into effective by and between Schlumberger Limited (the “Company”),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(“Employee”), pursuant to the Schlumberger 2010 Omnibus Stock Incentive Plan (the “Plan”) and the sub-plan for France which governs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28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right="160"/>
        <w:spacing w:after="0" w:line="271" w:lineRule="auto"/>
        <w:rPr>
          <w:sz w:val="20"/>
          <w:szCs w:val="20"/>
          <w:color w:val="auto"/>
        </w:rPr>
      </w:pPr>
      <w:r>
        <w:rPr>
          <w:rFonts w:ascii="Arial" w:cs="Arial" w:eastAsia="Arial" w:hAnsi="Arial"/>
          <w:sz w:val="17"/>
          <w:szCs w:val="17"/>
          <w:color w:val="auto"/>
        </w:rPr>
        <w:t>Performance Share Units granted to employees who are resident of France or who are or may become subject to French tax (i.e. income tax and / or social security tax) as a result of Performance Share Units granted under the 2010 Schlumberger Omnibus Stock Incentive Plan for Employees in France (the “French sub-plan”) (The Plan and the French sub-plan are collectively called the “Plans”). The Performance Share Units granted under this French sub-plan will be deemed French Qualified Performance Share Units and shall be eligible for the specific income and social security tax regime applicable to shares granted for no consideration under Articles L.225-197-1 to L.225-197-5 of the French Commercial Code.</w:t>
      </w:r>
    </w:p>
    <w:p>
      <w:pPr>
        <w:spacing w:after="0" w:line="17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Employee and the Company agree to execute such further instruments and to take such further action as may reasonably be necessary to carry out the intent of this Agreement.</w:t>
      </w:r>
    </w:p>
    <w:p>
      <w:pPr>
        <w:spacing w:after="0" w:line="62" w:lineRule="exact"/>
        <w:rPr>
          <w:sz w:val="20"/>
          <w:szCs w:val="20"/>
          <w:color w:val="auto"/>
        </w:rPr>
      </w:pPr>
    </w:p>
    <w:p>
      <w:pPr>
        <w:ind w:left="620" w:hanging="171"/>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Award</w:t>
      </w:r>
      <w:r>
        <w:rPr>
          <w:rFonts w:ascii="Arial" w:cs="Arial" w:eastAsia="Arial" w:hAnsi="Arial"/>
          <w:sz w:val="17"/>
          <w:szCs w:val="17"/>
          <w:color w:val="auto"/>
        </w:rPr>
        <w:t>. In consideration of Employee’s continued employment as hereinafter set forth, the Company hereby grants to Employee an award of</w:t>
      </w:r>
    </w:p>
    <w:p>
      <w:pPr>
        <w:spacing w:after="0" w:line="34" w:lineRule="exact"/>
        <w:rPr>
          <w:rFonts w:ascii="Arial" w:cs="Arial" w:eastAsia="Arial" w:hAnsi="Arial"/>
          <w:sz w:val="17"/>
          <w:szCs w:val="17"/>
          <w:color w:val="auto"/>
        </w:rPr>
      </w:pPr>
    </w:p>
    <w:p>
      <w:pPr>
        <w:ind w:right="40"/>
        <w:spacing w:after="0" w:line="253" w:lineRule="auto"/>
        <w:rPr>
          <w:rFonts w:ascii="Arial" w:cs="Arial" w:eastAsia="Arial" w:hAnsi="Arial"/>
          <w:sz w:val="17"/>
          <w:szCs w:val="17"/>
          <w:color w:val="auto"/>
        </w:rPr>
      </w:pPr>
      <w:r>
        <w:rPr>
          <w:rFonts w:ascii="Arial" w:cs="Arial" w:eastAsia="Arial" w:hAnsi="Arial"/>
          <w:sz w:val="18"/>
          <w:szCs w:val="18"/>
          <w:color w:val="auto"/>
        </w:rPr>
        <w:t>“Performance Share Units”, provided that (except as otherwise provided in this Agreement) the final number of Performance Share Units shall be determined in accordance with the performance criteria set forth on Attachment I. The Target Performance Share Units subject to this award is set forth in an award notice previously delivered to Employee. The Performance Share Units are notional units of measurement denominated in shares of Common Stock. Each Performance Share Unit represents a right to receive one share of Common Stock or equivalent value, subject to the conditions and restrictions on transferability set forth below and in the Plan.</w:t>
      </w:r>
    </w:p>
    <w:p>
      <w:pPr>
        <w:spacing w:after="0" w:line="83" w:lineRule="exact"/>
        <w:rPr>
          <w:rFonts w:ascii="Arial" w:cs="Arial" w:eastAsia="Arial" w:hAnsi="Arial"/>
          <w:sz w:val="17"/>
          <w:szCs w:val="17"/>
          <w:color w:val="auto"/>
        </w:rPr>
      </w:pPr>
    </w:p>
    <w:p>
      <w:pPr>
        <w:ind w:right="60" w:firstLine="449"/>
        <w:spacing w:after="0" w:line="273" w:lineRule="auto"/>
        <w:tabs>
          <w:tab w:leader="none" w:pos="62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Vesting of Performance Share Units</w:t>
      </w:r>
      <w:r>
        <w:rPr>
          <w:rFonts w:ascii="Arial" w:cs="Arial" w:eastAsia="Arial" w:hAnsi="Arial"/>
          <w:sz w:val="17"/>
          <w:szCs w:val="17"/>
          <w:color w:val="auto"/>
        </w:rPr>
        <w:t>. The period of time between the date of grant specified in the award notice (the “Grant Date”) and the vesting of Performance Share Units (and the termination of restrictions thereon) shall be referred to herein as the “Performance Period.” On January 17, 2014 (the “Vesting Date”), a number of Performance Share Units shall vest based on the extent to which the Company has satisfied the performance condition set forth on Attachment I to this Agreement, provided that Employee is continuously employed by the Company in a position eligible to receive Performance Share Units pursuant to this Agreement (as determined by the Committee in its sole and absolute discretion) (an “Eligible Position”) through the Vesting Date and has not experienced a Termination of Employment as of such date.</w:t>
      </w:r>
    </w:p>
    <w:p>
      <w:pPr>
        <w:spacing w:after="0" w:line="70" w:lineRule="exact"/>
        <w:rPr>
          <w:rFonts w:ascii="Arial" w:cs="Arial" w:eastAsia="Arial" w:hAnsi="Arial"/>
          <w:sz w:val="17"/>
          <w:szCs w:val="17"/>
          <w:color w:val="auto"/>
        </w:rPr>
      </w:pPr>
    </w:p>
    <w:p>
      <w:pPr>
        <w:ind w:right="80" w:firstLine="449"/>
        <w:spacing w:after="0" w:line="257"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Performance Share Units, under no circumstances, except in case of employee’s death as provided for in section 3 (a) below or in case of disability of the employee as provided for in section 3 (b) below, shall the delivery of the shares related to a French Qualified Performance Share Unit occur prior to the second anniversary of the Grant Date. The sale of shares issued pursuant to the conversion of the French Qualified Performance Share Units may occur as soon as the shares are delivered to the employee provided the closed periods in section 5 below are respected.</w:t>
      </w:r>
    </w:p>
    <w:p>
      <w:pPr>
        <w:spacing w:after="0" w:line="66" w:lineRule="exact"/>
        <w:rPr>
          <w:rFonts w:ascii="Arial" w:cs="Arial" w:eastAsia="Arial" w:hAnsi="Arial"/>
          <w:sz w:val="18"/>
          <w:szCs w:val="18"/>
          <w:color w:val="auto"/>
        </w:rPr>
      </w:pPr>
    </w:p>
    <w:p>
      <w:pPr>
        <w:ind w:left="440" w:right="140" w:firstLine="54"/>
        <w:spacing w:after="0" w:line="276" w:lineRule="auto"/>
        <w:tabs>
          <w:tab w:leader="none" w:pos="73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Acceleration on Death</w:t>
      </w:r>
      <w:r>
        <w:rPr>
          <w:rFonts w:ascii="Arial" w:cs="Arial" w:eastAsia="Arial" w:hAnsi="Arial"/>
          <w:sz w:val="17"/>
          <w:szCs w:val="17"/>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closed periods set forth in Section 5, to the extent and as long as applicable under French law. However, the employee’s heirs shall not need to comply with the restriction on the sale of the shares set forth in Section 4 below.</w:t>
      </w:r>
    </w:p>
    <w:p>
      <w:pPr>
        <w:spacing w:after="0" w:line="64" w:lineRule="exact"/>
        <w:rPr>
          <w:rFonts w:ascii="Arial" w:cs="Arial" w:eastAsia="Arial" w:hAnsi="Arial"/>
          <w:sz w:val="17"/>
          <w:szCs w:val="17"/>
          <w:color w:val="auto"/>
        </w:rPr>
      </w:pPr>
    </w:p>
    <w:p>
      <w:pPr>
        <w:ind w:left="440" w:firstLine="54"/>
        <w:spacing w:after="0" w:line="241" w:lineRule="auto"/>
        <w:tabs>
          <w:tab w:leader="none" w:pos="741"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Acceleration in case of Disability</w:t>
      </w:r>
      <w:r>
        <w:rPr>
          <w:rFonts w:ascii="Arial" w:cs="Arial" w:eastAsia="Arial" w:hAnsi="Arial"/>
          <w:sz w:val="17"/>
          <w:szCs w:val="17"/>
          <w:color w:val="auto"/>
        </w:rPr>
        <w:t>. In case of Disability of the employee, defines as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or 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category disability under Article L.341-4 of the French Social Security Code, all French Qualified Performance Share Units that are not vested at that time immediately will become vested in full. Notwithstanding the foregoing, the Employee must comply with the closed periods set forth in Section 5, to the extent and as long as applicable under French law. However, the employee shall not need to comply with the restriction on the sale of the shares set forth in Section 4 below.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126" w:right="259" w:bottom="1440" w:gutter="0" w:footer="0" w:header="0"/>
        </w:sectPr>
      </w:pPr>
    </w:p>
    <w:bookmarkStart w:id="32" w:name="page33"/>
    <w:bookmarkEnd w:id="32"/>
    <w:p>
      <w:pPr>
        <w:ind w:firstLine="449"/>
        <w:spacing w:after="0" w:line="255" w:lineRule="auto"/>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Sale Restrictions.</w:t>
      </w:r>
      <w:r>
        <w:rPr>
          <w:rFonts w:ascii="Arial" w:cs="Arial" w:eastAsia="Arial" w:hAnsi="Arial"/>
          <w:sz w:val="18"/>
          <w:szCs w:val="18"/>
          <w:color w:val="auto"/>
        </w:rPr>
        <w:t xml:space="preserve"> The sale of shares issued pursuant to the conversion of the French Qualified Performance Share Units may not occur prior to the expiration of a two-year period as calculated from the date the Performance Share Units are converted into shares or such other period as is required to comply with the minimum mandatory holding period applicable to French Qualified Performance Units under Article L. 225-197-1 of the French Commercial Code. Notwithstanding the above, in case of employee’s death, the employee’s heirs shall not need to comply with the restriction on the sale of shares. In addition, in the event of the 2nd or 3rd category disability (as defined under Article L.341-4 of the French Social Security Code) of an employee, the employee shall not need to comply with the restriction on the sale of Shares.</w:t>
      </w:r>
    </w:p>
    <w:p>
      <w:pPr>
        <w:spacing w:after="0" w:line="85" w:lineRule="exact"/>
        <w:rPr>
          <w:rFonts w:ascii="Arial" w:cs="Arial" w:eastAsia="Arial" w:hAnsi="Arial"/>
          <w:sz w:val="18"/>
          <w:szCs w:val="18"/>
          <w:color w:val="auto"/>
        </w:rPr>
      </w:pPr>
    </w:p>
    <w:p>
      <w:pPr>
        <w:ind w:left="620" w:hanging="171"/>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Closed Periods.</w:t>
      </w:r>
      <w:r>
        <w:rPr>
          <w:rFonts w:ascii="Arial" w:cs="Arial" w:eastAsia="Arial" w:hAnsi="Arial"/>
          <w:sz w:val="17"/>
          <w:szCs w:val="17"/>
          <w:color w:val="auto"/>
        </w:rPr>
        <w:t xml:space="preserve"> Shares underlying French Qualified Performance Share Units may not be sold during the following period (“Closed Periods”):</w:t>
      </w:r>
    </w:p>
    <w:p>
      <w:pPr>
        <w:spacing w:after="0" w:line="129" w:lineRule="exact"/>
        <w:rPr>
          <w:sz w:val="20"/>
          <w:szCs w:val="20"/>
          <w:color w:val="auto"/>
        </w:rPr>
      </w:pPr>
    </w:p>
    <w:p>
      <w:pPr>
        <w:ind w:left="700" w:hanging="252"/>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225" w:lineRule="exact"/>
        <w:rPr>
          <w:rFonts w:ascii="Arial" w:cs="Arial" w:eastAsia="Arial" w:hAnsi="Arial"/>
          <w:sz w:val="18"/>
          <w:szCs w:val="18"/>
          <w:b w:val="1"/>
          <w:bCs w:val="1"/>
          <w:color w:val="auto"/>
        </w:rPr>
      </w:pPr>
    </w:p>
    <w:p>
      <w:pPr>
        <w:ind w:left="440" w:right="120" w:firstLine="8"/>
        <w:spacing w:after="0" w:line="342" w:lineRule="auto"/>
        <w:tabs>
          <w:tab w:leader="none" w:pos="705"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2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These Closed Periods will apply to grant of French Qualified Performance Share Units as long as and to the extent such Closed Periods are applicable under French law.</w:t>
      </w:r>
    </w:p>
    <w:p>
      <w:pPr>
        <w:spacing w:after="0" w:line="49" w:lineRule="exact"/>
        <w:rPr>
          <w:sz w:val="20"/>
          <w:szCs w:val="20"/>
          <w:color w:val="auto"/>
        </w:rPr>
      </w:pPr>
    </w:p>
    <w:p>
      <w:pPr>
        <w:ind w:left="620" w:hanging="171"/>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Settlement of Performance Share Units</w:t>
      </w:r>
      <w:r>
        <w:rPr>
          <w:rFonts w:ascii="Arial" w:cs="Arial" w:eastAsia="Arial" w:hAnsi="Arial"/>
          <w:sz w:val="18"/>
          <w:szCs w:val="18"/>
          <w:color w:val="auto"/>
        </w:rPr>
        <w:t>. Payment of vested Performance Share Units shall be made in shares of Common Stock.</w:t>
      </w:r>
    </w:p>
    <w:p>
      <w:pPr>
        <w:spacing w:after="0" w:line="117" w:lineRule="exact"/>
        <w:rPr>
          <w:rFonts w:ascii="Arial" w:cs="Arial" w:eastAsia="Arial" w:hAnsi="Arial"/>
          <w:sz w:val="18"/>
          <w:szCs w:val="18"/>
          <w:color w:val="auto"/>
        </w:rPr>
      </w:pPr>
    </w:p>
    <w:p>
      <w:pPr>
        <w:ind w:left="620" w:hanging="171"/>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Forfeitures of Performance Share Units</w:t>
      </w:r>
      <w:r>
        <w:rPr>
          <w:rFonts w:ascii="Arial" w:cs="Arial" w:eastAsia="Arial" w:hAnsi="Arial"/>
          <w:sz w:val="18"/>
          <w:szCs w:val="18"/>
          <w:color w:val="auto"/>
        </w:rPr>
        <w:t>.</w:t>
      </w:r>
    </w:p>
    <w:p>
      <w:pPr>
        <w:spacing w:after="0" w:line="117" w:lineRule="exact"/>
        <w:rPr>
          <w:sz w:val="20"/>
          <w:szCs w:val="20"/>
          <w:color w:val="auto"/>
        </w:rPr>
      </w:pPr>
    </w:p>
    <w:p>
      <w:pPr>
        <w:ind w:left="440" w:firstLine="8"/>
        <w:spacing w:after="0" w:line="259"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Until the Performance Period specified in Section 2 has expired, upon Employee’s Termination of Employment or Employee ceasing to be employed in an Eligible Position, Employee shall immediately forfeit all Performance Share Units, without the payment of any consideration. Upon forfeiture, neither Employee nor any successors, heirs, assigns, or legal representatives of Employee shall thereafter have any further rights or interest in the Performance Share Units.</w:t>
      </w:r>
    </w:p>
    <w:p>
      <w:pPr>
        <w:spacing w:after="0" w:line="78" w:lineRule="exact"/>
        <w:rPr>
          <w:rFonts w:ascii="Arial" w:cs="Arial" w:eastAsia="Arial" w:hAnsi="Arial"/>
          <w:sz w:val="18"/>
          <w:szCs w:val="18"/>
          <w:color w:val="auto"/>
        </w:rPr>
      </w:pPr>
    </w:p>
    <w:p>
      <w:pPr>
        <w:ind w:left="440" w:right="520" w:firstLine="8"/>
        <w:spacing w:after="0" w:line="308"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Notwithstanding any provision in this Agreement to the contrary, if Employee engages in Detrimental Activity (as defined below) prior to the Settlement Date, Employee shall immediately forfeit all Performance Share Units without the payment of any consideration.</w:t>
      </w:r>
    </w:p>
    <w:p>
      <w:pPr>
        <w:spacing w:after="0" w:line="38" w:lineRule="exact"/>
        <w:rPr>
          <w:sz w:val="20"/>
          <w:szCs w:val="20"/>
          <w:color w:val="auto"/>
        </w:rPr>
      </w:pPr>
    </w:p>
    <w:p>
      <w:pPr>
        <w:ind w:left="620" w:hanging="171"/>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left="440" w:right="480" w:firstLine="8"/>
        <w:spacing w:after="0" w:line="264"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Share Units granted hereunder to Employee may not be sold, assigned, transferred, pledged or otherwise encumbered, whether voluntarily or involuntarily, by operation of law or otherwise, other than to the Company as a result of the forfeiture of units as provided herein or pursuant to Section 13.</w:t>
      </w:r>
    </w:p>
    <w:p>
      <w:pPr>
        <w:spacing w:after="0" w:line="73" w:lineRule="exact"/>
        <w:rPr>
          <w:rFonts w:ascii="Arial" w:cs="Arial" w:eastAsia="Arial" w:hAnsi="Arial"/>
          <w:sz w:val="18"/>
          <w:szCs w:val="18"/>
          <w:color w:val="auto"/>
        </w:rPr>
      </w:pPr>
    </w:p>
    <w:p>
      <w:pPr>
        <w:ind w:left="440" w:right="100" w:firstLine="8"/>
        <w:spacing w:after="0" w:line="272" w:lineRule="auto"/>
        <w:tabs>
          <w:tab w:leader="none" w:pos="6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13,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shall attempt to transfer, anticipate, alienate, assign, sell, pledge, encumber or charge any right or benefit hereunder, other than as contemplated by Section 13,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right="280" w:firstLine="449"/>
        <w:spacing w:after="0" w:line="277" w:lineRule="auto"/>
        <w:tabs>
          <w:tab w:leader="none" w:pos="62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Employee shall have no rights as a stockholder with regard to the Performance Share Units. Rights as a stockholder shall arise only if the Performance Share Units are settled in shares of Common Stock as set forth in Section 6.</w:t>
      </w:r>
    </w:p>
    <w:p>
      <w:pPr>
        <w:spacing w:after="0" w:line="62" w:lineRule="exact"/>
        <w:rPr>
          <w:rFonts w:ascii="Arial" w:cs="Arial" w:eastAsia="Arial" w:hAnsi="Arial"/>
          <w:sz w:val="18"/>
          <w:szCs w:val="18"/>
          <w:color w:val="auto"/>
        </w:rPr>
      </w:pPr>
    </w:p>
    <w:p>
      <w:pPr>
        <w:ind w:right="40" w:firstLine="449"/>
        <w:spacing w:after="0" w:line="293" w:lineRule="auto"/>
        <w:tabs>
          <w:tab w:leader="none" w:pos="71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that the receipt of the Performance Share Units or the payment upon lapse of any restrictions results in income to Employee for federal or state income tax purposes or in any other cases where the Company holds the view that it is obligated to withhold taxes, Employee shall deliver to the Company immediately prior to the time of such receipt or lapse, as the case may be, such amount of money or shares of Common Stock owned by Employee, at Employee’s election, as the Company may require to meet its obligation under applicable tax laws or regulations, and, if Employee fails to do so, the Company is authorized to withhold from the payment for vested Performance Share Units or from any cash or other form of remuneration then or thereafter payable to Employee an amount equal to any tax required to be withheld by reason of such resulting compensation income.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33"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Performance Share Units are intended to be “short-term deferrals” exempt from Section 409A and shall be construed and interpreted accordingly.</w:t>
      </w:r>
    </w:p>
    <w:p>
      <w:pPr>
        <w:spacing w:after="0" w:line="115" w:lineRule="exact"/>
        <w:rPr>
          <w:sz w:val="20"/>
          <w:szCs w:val="20"/>
          <w:color w:val="auto"/>
        </w:rPr>
      </w:pPr>
    </w:p>
    <w:p>
      <w:pPr>
        <w:ind w:right="40" w:firstLine="449"/>
        <w:spacing w:after="0" w:line="286" w:lineRule="auto"/>
        <w:tabs>
          <w:tab w:leader="none" w:pos="704"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w:t>
      </w:r>
      <w:r>
        <w:rPr>
          <w:rFonts w:ascii="Arial" w:cs="Arial" w:eastAsia="Arial" w:hAnsi="Arial"/>
          <w:sz w:val="17"/>
          <w:szCs w:val="17"/>
          <w:color w:val="auto"/>
        </w:rPr>
        <w:t>. As more fully described in the Plan, if the outstanding shares of Common Stock shall at any time be changed or exchanged by declaration of a stock dividend, stock split, combination of shares, or recapitalization, the number and kind of Performance Share Units shall be appropriately and equitably adjusted so as to maintain their equivalence to the proportionate number of shares.</w:t>
      </w:r>
    </w:p>
    <w:p>
      <w:pPr>
        <w:spacing w:after="0" w:line="57" w:lineRule="exact"/>
        <w:rPr>
          <w:rFonts w:ascii="Arial" w:cs="Arial" w:eastAsia="Arial" w:hAnsi="Arial"/>
          <w:sz w:val="17"/>
          <w:szCs w:val="17"/>
          <w:color w:val="auto"/>
        </w:rPr>
      </w:pPr>
    </w:p>
    <w:p>
      <w:pPr>
        <w:ind w:firstLine="449"/>
        <w:spacing w:after="0" w:line="276" w:lineRule="auto"/>
        <w:tabs>
          <w:tab w:leader="none" w:pos="711"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The Company shall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64" w:lineRule="exact"/>
        <w:rPr>
          <w:rFonts w:ascii="Arial" w:cs="Arial" w:eastAsia="Arial" w:hAnsi="Arial"/>
          <w:sz w:val="17"/>
          <w:szCs w:val="17"/>
          <w:color w:val="auto"/>
        </w:rPr>
      </w:pPr>
    </w:p>
    <w:p>
      <w:pPr>
        <w:ind w:right="20" w:firstLine="449"/>
        <w:spacing w:after="0" w:line="255"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Performance Share Units are not transferable (either voluntarily or involuntarily) by the recipient except by will or the laws of descent and distribution. Payment of the Performance Share Units after your death shall be made to your estate or, in the sole and absolute discretion of the Committee, to the person or persons entitled to receive such payment under the laws of descent and distribution. No purported assignment or transfer, whether voluntary or involuntary, by operation of law or otherwise, shall vest in the purported assignee or transferee any interest or right therein whatsoever but immediately upon any such purported assignment or transfer, or any attempt to make the same, the Performance Share Units shall terminate and become of no further effect.</w:t>
      </w:r>
    </w:p>
    <w:p>
      <w:pPr>
        <w:spacing w:after="0" w:line="85" w:lineRule="exact"/>
        <w:rPr>
          <w:rFonts w:ascii="Arial" w:cs="Arial" w:eastAsia="Arial" w:hAnsi="Arial"/>
          <w:sz w:val="18"/>
          <w:szCs w:val="18"/>
          <w:color w:val="auto"/>
        </w:rPr>
      </w:pPr>
    </w:p>
    <w:p>
      <w:pPr>
        <w:ind w:right="160" w:firstLine="449"/>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720" w:hanging="271"/>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440" w:right="640" w:firstLine="8"/>
        <w:spacing w:after="0" w:line="277"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62" w:lineRule="exact"/>
        <w:rPr>
          <w:rFonts w:ascii="Arial" w:cs="Arial" w:eastAsia="Arial" w:hAnsi="Arial"/>
          <w:sz w:val="18"/>
          <w:szCs w:val="18"/>
          <w:color w:val="auto"/>
        </w:rPr>
      </w:pPr>
    </w:p>
    <w:p>
      <w:pPr>
        <w:ind w:left="440" w:right="300" w:firstLine="8"/>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Performance Share Units); or</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confer upon Employee the right to continue in the employment or service of the Company or any Subsidiary.</w:t>
      </w:r>
    </w:p>
    <w:p>
      <w:pPr>
        <w:spacing w:after="0" w:line="117" w:lineRule="exact"/>
        <w:rPr>
          <w:sz w:val="20"/>
          <w:szCs w:val="20"/>
          <w:color w:val="auto"/>
        </w:rPr>
      </w:pPr>
    </w:p>
    <w:p>
      <w:pPr>
        <w:ind w:right="620" w:firstLine="449"/>
        <w:spacing w:after="0" w:line="277" w:lineRule="auto"/>
        <w:tabs>
          <w:tab w:leader="none" w:pos="71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right="200" w:firstLine="449"/>
        <w:spacing w:after="0" w:line="264" w:lineRule="auto"/>
        <w:tabs>
          <w:tab w:leader="none" w:pos="71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right="60" w:firstLine="449"/>
        <w:spacing w:after="0" w:line="264" w:lineRule="auto"/>
        <w:tabs>
          <w:tab w:leader="none" w:pos="71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18.</w:t>
      </w:r>
    </w:p>
    <w:p>
      <w:pPr>
        <w:spacing w:after="0" w:line="73" w:lineRule="exact"/>
        <w:rPr>
          <w:rFonts w:ascii="Arial" w:cs="Arial" w:eastAsia="Arial" w:hAnsi="Arial"/>
          <w:sz w:val="18"/>
          <w:szCs w:val="18"/>
          <w:color w:val="auto"/>
        </w:rPr>
      </w:pPr>
    </w:p>
    <w:p>
      <w:pPr>
        <w:ind w:left="440" w:right="60" w:firstLine="8"/>
        <w:spacing w:after="0" w:line="269" w:lineRule="auto"/>
        <w:tabs>
          <w:tab w:leader="none" w:pos="6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“Detrimental Activity” means activity that is determined by the Committee in its sole and absolute discretion to be detrimental to the interests of the Company or any of its Subsidiaries, including but not limited to situations where a Employee: (i) divulges trade secrets, proprietary data or other confidential information relating to the Company or to the business of the Company and any Subsidiaries, (ii) enters into employment with or provides services to Baker Hughes Incorporated, Halliburton Company, Weatherford International Ltd. or any company listed on the Philadelphia Oil Service Sector Index as of the Grant Date (or any affiliate thereof), (iii) engages or employs, or solicits or contacts with a view to the engagement or employment of, any person who is an officer or employee of the Company or its Subsidiaries, (iv) canvasses, solicits, approaches or entices away or causes to be canvassed, solicited, approached or enticed away from the Company or its Subsidiaries any person who or which is a customer of any of such entities during the Performance Period, (v) is determined to have engaged (whether or not prior to termination) in either gross misconduct or criminal activity harmful to the Company or a Subsidiary, or (vi) takes any action that harms the business interests, reputation, or goodwill of the Company or its Subsidiaries. The Committee may delegate its authority to determine whether Employee has engaged in “detrimental activity” to an officer of the Company or to a subcommittee of the Committee.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33" w:right="239" w:bottom="1440" w:gutter="0" w:footer="0" w:header="0"/>
        </w:sectPr>
      </w:pPr>
    </w:p>
    <w:bookmarkStart w:id="34" w:name="page35"/>
    <w:bookmarkEnd w:id="34"/>
    <w:p>
      <w:pPr>
        <w:ind w:left="440" w:firstLine="8"/>
        <w:spacing w:after="0" w:line="264" w:lineRule="auto"/>
        <w:tabs>
          <w:tab w:leader="none" w:pos="6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73" w:lineRule="exact"/>
        <w:rPr>
          <w:rFonts w:ascii="Arial" w:cs="Arial" w:eastAsia="Arial" w:hAnsi="Arial"/>
          <w:sz w:val="18"/>
          <w:szCs w:val="18"/>
          <w:color w:val="auto"/>
        </w:rPr>
      </w:pPr>
    </w:p>
    <w:p>
      <w:pPr>
        <w:ind w:left="440" w:right="40" w:firstLine="8"/>
        <w:spacing w:after="0" w:line="259" w:lineRule="auto"/>
        <w:tabs>
          <w:tab w:leader="none" w:pos="6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and its Subsidiaries. Temporary absences from employment because of illness, vacation or leave of absence and transfers among the Company and its Subsidiaries shall not be considered a Termination of Employment. Any questions as to whether and when there has been a Termination of Employment, and the cause of such termination, shall be determined by the Committee in its sole and absolute discretion.</w:t>
      </w:r>
    </w:p>
    <w:p>
      <w:pPr>
        <w:spacing w:after="0" w:line="65" w:lineRule="exact"/>
        <w:rPr>
          <w:rFonts w:ascii="Arial" w:cs="Arial" w:eastAsia="Arial" w:hAnsi="Arial"/>
          <w:sz w:val="18"/>
          <w:szCs w:val="18"/>
          <w:color w:val="auto"/>
        </w:rPr>
      </w:pPr>
    </w:p>
    <w:p>
      <w:pPr>
        <w:ind w:left="580" w:hanging="572"/>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440" w:right="140" w:firstLine="8"/>
        <w:spacing w:after="0" w:line="259" w:lineRule="auto"/>
        <w:tabs>
          <w:tab w:leader="none" w:pos="6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shall control this Agreement, notwithstanding any provisions in any employment agreement or in any prior awards.</w:t>
      </w:r>
    </w:p>
    <w:p>
      <w:pPr>
        <w:spacing w:after="0" w:line="78" w:lineRule="exact"/>
        <w:rPr>
          <w:rFonts w:ascii="Arial" w:cs="Arial" w:eastAsia="Arial" w:hAnsi="Arial"/>
          <w:sz w:val="18"/>
          <w:szCs w:val="18"/>
          <w:color w:val="auto"/>
        </w:rPr>
      </w:pPr>
    </w:p>
    <w:p>
      <w:pPr>
        <w:ind w:left="440" w:right="60" w:firstLine="8"/>
        <w:spacing w:after="0" w:line="277" w:lineRule="auto"/>
        <w:tabs>
          <w:tab w:leader="none" w:pos="6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Performance Share Units.</w:t>
      </w:r>
    </w:p>
    <w:p>
      <w:pPr>
        <w:spacing w:after="0" w:line="62" w:lineRule="exact"/>
        <w:rPr>
          <w:rFonts w:ascii="Arial" w:cs="Arial" w:eastAsia="Arial" w:hAnsi="Arial"/>
          <w:sz w:val="18"/>
          <w:szCs w:val="18"/>
          <w:color w:val="auto"/>
        </w:rPr>
      </w:pPr>
    </w:p>
    <w:p>
      <w:pPr>
        <w:ind w:left="440" w:right="260" w:firstLine="8"/>
        <w:spacing w:after="0" w:line="308" w:lineRule="auto"/>
        <w:tabs>
          <w:tab w:leader="none" w:pos="68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38" w:lineRule="exact"/>
        <w:rPr>
          <w:rFonts w:ascii="Arial" w:cs="Arial" w:eastAsia="Arial" w:hAnsi="Arial"/>
          <w:sz w:val="17"/>
          <w:szCs w:val="17"/>
          <w:color w:val="auto"/>
        </w:rPr>
      </w:pPr>
    </w:p>
    <w:p>
      <w:pPr>
        <w:ind w:left="440" w:right="280" w:firstLine="8"/>
        <w:spacing w:after="0" w:line="259" w:lineRule="auto"/>
        <w:tabs>
          <w:tab w:leader="none" w:pos="6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Texas (except that no effect shall be given to any conflicts of law principles thereof that would require the application of the laws of another jurisdiction). Venue for any dispute arising under this Agreement shall lie exclusively in the state and/or federal courts of Harris County, Texas and the Southern District of Texas, Houston Division, respectively.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8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IN WITNESS WHEREOF, Schlumberger Limited has caused this Agreement to be duly executed by one of its officers thereunto duly authorized, and Employee has executed this Agreement, effective as of the day and year first above written.</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52" w:lineRule="exact"/>
        <w:rPr>
          <w:sz w:val="20"/>
          <w:szCs w:val="20"/>
          <w:color w:val="auto"/>
        </w:rPr>
      </w:pPr>
    </w:p>
    <w:p>
      <w:pPr>
        <w:ind w:left="6860"/>
        <w:spacing w:after="0"/>
        <w:tabs>
          <w:tab w:leader="none" w:pos="852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P</w:t>
      </w:r>
      <w:r>
        <w:rPr>
          <w:rFonts w:ascii="Arial" w:cs="Arial" w:eastAsia="Arial" w:hAnsi="Arial"/>
          <w:sz w:val="13"/>
          <w:szCs w:val="13"/>
          <w:color w:val="auto"/>
        </w:rPr>
        <w:t>AAL</w:t>
      </w:r>
      <w:r>
        <w:rPr>
          <w:rFonts w:ascii="Arial" w:cs="Arial" w:eastAsia="Arial" w:hAnsi="Arial"/>
          <w:sz w:val="18"/>
          <w:szCs w:val="18"/>
          <w:color w:val="auto"/>
        </w:rPr>
        <w:t xml:space="preserve"> K</w:t>
      </w:r>
      <w:r>
        <w:rPr>
          <w:rFonts w:ascii="Arial" w:cs="Arial" w:eastAsia="Arial" w:hAnsi="Arial"/>
          <w:sz w:val="13"/>
          <w:szCs w:val="13"/>
          <w:color w:val="auto"/>
        </w:rPr>
        <w:t>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23495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452120</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233"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ATTACHMENT I Performance Condition</w:t>
      </w:r>
    </w:p>
    <w:p>
      <w:pPr>
        <w:spacing w:after="0" w:line="220"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Subject to the provisions of this Agreement, vesting of the Performance Share Units is conditioned upon the Company achieving annual Return on Capital Employed (“ROCE”) of greater than 12.5% for the period beginning on January 1, 2013 and ending on December 31, 2013. ROCE means the sum of</w:t>
      </w:r>
    </w:p>
    <w:p>
      <w:pPr>
        <w:ind w:right="280" w:firstLine="8"/>
        <w:spacing w:after="0" w:line="261"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income from continuing operations before charges and credits and (ii) the after tax impact of net interest expense, divided by the sum of (x) the average quarterly equity, including noncontrolling interests and (y) the average quarterly net debt.</w:t>
      </w:r>
    </w:p>
    <w:p>
      <w:pPr>
        <w:spacing w:after="0" w:line="184"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number of Performance Share Units that shall vest as of the vesting date shall be equal to the product of (i) the Target Performance Share Units and (ii) the Payout Factor (with any fractional shares rounded up to the next whole share).</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ROCE achieved shall be certified by the Committee and shall determine the Payout Factor based on the chart below. If the Committee determines that the occurrence of one or more extraordinary non-recurring items (determined in accordance with U.S. Generally Accepted Accounting Principles) has materially affected the performance condition, ROCE shall be calculated by excluding the effect of such extraordinary non-recurring items. The Payout Factor for ROCE achievement levels between points on this chart shall be determined by linear interpolation between the values listed. In no event shall the Payout Factor exceed 300%. If the ROCE achieved is less than or equal to 12.5%, the Payout Factor shall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135890</wp:posOffset>
            </wp:positionV>
            <wp:extent cx="8890" cy="780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0415"/>
                    </a:xfrm>
                    <a:prstGeom prst="rect">
                      <a:avLst/>
                    </a:prstGeom>
                    <a:noFill/>
                  </pic:spPr>
                </pic:pic>
              </a:graphicData>
            </a:graphic>
          </wp:anchor>
        </w:drawing>
      </w:r>
    </w:p>
    <w:p>
      <w:pPr>
        <w:spacing w:after="0" w:line="174"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5620" w:type="dxa"/>
            <w:vAlign w:val="bottom"/>
            <w:tcBorders>
              <w:top w:val="single" w:sz="8" w:color="auto"/>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Average Annual ROCE Achieved</w:t>
            </w:r>
          </w:p>
        </w:tc>
        <w:tc>
          <w:tcPr>
            <w:tcW w:w="5780" w:type="dxa"/>
            <w:vAlign w:val="bottom"/>
            <w:tcBorders>
              <w:top w:val="single" w:sz="8" w:color="auto"/>
              <w:bottom w:val="single" w:sz="8" w:color="auto"/>
              <w:right w:val="single" w:sz="8" w:color="auto"/>
            </w:tcBorders>
          </w:tcPr>
          <w:p>
            <w:pPr>
              <w:jc w:val="right"/>
              <w:ind w:right="2350"/>
              <w:spacing w:after="0"/>
              <w:rPr>
                <w:sz w:val="20"/>
                <w:szCs w:val="20"/>
                <w:color w:val="auto"/>
              </w:rPr>
            </w:pPr>
            <w:r>
              <w:rPr>
                <w:rFonts w:ascii="Arial" w:cs="Arial" w:eastAsia="Arial" w:hAnsi="Arial"/>
                <w:sz w:val="18"/>
                <w:szCs w:val="18"/>
                <w:b w:val="1"/>
                <w:bCs w:val="1"/>
                <w:color w:val="auto"/>
              </w:rPr>
              <w:t>Payout Factor</w:t>
            </w:r>
          </w:p>
        </w:tc>
      </w:tr>
      <w:tr>
        <w:trPr>
          <w:trHeight w:val="223"/>
        </w:trPr>
        <w:tc>
          <w:tcPr>
            <w:tcW w:w="56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Less than or equal to 12.5%</w:t>
            </w:r>
          </w:p>
        </w:tc>
        <w:tc>
          <w:tcPr>
            <w:tcW w:w="5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56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5"/>
              </w:rPr>
              <w:t>15% (“Target”)</w:t>
            </w:r>
          </w:p>
        </w:tc>
        <w:tc>
          <w:tcPr>
            <w:tcW w:w="5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6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20%</w:t>
            </w:r>
          </w:p>
        </w:tc>
        <w:tc>
          <w:tcPr>
            <w:tcW w:w="5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56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Greater than or equal to 25%</w:t>
            </w:r>
          </w:p>
        </w:tc>
        <w:tc>
          <w:tcPr>
            <w:tcW w:w="5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1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60" w:firstLine="449"/>
        <w:spacing w:after="0" w:line="264"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40" w:firstLine="449"/>
        <w:spacing w:after="0" w:line="264" w:lineRule="auto"/>
        <w:tabs>
          <w:tab w:leader="none" w:pos="6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00" w:firstLine="449"/>
        <w:spacing w:after="0" w:line="277"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449"/>
        <w:spacing w:after="0" w:line="264" w:lineRule="auto"/>
        <w:tabs>
          <w:tab w:leader="none" w:pos="6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 w:firstLine="449"/>
        <w:spacing w:after="0" w:line="277"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49"/>
        <w:spacing w:after="0" w:line="277" w:lineRule="auto"/>
        <w:tabs>
          <w:tab w:leader="none" w:pos="6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780" w:val="left"/>
          <w:tab w:leader="none" w:pos="8320" w:val="left"/>
          <w:tab w:leader="none" w:pos="8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Paal Kibsgaard</w:t>
      </w:r>
    </w:p>
    <w:p>
      <w:pPr>
        <w:spacing w:after="0" w:line="2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-95885</wp:posOffset>
            </wp:positionV>
            <wp:extent cx="2924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60" w:firstLine="449"/>
        <w:spacing w:after="0" w:line="264" w:lineRule="auto"/>
        <w:tabs>
          <w:tab w:leader="none" w:pos="6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40" w:firstLine="449"/>
        <w:spacing w:after="0" w:line="264" w:lineRule="auto"/>
        <w:tabs>
          <w:tab w:leader="none" w:pos="63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00" w:firstLine="449"/>
        <w:spacing w:after="0" w:line="277" w:lineRule="auto"/>
        <w:tabs>
          <w:tab w:leader="none" w:pos="6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20" w:firstLine="449"/>
        <w:spacing w:after="0" w:line="264" w:lineRule="auto"/>
        <w:tabs>
          <w:tab w:leader="none" w:pos="63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0" w:firstLine="449"/>
        <w:spacing w:after="0" w:line="277" w:lineRule="auto"/>
        <w:tabs>
          <w:tab w:leader="none" w:pos="6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49"/>
        <w:spacing w:after="0" w:line="277" w:lineRule="auto"/>
        <w:tabs>
          <w:tab w:leader="none" w:pos="63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tabs>
          <w:tab w:leader="none" w:pos="780" w:val="left"/>
          <w:tab w:leader="none" w:pos="8440" w:val="left"/>
          <w:tab w:leader="none" w:pos="8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-95885</wp:posOffset>
            </wp:positionV>
            <wp:extent cx="2924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September 30, 2013 as filed with the Securities and Exchange Commission on the date hereof (the “Report”), I, Paal Kibsgaard, Chief Executive Officer of the Company, certify, pursuant to 18 U.S.C. § 1350, as adopted pursuant to § 906 of the Sarbanes-Oxley Act of 2002, that:</w:t>
      </w:r>
    </w:p>
    <w:p>
      <w:pPr>
        <w:spacing w:after="0" w:line="166" w:lineRule="exact"/>
        <w:rPr>
          <w:sz w:val="20"/>
          <w:szCs w:val="20"/>
          <w:color w:val="auto"/>
        </w:rPr>
      </w:pPr>
    </w:p>
    <w:p>
      <w:pPr>
        <w:ind w:right="440" w:firstLine="449"/>
        <w:spacing w:after="0" w:line="277" w:lineRule="auto"/>
        <w:tabs>
          <w:tab w:leader="none" w:pos="6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0" w:val="left"/>
          <w:tab w:leader="none" w:pos="8320" w:val="left"/>
          <w:tab w:leader="none" w:pos="8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Paal Kibsgaard</w:t>
      </w:r>
    </w:p>
    <w:p>
      <w:pPr>
        <w:spacing w:after="0" w:line="2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-95885</wp:posOffset>
            </wp:positionV>
            <wp:extent cx="2924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Chief Executive Officer</w:t>
      </w:r>
    </w:p>
    <w:p>
      <w:pPr>
        <w:spacing w:after="0" w:line="3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60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2013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47" w:lineRule="exact"/>
        <w:rPr>
          <w:sz w:val="20"/>
          <w:szCs w:val="20"/>
          <w:color w:val="auto"/>
        </w:rPr>
      </w:pPr>
    </w:p>
    <w:p>
      <w:pPr>
        <w:ind w:right="440" w:firstLine="449"/>
        <w:spacing w:after="0" w:line="277" w:lineRule="auto"/>
        <w:tabs>
          <w:tab w:leader="none" w:pos="6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0" w:lineRule="exact"/>
        <w:rPr>
          <w:rFonts w:ascii="Arial" w:cs="Arial" w:eastAsia="Arial" w:hAnsi="Arial"/>
          <w:sz w:val="18"/>
          <w:szCs w:val="18"/>
          <w:color w:val="auto"/>
        </w:rPr>
      </w:pPr>
    </w:p>
    <w:p>
      <w:pPr>
        <w:ind w:left="700" w:hanging="251"/>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0" w:val="left"/>
          <w:tab w:leader="none" w:pos="8440" w:val="left"/>
          <w:tab w:leader="none" w:pos="8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8"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-95885</wp:posOffset>
            </wp:positionV>
            <wp:extent cx="2924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35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ind w:right="100" w:firstLine="693"/>
        <w:spacing w:after="0" w:line="265"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September 30, 2013. Due to timing and other factors, the data may not agree with the mine data retrieval system maintained by the MSHA at www.MSHA.gov.</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2013</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(whole dollars)</w:t>
      </w:r>
    </w:p>
    <w:tbl>
      <w:tblPr>
        <w:tblLayout w:type="fixed"/>
        <w:tblInd w:w="0" w:type="dxa"/>
        <w:tblCellMar>
          <w:top w:w="0" w:type="dxa"/>
          <w:left w:w="0" w:type="dxa"/>
          <w:bottom w:w="0" w:type="dxa"/>
          <w:right w:w="0" w:type="dxa"/>
        </w:tblCellMar>
      </w:tblPr>
      <w:tr>
        <w:trPr>
          <w:trHeight w:val="130"/>
        </w:trPr>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3"/>
                <w:szCs w:val="13"/>
                <w:color w:val="auto"/>
                <w:w w:val="84"/>
              </w:rPr>
              <w:t>Received</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0"/>
              </w:rPr>
              <w:t>Potential</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4"/>
              </w:rPr>
              <w:t>to Have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1"/>
              </w:rPr>
              <w:t>Pattern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3"/>
              </w:rPr>
              <w:t>Pending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Mine or Operating</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4"/>
              </w:rPr>
              <w:t>as of</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Name/MSHA</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3"/>
              </w:rPr>
              <w:t>Mining</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1"/>
              </w:rPr>
              <w:t>Last</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8"/>
              </w:rPr>
              <w:t>Resolved</w:t>
            </w: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Identification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104 S&amp;S</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2"/>
              </w:rPr>
              <w:t>and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95"/>
              </w:rPr>
              <w:t>MSHA</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Related</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95"/>
              </w:rPr>
              <w:t>Day of</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Number</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Citations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Orders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Orders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Orders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Assessments</w:t>
            </w:r>
            <w:r>
              <w:rPr>
                <w:rFonts w:ascii="Arial" w:cs="Arial" w:eastAsia="Arial" w:hAnsi="Arial"/>
                <w:sz w:val="10"/>
                <w:szCs w:val="10"/>
                <w:color w:val="auto"/>
                <w:w w:val="84"/>
              </w:rPr>
              <w:t>(1)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0" w:type="dxa"/>
            <w:vAlign w:val="bottom"/>
          </w:tcPr>
          <w:p>
            <w:pPr>
              <w:spacing w:after="0"/>
              <w:rPr>
                <w:sz w:val="1"/>
                <w:szCs w:val="1"/>
                <w:color w:val="auto"/>
              </w:rPr>
            </w:pPr>
          </w:p>
        </w:tc>
      </w:tr>
      <w:tr>
        <w:trPr>
          <w:trHeight w:val="264"/>
        </w:trPr>
        <w:tc>
          <w:tcPr>
            <w:tcW w:w="1220" w:type="dxa"/>
            <w:vAlign w:val="bottom"/>
          </w:tcPr>
          <w:p>
            <w:pPr>
              <w:ind w:left="100"/>
              <w:spacing w:after="0"/>
              <w:rPr>
                <w:sz w:val="20"/>
                <w:szCs w:val="20"/>
                <w:color w:val="auto"/>
              </w:rPr>
            </w:pPr>
            <w:r>
              <w:rPr>
                <w:rFonts w:ascii="Arial" w:cs="Arial" w:eastAsia="Arial" w:hAnsi="Arial"/>
                <w:sz w:val="13"/>
                <w:szCs w:val="13"/>
                <w:color w:val="auto"/>
              </w:rPr>
              <w:t>Amelia Barite</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2"/>
              </w:rPr>
              <w:t>$200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Plant/1600825</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Battle Mountain</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Grinding</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0</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rPr>
              <w:t>$0*</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rPr>
              <w:t>N</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rPr>
              <w:t>0</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160"/>
        </w:trPr>
        <w:tc>
          <w:tcPr>
            <w:tcW w:w="1220" w:type="dxa"/>
            <w:vAlign w:val="bottom"/>
          </w:tcPr>
          <w:p>
            <w:pPr>
              <w:ind w:left="100"/>
              <w:spacing w:after="0"/>
              <w:rPr>
                <w:sz w:val="20"/>
                <w:szCs w:val="20"/>
                <w:color w:val="auto"/>
              </w:rPr>
            </w:pPr>
            <w:r>
              <w:rPr>
                <w:rFonts w:ascii="Arial" w:cs="Arial" w:eastAsia="Arial" w:hAnsi="Arial"/>
                <w:sz w:val="13"/>
                <w:szCs w:val="13"/>
                <w:color w:val="auto"/>
              </w:rPr>
              <w:t>Plant/2600828</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Galveston GBT</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line="135" w:lineRule="exact"/>
              <w:rPr>
                <w:sz w:val="20"/>
                <w:szCs w:val="20"/>
                <w:color w:val="auto"/>
              </w:rPr>
            </w:pPr>
            <w:r>
              <w:rPr>
                <w:rFonts w:ascii="Arial" w:cs="Arial" w:eastAsia="Arial" w:hAnsi="Arial"/>
                <w:sz w:val="13"/>
                <w:szCs w:val="13"/>
                <w:color w:val="auto"/>
              </w:rPr>
              <w:t>Barite Grinding</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1000" w:type="dxa"/>
            <w:vAlign w:val="bottom"/>
            <w:vMerge w:val="continue"/>
          </w:tcPr>
          <w:p>
            <w:pPr>
              <w:spacing w:after="0"/>
              <w:rPr>
                <w:sz w:val="8"/>
                <w:szCs w:val="8"/>
                <w:color w:val="auto"/>
              </w:rPr>
            </w:pP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42"/>
        </w:trPr>
        <w:tc>
          <w:tcPr>
            <w:tcW w:w="12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20" w:type="dxa"/>
            <w:vAlign w:val="bottom"/>
          </w:tcPr>
          <w:p>
            <w:pPr>
              <w:ind w:left="100"/>
              <w:spacing w:after="0"/>
              <w:rPr>
                <w:sz w:val="20"/>
                <w:szCs w:val="20"/>
                <w:color w:val="auto"/>
              </w:rPr>
            </w:pPr>
            <w:r>
              <w:rPr>
                <w:rFonts w:ascii="Arial" w:cs="Arial" w:eastAsia="Arial" w:hAnsi="Arial"/>
                <w:sz w:val="13"/>
                <w:szCs w:val="13"/>
                <w:color w:val="auto"/>
              </w:rPr>
              <w:t>Plant/4104675</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Greybull Milling</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rPr>
                <w:sz w:val="20"/>
                <w:szCs w:val="20"/>
                <w:color w:val="auto"/>
              </w:rPr>
            </w:pPr>
            <w:r>
              <w:rPr>
                <w:rFonts w:ascii="Arial" w:cs="Arial" w:eastAsia="Arial" w:hAnsi="Arial"/>
                <w:sz w:val="13"/>
                <w:szCs w:val="13"/>
                <w:color w:val="auto"/>
                <w:w w:val="98"/>
              </w:rPr>
              <w:t>Operation/4800602</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Greybull Mining</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rPr>
                <w:sz w:val="20"/>
                <w:szCs w:val="20"/>
                <w:color w:val="auto"/>
              </w:rPr>
            </w:pPr>
            <w:r>
              <w:rPr>
                <w:rFonts w:ascii="Arial" w:cs="Arial" w:eastAsia="Arial" w:hAnsi="Arial"/>
                <w:sz w:val="13"/>
                <w:szCs w:val="13"/>
                <w:color w:val="auto"/>
                <w:w w:val="98"/>
              </w:rPr>
              <w:t>Operation/4800603</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Greystone</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tcPr>
          <w:p>
            <w:pPr>
              <w:jc w:val="center"/>
              <w:spacing w:after="0"/>
              <w:rPr>
                <w:sz w:val="20"/>
                <w:szCs w:val="20"/>
                <w:color w:val="auto"/>
              </w:rPr>
            </w:pPr>
            <w:r>
              <w:rPr>
                <w:rFonts w:ascii="Arial" w:cs="Arial" w:eastAsia="Arial" w:hAnsi="Arial"/>
                <w:sz w:val="13"/>
                <w:szCs w:val="13"/>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Mine/2600411</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20" w:type="dxa"/>
            <w:vAlign w:val="bottom"/>
          </w:tcPr>
          <w:p>
            <w:pPr>
              <w:ind w:left="100"/>
              <w:spacing w:after="0"/>
              <w:rPr>
                <w:sz w:val="20"/>
                <w:szCs w:val="20"/>
                <w:color w:val="auto"/>
              </w:rPr>
            </w:pPr>
            <w:r>
              <w:rPr>
                <w:rFonts w:ascii="Arial" w:cs="Arial" w:eastAsia="Arial" w:hAnsi="Arial"/>
                <w:sz w:val="13"/>
                <w:szCs w:val="13"/>
                <w:color w:val="auto"/>
              </w:rPr>
              <w:t>MI SWACO-</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4"/>
              </w:rPr>
              <w:t>$200*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Alpine/4104829</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1220" w:type="dxa"/>
            <w:vAlign w:val="bottom"/>
          </w:tcPr>
          <w:p>
            <w:pPr>
              <w:ind w:left="100"/>
              <w:spacing w:after="0"/>
              <w:rPr>
                <w:sz w:val="20"/>
                <w:szCs w:val="20"/>
                <w:color w:val="auto"/>
              </w:rPr>
            </w:pPr>
            <w:r>
              <w:rPr>
                <w:rFonts w:ascii="Arial" w:cs="Arial" w:eastAsia="Arial" w:hAnsi="Arial"/>
                <w:sz w:val="13"/>
                <w:szCs w:val="13"/>
                <w:color w:val="auto"/>
              </w:rPr>
              <w:t>MI SWACO-</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100"/>
              <w:spacing w:after="0" w:line="135" w:lineRule="exact"/>
              <w:rPr>
                <w:sz w:val="20"/>
                <w:szCs w:val="20"/>
                <w:color w:val="auto"/>
              </w:rPr>
            </w:pPr>
            <w:r>
              <w:rPr>
                <w:rFonts w:ascii="Arial" w:cs="Arial" w:eastAsia="Arial" w:hAnsi="Arial"/>
                <w:sz w:val="13"/>
                <w:szCs w:val="13"/>
                <w:color w:val="auto"/>
              </w:rPr>
              <w:t>Brownsville</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2"/>
              </w:rPr>
              <w:t>$749</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220" w:type="dxa"/>
            <w:vAlign w:val="bottom"/>
            <w:vMerge w:val="restart"/>
          </w:tcPr>
          <w:p>
            <w:pPr>
              <w:ind w:left="100"/>
              <w:spacing w:after="0" w:line="145" w:lineRule="exact"/>
              <w:rPr>
                <w:sz w:val="20"/>
                <w:szCs w:val="20"/>
                <w:color w:val="auto"/>
              </w:rPr>
            </w:pPr>
            <w:r>
              <w:rPr>
                <w:rFonts w:ascii="Arial" w:cs="Arial" w:eastAsia="Arial" w:hAnsi="Arial"/>
                <w:sz w:val="13"/>
                <w:szCs w:val="13"/>
                <w:color w:val="auto"/>
              </w:rPr>
              <w:t>Grinding</w:t>
            </w: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2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3"/>
          <w:szCs w:val="13"/>
          <w:color w:val="auto"/>
        </w:rPr>
        <w:t>Plant/4103033</w:t>
      </w:r>
    </w:p>
    <w:p>
      <w:pPr>
        <w:spacing w:after="0" w:line="196" w:lineRule="exact"/>
        <w:rPr>
          <w:sz w:val="20"/>
          <w:szCs w:val="20"/>
          <w:color w:val="auto"/>
        </w:rPr>
      </w:pPr>
    </w:p>
    <w:p>
      <w:pPr>
        <w:ind w:left="1080" w:right="100" w:hanging="9"/>
        <w:spacing w:after="0" w:line="273" w:lineRule="auto"/>
        <w:tabs>
          <w:tab w:leader="none" w:pos="13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during the three months ended September 30, 2013,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62" w:lineRule="exact"/>
        <w:rPr>
          <w:sz w:val="20"/>
          <w:szCs w:val="20"/>
          <w:color w:val="auto"/>
        </w:rPr>
      </w:pPr>
    </w:p>
    <w:p>
      <w:pPr>
        <w:ind w:left="1080" w:right="200" w:hanging="9"/>
        <w:spacing w:after="0" w:line="369" w:lineRule="auto"/>
        <w:tabs>
          <w:tab w:leader="none" w:pos="1201"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 of September 30, 2013, MSHA had not yet proposed assessments for 11 Section 104(a) citations at Battle Mountain Grinding Plant; one Section 104(a) citation at Galveston GBT Barite Grinding Plant; five Section 104(a) citations at Greystone Mine; and one Section 104(a) citation at MI SWACO-Alpine.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2"/>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1."/>
      <w:numFmt w:val="decimal"/>
      <w:start w:val="9"/>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2"/>
    </w:lvl>
  </w:abstractNum>
  <w:abstractNum w:abstractNumId="16">
    <w:nsid w:val="3006C83E"/>
    <w:multiLevelType w:val="hybridMultilevel"/>
    <w:lvl w:ilvl="0">
      <w:lvlJc w:val="left"/>
      <w:lvlText w:val="%1."/>
      <w:numFmt w:val="decimal"/>
      <w:start w:val="13"/>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lvl w:ilvl="1">
      <w:lvlJc w:val="left"/>
      <w:lvlText w:val="(%2)"/>
      <w:numFmt w:val="decimal"/>
      <w:start w:val="1"/>
    </w:lvl>
  </w:abstractNum>
  <w:abstractNum w:abstractNumId="19">
    <w:nsid w:val="5577F8E1"/>
    <w:multiLevelType w:val="hybridMultilevel"/>
    <w:lvl w:ilvl="0">
      <w:lvlJc w:val="left"/>
      <w:lvlText w:val="%1."/>
      <w:numFmt w:val="decimal"/>
      <w:start w:val="15"/>
    </w:lvl>
    <w:lvl w:ilvl="1">
      <w:lvlJc w:val="left"/>
      <w:lvlText w:val="%2"/>
      <w:numFmt w:val="decimal"/>
      <w:start w:val="1"/>
    </w:lvl>
  </w:abstractNum>
  <w:abstractNum w:abstractNumId="20">
    <w:nsid w:val="440BADFC"/>
    <w:multiLevelType w:val="hybridMultilevel"/>
    <w:lvl w:ilvl="0">
      <w:lvlJc w:val="left"/>
      <w:lvlText w:val="%1."/>
      <w:numFmt w:val="decimal"/>
      <w:start w:val="17"/>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lvl w:ilvl="1">
      <w:lvlJc w:val="left"/>
      <w:lvlText w:val="(%2)"/>
      <w:numFmt w:val="lowerLetter"/>
      <w:start w:val="1"/>
    </w:lvl>
  </w:abstractNum>
  <w:abstractNum w:abstractNumId="31">
    <w:nsid w:val="153EA438"/>
    <w:multiLevelType w:val="hybridMultilevel"/>
    <w:lvl w:ilvl="0">
      <w:lvlJc w:val="left"/>
      <w:lvlText w:val="%1."/>
      <w:numFmt w:val="decimal"/>
      <w:start w:val="4"/>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6"/>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lowerLetter"/>
      <w:start w:val="1"/>
    </w:lvl>
    <w:lvl w:ilvl="1">
      <w:lvlJc w:val="left"/>
      <w:lvlText w:val="%2."/>
      <w:numFmt w:val="decimal"/>
      <w:start w:val="9"/>
    </w:lvl>
  </w:abstractNum>
  <w:abstractNum w:abstractNumId="37">
    <w:nsid w:val="725A06FB"/>
    <w:multiLevelType w:val="hybridMultilevel"/>
    <w:lvl w:ilvl="0">
      <w:lvlJc w:val="left"/>
      <w:lvlText w:val="%1"/>
      <w:numFmt w:val="lowerLetter"/>
      <w:start w:val="1"/>
    </w:lvl>
    <w:lvl w:ilvl="1">
      <w:lvlJc w:val="left"/>
      <w:lvlText w:val="%2."/>
      <w:numFmt w:val="decimal"/>
      <w:start w:val="11"/>
    </w:lvl>
  </w:abstractNum>
  <w:abstractNum w:abstractNumId="38">
    <w:nsid w:val="2CD89A32"/>
    <w:multiLevelType w:val="hybridMultilevel"/>
    <w:lvl w:ilvl="0">
      <w:lvlJc w:val="left"/>
      <w:lvlText w:val="(%1)"/>
      <w:numFmt w:val="lowerLetter"/>
      <w:start w:val="1"/>
    </w:lvl>
    <w:lvl w:ilvl="1">
      <w:lvlJc w:val="left"/>
      <w:lvlText w:val="%2"/>
      <w:numFmt w:val="decimal"/>
      <w:start w:val="1"/>
    </w:lvl>
  </w:abstractNum>
  <w:abstractNum w:abstractNumId="39">
    <w:nsid w:val="57E4CCAF"/>
    <w:multiLevelType w:val="hybridMultilevel"/>
    <w:lvl w:ilvl="0">
      <w:lvlJc w:val="left"/>
      <w:lvlText w:val="%1"/>
      <w:numFmt w:val="lowerLetter"/>
      <w:start w:val="1"/>
    </w:lvl>
    <w:lvl w:ilvl="1">
      <w:lvlJc w:val="left"/>
      <w:lvlText w:val="%2."/>
      <w:numFmt w:val="decimal"/>
      <w:start w:val="16"/>
    </w:lvl>
  </w:abstractNum>
  <w:abstractNum w:abstractNumId="40">
    <w:nsid w:val="7A6D8D3C"/>
    <w:multiLevelType w:val="hybridMultilevel"/>
    <w:lvl w:ilvl="0">
      <w:lvlJc w:val="left"/>
      <w:lvlText w:val="(%1)"/>
      <w:numFmt w:val="lowerLetter"/>
      <w:start w:val="1"/>
    </w:lvl>
    <w:lvl w:ilvl="1">
      <w:lvlJc w:val="left"/>
      <w:lvlText w:val="%2"/>
      <w:numFmt w:val="decimal"/>
      <w:start w:val="1"/>
    </w:lvl>
  </w:abstractNum>
  <w:abstractNum w:abstractNumId="41">
    <w:nsid w:val="4B588F54"/>
    <w:multiLevelType w:val="hybridMultilevel"/>
    <w:lvl w:ilvl="0">
      <w:lvlJc w:val="left"/>
      <w:lvlText w:val="%1"/>
      <w:numFmt w:val="decimal"/>
      <w:start w:val="1"/>
    </w:lvl>
    <w:lvl w:ilvl="1">
      <w:lvlJc w:val="left"/>
      <w:lvlText w:val="(%2)"/>
      <w:numFmt w:val="lowerLetter"/>
      <w:start w:val="2"/>
    </w:lvl>
  </w:abstractNum>
  <w:abstractNum w:abstractNumId="42">
    <w:nsid w:val="542289EC"/>
    <w:multiLevelType w:val="hybridMultilevel"/>
    <w:lvl w:ilvl="0">
      <w:lvlJc w:val="left"/>
      <w:lvlText w:val="%1."/>
      <w:numFmt w:val="decimal"/>
      <w:start w:val="19"/>
    </w:lvl>
    <w:lvl w:ilvl="1">
      <w:lvlJc w:val="left"/>
      <w:lvlText w:val="(%2)"/>
      <w:numFmt w:val="lowerLetter"/>
      <w:start w:val="1"/>
    </w:lvl>
  </w:abstractNum>
  <w:abstractNum w:abstractNumId="43">
    <w:nsid w:val="6DE91B18"/>
    <w:multiLevelType w:val="hybridMultilevel"/>
    <w:lvl w:ilvl="0">
      <w:lvlJc w:val="left"/>
      <w:lvlText w:val="(%1)"/>
      <w:numFmt w:val="lowerRoman"/>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2019-12-05T15:24:10Z</dcterms:created>
  <dcterms:modified xsi:type="dcterms:W3CDTF">2019-12-05T15:24:10Z</dcterms:modified>
</cp:coreProperties>
</file>