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16, 2010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Schlumberger Limited (Schlumberger N.V.)</w:t>
      </w:r>
    </w:p>
    <w:p>
      <w:pPr>
        <w:spacing w:after="0" w:line="21"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April 27, 2010</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333-166326</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ind w:right="100" w:firstLine="456"/>
        <w:spacing w:after="0" w:line="255" w:lineRule="auto"/>
        <w:rPr>
          <w:sz w:val="20"/>
          <w:szCs w:val="20"/>
          <w:color w:val="auto"/>
        </w:rPr>
      </w:pPr>
      <w:r>
        <w:rPr>
          <w:rFonts w:ascii="Arial" w:cs="Arial" w:eastAsia="Arial" w:hAnsi="Arial"/>
          <w:sz w:val="18"/>
          <w:szCs w:val="18"/>
          <w:color w:val="auto"/>
        </w:rPr>
        <w:t>Pursuant to Rule 461 of the rules and regulations promulgated under the Securities Act of 1933, as amended, Schlumberger Limited (Schlumberger N.V.) (the “Company”) hereby requests that the Securities and Exchange Commission (the “Commission”) accelerate the effectiveness of its Registration Statement on Form S-4 (File No. 333-166326), as amended by Pre-Effective Amendment No. 1 filed with the Commission on June 17, 2010 and Pre-Effective Amendment No. 2 filed with the Commission on July 16, 2010, so that such registration statement will become effective on Tuesday, July 20, 2010, at 10 a.m., New York time, or as soon thereafter as is practicable.</w:t>
      </w:r>
    </w:p>
    <w:p>
      <w:pPr>
        <w:spacing w:after="0" w:line="14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Company hereby acknowledges that:</w:t>
      </w:r>
    </w:p>
    <w:p>
      <w:pPr>
        <w:spacing w:after="0" w:line="90" w:lineRule="exact"/>
        <w:rPr>
          <w:sz w:val="24"/>
          <w:szCs w:val="24"/>
          <w:color w:val="auto"/>
        </w:rPr>
      </w:pPr>
    </w:p>
    <w:p>
      <w:pPr>
        <w:ind w:left="900" w:right="32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420"/>
          </w:cols>
          <w:pgMar w:left="240" w:top="233" w:right="239" w:bottom="1440" w:gutter="0" w:footer="0" w:header="0"/>
        </w:sectPr>
      </w:pPr>
    </w:p>
    <w:bookmarkStart w:id="1" w:name="page2"/>
    <w:bookmarkEnd w:id="1"/>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Saul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Saul Laureles</w:t>
      </w:r>
    </w:p>
    <w:p>
      <w:pPr>
        <w:spacing w:after="0" w:line="15" w:lineRule="exact"/>
        <w:rPr>
          <w:sz w:val="20"/>
          <w:szCs w:val="20"/>
          <w:color w:val="auto"/>
        </w:rPr>
      </w:pPr>
    </w:p>
    <w:p>
      <w:pPr>
        <w:jc w:val="right"/>
        <w:ind w:right="1039"/>
        <w:spacing w:after="0"/>
        <w:rPr>
          <w:sz w:val="20"/>
          <w:szCs w:val="20"/>
          <w:color w:val="auto"/>
        </w:rPr>
      </w:pPr>
      <w:r>
        <w:rPr>
          <w:rFonts w:ascii="Arial" w:cs="Arial" w:eastAsia="Arial" w:hAnsi="Arial"/>
          <w:sz w:val="18"/>
          <w:szCs w:val="18"/>
          <w:color w:val="auto"/>
        </w:rPr>
        <w:t>Senior Counsel—Corporate</w:t>
      </w:r>
    </w:p>
    <w:p>
      <w:pPr>
        <w:spacing w:after="0" w:line="205" w:lineRule="exact"/>
        <w:rPr>
          <w:sz w:val="20"/>
          <w:szCs w:val="20"/>
          <w:color w:val="auto"/>
        </w:rPr>
      </w:pPr>
    </w:p>
    <w:p>
      <w:pPr>
        <w:ind w:left="460" w:right="8079" w:hanging="452"/>
        <w:spacing w:after="0" w:line="254" w:lineRule="auto"/>
        <w:tabs>
          <w:tab w:leader="none" w:pos="454" w:val="left"/>
        </w:tabs>
        <w:numPr>
          <w:ilvl w:val="0"/>
          <w:numId w:val="2"/>
        </w:numPr>
        <w:rPr>
          <w:rFonts w:ascii="Arial" w:cs="Arial" w:eastAsia="Arial" w:hAnsi="Arial"/>
          <w:sz w:val="18"/>
          <w:szCs w:val="18"/>
          <w:color w:val="auto"/>
        </w:rPr>
      </w:pPr>
      <w:r>
        <w:rPr>
          <w:rFonts w:ascii="Arial" w:cs="Arial" w:eastAsia="Arial" w:hAnsi="Arial"/>
          <w:sz w:val="18"/>
          <w:szCs w:val="18"/>
          <w:color w:val="auto"/>
        </w:rPr>
        <w:t>Alexander C. Juden Richard E. Chandler, Jr. J. David Kirkland, Jr. M. Breen Haire Daniel A. Neff David E. Shapiro</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2019-12-10T02:50:52Z</dcterms:created>
  <dcterms:modified xsi:type="dcterms:W3CDTF">2019-12-10T02:50:52Z</dcterms:modified>
</cp:coreProperties>
</file>