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4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4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245745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20"/>
        <w:spacing w:after="0"/>
        <w:rPr>
          <w:sz w:val="20"/>
          <w:szCs w:val="20"/>
          <w:color w:val="auto"/>
        </w:rPr>
      </w:pPr>
      <w:r>
        <w:rPr>
          <w:rFonts w:ascii="Arial" w:cs="Arial" w:eastAsia="Arial" w:hAnsi="Arial"/>
          <w:sz w:val="22"/>
          <w:szCs w:val="22"/>
          <w:b w:val="1"/>
          <w:bCs w:val="1"/>
          <w:color w:val="auto"/>
        </w:rPr>
        <w:t>Date of Report (Date of earliest event reported): February 24,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419"/>
        <w:spacing w:after="0"/>
        <w:rPr>
          <w:sz w:val="20"/>
          <w:szCs w:val="20"/>
          <w:color w:val="auto"/>
        </w:rPr>
      </w:pPr>
      <w:r>
        <w:rPr>
          <w:rFonts w:ascii="Arial" w:cs="Arial" w:eastAsia="Arial" w:hAnsi="Arial"/>
          <w:sz w:val="36"/>
          <w:szCs w:val="36"/>
          <w:b w:val="1"/>
          <w:bCs w:val="1"/>
          <w:color w:val="auto"/>
        </w:rPr>
        <w:t>SCHLUMBERGER N.V. (SCHLUMBERGER LIMITED)</w:t>
      </w:r>
    </w:p>
    <w:p>
      <w:pPr>
        <w:spacing w:after="0" w:line="4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78"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860"/>
          </w:cols>
          <w:pgMar w:left="240" w:top="378" w:right="6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378" w:right="639" w:bottom="1440" w:gutter="0" w:footer="0" w:header="0"/>
          <w:type w:val="continuous"/>
        </w:sectPr>
      </w:pP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ind w:left="374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78" w:right="63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78"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u w:val="single" w:color="auto"/>
          <w:color w:val="auto"/>
        </w:rPr>
        <w:t>Regulation FD Disclosure</w:t>
      </w:r>
      <w:r>
        <w:rPr>
          <w:rFonts w:ascii="Arial" w:cs="Arial" w:eastAsia="Arial" w:hAnsi="Arial"/>
          <w:sz w:val="16"/>
          <w:szCs w:val="16"/>
          <w:color w:val="auto"/>
        </w:rPr>
        <w:t>.</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February 24, 2015, Patrick Schorn, President, Operations &amp; Integration of Schlumberger Limited (“Schlumberger”), presented at the Credit Suisse 20</w:t>
      </w:r>
      <w:r>
        <w:rPr>
          <w:rFonts w:ascii="Arial" w:cs="Arial" w:eastAsia="Arial" w:hAnsi="Arial"/>
          <w:sz w:val="15"/>
          <w:szCs w:val="15"/>
          <w:color w:val="auto"/>
        </w:rPr>
        <w:t>th</w:t>
      </w:r>
      <w:r>
        <w:rPr>
          <w:rFonts w:ascii="Arial" w:cs="Arial" w:eastAsia="Arial" w:hAnsi="Arial"/>
          <w:sz w:val="18"/>
          <w:szCs w:val="18"/>
          <w:color w:val="auto"/>
        </w:rPr>
        <w:t xml:space="preserve"> Annual Energy Summit in Vail, Colorado. The slide presentation is available on the Schlumberger Investor Relations website at http://investorcenter.slb.com/phoenix.zhtml?c=97513&amp;p=irol-presentations.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Statement Regarding Forward-Looking Statements</w:t>
      </w:r>
    </w:p>
    <w:p>
      <w:pPr>
        <w:spacing w:after="0" w:line="117"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The presentation referred to above contains “forward-looking statements” within the meaning of the federal securities laws, which include any statements that are not historical facts, such as our financial and performance targets and other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demand for our integrated services; the success of Schlumberger’s joint ventures and alliances and its integration of acquired companies; introduction of new technologies;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demand for our integrated services and new technologies; Schlumberger’s future cash flows; general economic, political and business conditions in key regions of the world, including in Russia and the Ukraine; pricing erosion; weather and seasonal factors; operational delays; production declines; inability to acquire target companies or integrate new acquisitions;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most recent Form 10-K filed with the Securities and Exchange Commission. If one or more of these or other risks or uncertainties materialize (or the consequences of such a development changes), or should underlying assumptions prove incorrect, actual outcomes may vary materially from those reflected in our forward-looking statements. The forward-looking statements speak only as of the date of the presentation, and Schlumberger disclaims any intention or obligation to update publicly or revise such statements, whether as a result of new information, future events or otherwise.</w:t>
      </w:r>
    </w:p>
    <w:p>
      <w:pPr>
        <w:sectPr>
          <w:pgSz w:w="11900" w:h="16838" w:orient="portrait"/>
          <w:cols w:equalWidth="0" w:num="1">
            <w:col w:w="11360"/>
          </w:cols>
          <w:pgMar w:left="240" w:top="270"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2015</w:t>
      </w:r>
    </w:p>
    <w:sectPr>
      <w:pgSz w:w="11900" w:h="16838" w:orient="portrait"/>
      <w:cols w:equalWidth="0" w:num="1">
        <w:col w:w="10800"/>
      </w:cols>
      <w:pgMar w:left="240" w:top="270"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2019-12-05T14:40:31Z</dcterms:created>
  <dcterms:modified xsi:type="dcterms:W3CDTF">2019-12-05T14:40:31Z</dcterms:modified>
</cp:coreProperties>
</file>