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3"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-233680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line="13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0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-629920</wp:posOffset>
            </wp:positionV>
            <wp:extent cx="58420" cy="643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255"/>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-629920</wp:posOffset>
            </wp:positionV>
            <wp:extent cx="58420" cy="643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2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16510</wp:posOffset>
            </wp:positionV>
            <wp:extent cx="7045960" cy="5922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592201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260"/>
            <w:col w:w="8540"/>
          </w:cols>
          <w:pgMar w:left="460" w:top="222"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4"/>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Chereque Pierre</w:t>
              </w:r>
            </w:hyperlink>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20" w:type="dxa"/>
            <w:vAlign w:val="bottom"/>
            <w:gridSpan w:val="4"/>
          </w:tcPr>
          <w:p>
            <w:pPr>
              <w:ind w:left="60"/>
              <w:spacing w:after="0" w:line="182"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SCHLUMBERGER LIMITED/NV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20" w:type="dxa"/>
            <w:vAlign w:val="bottom"/>
            <w:gridSpan w:val="4"/>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2820" w:type="dxa"/>
            <w:vAlign w:val="bottom"/>
            <w:tcBorders>
              <w:top w:val="single" w:sz="8" w:color="0000EE"/>
            </w:tcBorders>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560" w:type="dxa"/>
            <w:vAlign w:val="bottom"/>
            <w:tcBorders>
              <w:top w:val="single" w:sz="8" w:color="0000EE"/>
              <w:bottom w:val="single" w:sz="8" w:color="9A9A9A"/>
            </w:tcBorders>
          </w:tcPr>
          <w:p>
            <w:pPr>
              <w:spacing w:after="0"/>
              <w:rPr>
                <w:sz w:val="17"/>
                <w:szCs w:val="17"/>
                <w:color w:val="auto"/>
              </w:rPr>
            </w:pPr>
          </w:p>
        </w:tc>
        <w:tc>
          <w:tcPr>
            <w:tcW w:w="66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3100" w:type="dxa"/>
            <w:vAlign w:val="bottom"/>
            <w:gridSpan w:val="4"/>
            <w:vMerge w:val="restart"/>
          </w:tcPr>
          <w:p>
            <w:pPr>
              <w:ind w:left="140"/>
              <w:spacing w:after="0" w:line="170" w:lineRule="exact"/>
              <w:rPr>
                <w:sz w:val="20"/>
                <w:szCs w:val="20"/>
                <w:color w:val="auto"/>
              </w:rPr>
            </w:pPr>
            <w:r>
              <w:rPr>
                <w:rFonts w:ascii="Arial" w:cs="Arial" w:eastAsia="Arial" w:hAnsi="Arial"/>
                <w:sz w:val="17"/>
                <w:szCs w:val="17"/>
                <w:color w:val="0000FF"/>
              </w:rPr>
              <w:t>01/19/2022</w:t>
            </w: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3100" w:type="dxa"/>
            <w:vAlign w:val="bottom"/>
            <w:gridSpan w:val="4"/>
            <w:vMerge w:val="continue"/>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5599 SAN FELIPE, 17TH FLOOR</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ind w:left="6" w:right="620" w:hanging="6"/>
        <w:spacing w:after="0" w:line="239" w:lineRule="auto"/>
        <w:tabs>
          <w:tab w:leader="none" w:pos="15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0"/>
          <w:szCs w:val="20"/>
          <w:color w:val="auto"/>
        </w:rPr>
      </w:pPr>
    </w:p>
    <w:tbl>
      <w:tblPr>
        <w:tblLayout w:type="fixed"/>
        <w:tblInd w:w="206"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926"/>
        <w:spacing w:after="0"/>
        <w:rPr>
          <w:sz w:val="20"/>
          <w:szCs w:val="20"/>
          <w:color w:val="auto"/>
        </w:rPr>
      </w:pPr>
      <w:r>
        <w:rPr>
          <w:rFonts w:ascii="Arial" w:cs="Arial" w:eastAsia="Arial" w:hAnsi="Arial"/>
          <w:sz w:val="17"/>
          <w:szCs w:val="17"/>
          <w:color w:val="0000FF"/>
        </w:rPr>
        <w:t>VP, Director of Tax</w:t>
      </w:r>
    </w:p>
    <w:p>
      <w:pPr>
        <w:spacing w:after="0" w:line="311" w:lineRule="exact"/>
        <w:rPr>
          <w:sz w:val="20"/>
          <w:szCs w:val="20"/>
          <w:color w:val="auto"/>
        </w:rPr>
      </w:pPr>
    </w:p>
    <w:p>
      <w:pPr>
        <w:sectPr>
          <w:pgSz w:w="11900" w:h="16838" w:orient="portrait"/>
          <w:cols w:equalWidth="0" w:num="2">
            <w:col w:w="7660" w:space="74"/>
            <w:col w:w="3346"/>
          </w:cols>
          <w:pgMar w:left="460" w:top="222" w:right="359" w:bottom="1440" w:gutter="0" w:footer="0" w:header="0"/>
          <w:type w:val="continuous"/>
        </w:sectPr>
      </w:pP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5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040" w:type="dxa"/>
            <w:vAlign w:val="bottom"/>
          </w:tcPr>
          <w:p>
            <w:pPr>
              <w:ind w:left="20"/>
              <w:spacing w:after="0"/>
              <w:rPr>
                <w:sz w:val="20"/>
                <w:szCs w:val="20"/>
                <w:color w:val="auto"/>
              </w:rPr>
            </w:pPr>
            <w:r>
              <w:rPr>
                <w:rFonts w:ascii="Arial" w:cs="Arial" w:eastAsia="Arial" w:hAnsi="Arial"/>
                <w:sz w:val="17"/>
                <w:szCs w:val="17"/>
                <w:color w:val="0000FF"/>
              </w:rPr>
              <w:t>HOUSTON</w:t>
            </w:r>
          </w:p>
        </w:tc>
        <w:tc>
          <w:tcPr>
            <w:tcW w:w="1000" w:type="dxa"/>
            <w:vAlign w:val="bottom"/>
          </w:tcPr>
          <w:p>
            <w:pPr>
              <w:ind w:left="200"/>
              <w:spacing w:after="0"/>
              <w:rPr>
                <w:sz w:val="20"/>
                <w:szCs w:val="20"/>
                <w:color w:val="auto"/>
              </w:rPr>
            </w:pPr>
            <w:r>
              <w:rPr>
                <w:rFonts w:ascii="Arial" w:cs="Arial" w:eastAsia="Arial" w:hAnsi="Arial"/>
                <w:sz w:val="17"/>
                <w:szCs w:val="17"/>
                <w:color w:val="0000FF"/>
              </w:rPr>
              <w:t>TX</w:t>
            </w:r>
          </w:p>
        </w:tc>
        <w:tc>
          <w:tcPr>
            <w:tcW w:w="1620" w:type="dxa"/>
            <w:vAlign w:val="bottom"/>
          </w:tcPr>
          <w:p>
            <w:pPr>
              <w:ind w:left="420"/>
              <w:spacing w:after="0"/>
              <w:rPr>
                <w:sz w:val="20"/>
                <w:szCs w:val="20"/>
                <w:color w:val="auto"/>
              </w:rPr>
            </w:pPr>
            <w:r>
              <w:rPr>
                <w:rFonts w:ascii="Arial" w:cs="Arial" w:eastAsia="Arial" w:hAnsi="Arial"/>
                <w:sz w:val="17"/>
                <w:szCs w:val="17"/>
                <w:color w:val="0000FF"/>
              </w:rPr>
              <w:t>77056</w:t>
            </w:r>
          </w:p>
        </w:tc>
      </w:tr>
      <w:tr>
        <w:trPr>
          <w:trHeight w:val="150"/>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297"/>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20"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301" w:lineRule="exact"/>
        <w:rPr>
          <w:sz w:val="20"/>
          <w:szCs w:val="20"/>
          <w:color w:val="auto"/>
        </w:rPr>
      </w:pPr>
    </w:p>
    <w:p>
      <w:pPr>
        <w:sectPr>
          <w:pgSz w:w="11900" w:h="16838" w:orient="portrait"/>
          <w:cols w:equalWidth="0" w:num="2">
            <w:col w:w="3760" w:space="140"/>
            <w:col w:w="718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20" w:type="dxa"/>
            <w:vAlign w:val="bottom"/>
          </w:tcPr>
          <w:p>
            <w:pPr>
              <w:spacing w:after="0"/>
              <w:rPr>
                <w:sz w:val="13"/>
                <w:szCs w:val="13"/>
                <w:color w:val="auto"/>
              </w:rPr>
            </w:pPr>
          </w:p>
        </w:tc>
        <w:tc>
          <w:tcPr>
            <w:tcW w:w="1300" w:type="dxa"/>
            <w:vAlign w:val="bottom"/>
            <w:gridSpan w:val="2"/>
          </w:tcPr>
          <w:p>
            <w:pPr>
              <w:ind w:left="2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ind w:left="220"/>
              <w:spacing w:after="0" w:line="127"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0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7"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7"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0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6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30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4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7"/>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30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7"/>
                <w:szCs w:val="17"/>
                <w:color w:val="0000FF"/>
                <w:w w:val="91"/>
              </w:rPr>
              <w:t>01/19/2022</w:t>
            </w:r>
          </w:p>
        </w:tc>
        <w:tc>
          <w:tcPr>
            <w:tcW w:w="5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right"/>
              <w:ind w:right="300"/>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w w:val="98"/>
              </w:rPr>
              <w:t>400</w:t>
            </w:r>
          </w:p>
        </w:tc>
        <w:tc>
          <w:tcPr>
            <w:tcW w:w="64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400"/>
              <w:spacing w:after="0"/>
              <w:rPr>
                <w:sz w:val="20"/>
                <w:szCs w:val="20"/>
                <w:color w:val="auto"/>
              </w:rPr>
            </w:pPr>
            <w:r>
              <w:rPr>
                <w:rFonts w:ascii="Arial" w:cs="Arial" w:eastAsia="Arial" w:hAnsi="Arial"/>
                <w:sz w:val="17"/>
                <w:szCs w:val="17"/>
                <w:color w:val="0000FF"/>
              </w:rPr>
              <w:t>92,355</w:t>
            </w:r>
            <w:r>
              <w:rPr>
                <w:rFonts w:ascii="Arial" w:cs="Arial" w:eastAsia="Arial" w:hAnsi="Arial"/>
                <w:sz w:val="21"/>
                <w:szCs w:val="21"/>
                <w:color w:val="008000"/>
                <w:vertAlign w:val="superscript"/>
              </w:rPr>
              <w:t>(1)</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900" w:type="dxa"/>
            <w:vAlign w:val="bottom"/>
            <w:gridSpan w:val="11"/>
          </w:tcPr>
          <w:p>
            <w:pPr>
              <w:jc w:val="right"/>
              <w:ind w:right="1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40"/>
              <w:spacing w:after="0"/>
              <w:rPr>
                <w:sz w:val="20"/>
                <w:szCs w:val="20"/>
                <w:color w:val="auto"/>
              </w:rPr>
            </w:pPr>
            <w:r>
              <w:rPr>
                <w:rFonts w:ascii="Arial" w:cs="Arial" w:eastAsia="Arial" w:hAnsi="Arial"/>
                <w:sz w:val="12"/>
                <w:szCs w:val="12"/>
                <w:b w:val="1"/>
                <w:bCs w:val="1"/>
                <w:color w:val="auto"/>
                <w:w w:val="99"/>
              </w:rPr>
              <w:t>4.</w:t>
            </w:r>
          </w:p>
        </w:tc>
        <w:tc>
          <w:tcPr>
            <w:tcW w:w="90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6"/>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40"/>
              <w:spacing w:after="0" w:line="130" w:lineRule="exact"/>
              <w:rPr>
                <w:sz w:val="20"/>
                <w:szCs w:val="20"/>
                <w:color w:val="auto"/>
              </w:rPr>
            </w:pPr>
            <w:r>
              <w:rPr>
                <w:rFonts w:ascii="Arial" w:cs="Arial" w:eastAsia="Arial" w:hAnsi="Arial"/>
                <w:sz w:val="12"/>
                <w:szCs w:val="12"/>
                <w:b w:val="1"/>
                <w:bCs w:val="1"/>
                <w:color w:val="auto"/>
                <w:w w:val="93"/>
              </w:rPr>
              <w:t>8)</w:t>
            </w: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0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RSU</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jc w:val="center"/>
              <w:ind w:right="17"/>
              <w:spacing w:after="0" w:line="143" w:lineRule="exact"/>
              <w:rPr>
                <w:sz w:val="20"/>
                <w:szCs w:val="20"/>
                <w:color w:val="auto"/>
              </w:rPr>
            </w:pPr>
            <w:r>
              <w:rPr>
                <w:rFonts w:ascii="Arial" w:cs="Arial" w:eastAsia="Arial" w:hAnsi="Arial"/>
                <w:sz w:val="13"/>
                <w:szCs w:val="13"/>
                <w:color w:val="0000FF"/>
                <w:w w:val="88"/>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restart"/>
          </w:tcPr>
          <w:p>
            <w:pPr>
              <w:jc w:val="center"/>
              <w:ind w:right="17"/>
              <w:spacing w:after="0" w:line="143" w:lineRule="exact"/>
              <w:rPr>
                <w:sz w:val="20"/>
                <w:szCs w:val="20"/>
                <w:color w:val="auto"/>
              </w:rPr>
            </w:pPr>
            <w:r>
              <w:rPr>
                <w:rFonts w:ascii="Arial" w:cs="Arial" w:eastAsia="Arial" w:hAnsi="Arial"/>
                <w:sz w:val="13"/>
                <w:szCs w:val="13"/>
                <w:color w:val="0000FF"/>
                <w:w w:val="85"/>
              </w:rPr>
              <w:t>$0.01</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98"/>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(3)</w:t>
            </w:r>
          </w:p>
        </w:tc>
        <w:tc>
          <w:tcPr>
            <w:tcW w:w="200" w:type="dxa"/>
            <w:vAlign w:val="bottom"/>
          </w:tcPr>
          <w:p>
            <w:pPr>
              <w:spacing w:after="0"/>
              <w:rPr>
                <w:sz w:val="6"/>
                <w:szCs w:val="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40" w:type="dxa"/>
            <w:vAlign w:val="bottom"/>
            <w:vMerge w:val="continue"/>
          </w:tcPr>
          <w:p>
            <w:pPr>
              <w:spacing w:after="0"/>
              <w:rPr>
                <w:sz w:val="6"/>
                <w:szCs w:val="6"/>
                <w:color w:val="auto"/>
              </w:rPr>
            </w:pPr>
          </w:p>
        </w:tc>
        <w:tc>
          <w:tcPr>
            <w:tcW w:w="540" w:type="dxa"/>
            <w:vAlign w:val="bottom"/>
            <w:vMerge w:val="restart"/>
          </w:tcPr>
          <w:p>
            <w:pPr>
              <w:jc w:val="right"/>
              <w:ind w:right="113"/>
              <w:spacing w:after="0"/>
              <w:rPr>
                <w:sz w:val="20"/>
                <w:szCs w:val="20"/>
                <w:color w:val="auto"/>
              </w:rPr>
            </w:pPr>
            <w:r>
              <w:rPr>
                <w:rFonts w:ascii="Arial" w:cs="Arial" w:eastAsia="Arial" w:hAnsi="Arial"/>
                <w:sz w:val="17"/>
                <w:szCs w:val="17"/>
                <w:color w:val="0000FF"/>
              </w:rPr>
              <w:t>400</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line="143" w:lineRule="exact"/>
              <w:rPr>
                <w:sz w:val="20"/>
                <w:szCs w:val="20"/>
                <w:color w:val="auto"/>
              </w:rPr>
            </w:pPr>
            <w:r>
              <w:rPr>
                <w:rFonts w:ascii="Arial" w:cs="Arial" w:eastAsia="Arial" w:hAnsi="Arial"/>
                <w:sz w:val="13"/>
                <w:szCs w:val="13"/>
                <w:color w:val="0000FF"/>
              </w:rPr>
              <w:t>01/19/2022</w:t>
            </w: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vMerge w:val="restart"/>
          </w:tcPr>
          <w:p>
            <w:pPr>
              <w:ind w:left="160"/>
              <w:spacing w:after="0" w:line="143" w:lineRule="exact"/>
              <w:rPr>
                <w:sz w:val="20"/>
                <w:szCs w:val="20"/>
                <w:color w:val="auto"/>
              </w:rPr>
            </w:pPr>
            <w:r>
              <w:rPr>
                <w:rFonts w:ascii="Arial" w:cs="Arial" w:eastAsia="Arial" w:hAnsi="Arial"/>
                <w:sz w:val="13"/>
                <w:szCs w:val="13"/>
                <w:color w:val="0000FF"/>
              </w:rPr>
              <w:t>M</w:t>
            </w:r>
          </w:p>
        </w:tc>
        <w:tc>
          <w:tcPr>
            <w:tcW w:w="540" w:type="dxa"/>
            <w:vAlign w:val="bottom"/>
          </w:tcPr>
          <w:p>
            <w:pPr>
              <w:spacing w:after="0"/>
              <w:rPr>
                <w:sz w:val="5"/>
                <w:szCs w:val="5"/>
                <w:color w:val="auto"/>
              </w:rPr>
            </w:pPr>
          </w:p>
        </w:tc>
        <w:tc>
          <w:tcPr>
            <w:tcW w:w="360" w:type="dxa"/>
            <w:vAlign w:val="bottom"/>
            <w:vMerge w:val="restart"/>
          </w:tcPr>
          <w:p>
            <w:pPr>
              <w:ind w:left="40"/>
              <w:spacing w:after="0" w:line="143" w:lineRule="exact"/>
              <w:rPr>
                <w:sz w:val="20"/>
                <w:szCs w:val="20"/>
                <w:color w:val="auto"/>
              </w:rPr>
            </w:pPr>
            <w:r>
              <w:rPr>
                <w:rFonts w:ascii="Arial" w:cs="Arial" w:eastAsia="Arial" w:hAnsi="Arial"/>
                <w:sz w:val="13"/>
                <w:szCs w:val="13"/>
                <w:color w:val="0000FF"/>
              </w:rPr>
              <w:t>400</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vMerge w:val="restart"/>
          </w:tcPr>
          <w:p>
            <w:pPr>
              <w:jc w:val="center"/>
              <w:ind w:right="17"/>
              <w:spacing w:after="0" w:line="143" w:lineRule="exact"/>
              <w:rPr>
                <w:sz w:val="20"/>
                <w:szCs w:val="20"/>
                <w:color w:val="auto"/>
              </w:rPr>
            </w:pPr>
            <w:r>
              <w:rPr>
                <w:rFonts w:ascii="Arial" w:cs="Arial" w:eastAsia="Arial" w:hAnsi="Arial"/>
                <w:sz w:val="13"/>
                <w:szCs w:val="13"/>
                <w:color w:val="0000FF"/>
                <w:w w:val="78"/>
              </w:rPr>
              <w:t>Par</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jc w:val="right"/>
              <w:ind w:right="80"/>
              <w:spacing w:after="0" w:line="143"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restart"/>
          </w:tcPr>
          <w:p>
            <w:pPr>
              <w:jc w:val="center"/>
              <w:ind w:right="17"/>
              <w:spacing w:after="0" w:line="143" w:lineRule="exact"/>
              <w:rPr>
                <w:sz w:val="20"/>
                <w:szCs w:val="20"/>
                <w:color w:val="auto"/>
              </w:rPr>
            </w:pPr>
            <w:r>
              <w:rPr>
                <w:rFonts w:ascii="Arial" w:cs="Arial" w:eastAsia="Arial" w:hAnsi="Arial"/>
                <w:sz w:val="13"/>
                <w:szCs w:val="13"/>
                <w:color w:val="0000FF"/>
                <w:w w:val="84"/>
              </w:rPr>
              <w:t>Value</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w:t>
            </w: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vMerge w:val="restart"/>
          </w:tcPr>
          <w:p>
            <w:pPr>
              <w:jc w:val="center"/>
              <w:ind w:right="17"/>
              <w:spacing w:after="0" w:line="143" w:lineRule="exact"/>
              <w:rPr>
                <w:sz w:val="20"/>
                <w:szCs w:val="20"/>
                <w:color w:val="auto"/>
              </w:rPr>
            </w:pPr>
            <w:r>
              <w:rPr>
                <w:rFonts w:ascii="Arial" w:cs="Arial" w:eastAsia="Arial" w:hAnsi="Arial"/>
                <w:sz w:val="13"/>
                <w:szCs w:val="13"/>
                <w:color w:val="0000FF"/>
                <w:w w:val="78"/>
              </w:rPr>
              <w:t>Per</w:t>
            </w: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4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80"/>
              </w:rPr>
              <w:t>Share</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center"/>
              <w:ind w:right="17"/>
              <w:spacing w:after="0"/>
              <w:rPr>
                <w:sz w:val="20"/>
                <w:szCs w:val="20"/>
                <w:color w:val="auto"/>
              </w:rPr>
            </w:pPr>
            <w:r>
              <w:rPr>
                <w:rFonts w:ascii="Arial" w:cs="Arial" w:eastAsia="Arial" w:hAnsi="Arial"/>
                <w:sz w:val="13"/>
                <w:szCs w:val="13"/>
                <w:color w:val="0000FF"/>
                <w:w w:val="90"/>
              </w:rPr>
              <w:t>Common</w:t>
            </w: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RSU</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jc w:val="center"/>
              <w:ind w:right="17"/>
              <w:spacing w:after="0" w:line="143" w:lineRule="exact"/>
              <w:rPr>
                <w:sz w:val="20"/>
                <w:szCs w:val="20"/>
                <w:color w:val="auto"/>
              </w:rPr>
            </w:pPr>
            <w:r>
              <w:rPr>
                <w:rFonts w:ascii="Arial" w:cs="Arial" w:eastAsia="Arial" w:hAnsi="Arial"/>
                <w:sz w:val="13"/>
                <w:szCs w:val="13"/>
                <w:color w:val="0000FF"/>
                <w:w w:val="88"/>
              </w:rPr>
              <w:t>Stock,</w:t>
            </w: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40" w:type="dxa"/>
            <w:vAlign w:val="bottom"/>
            <w:vMerge w:val="restart"/>
          </w:tcPr>
          <w:p>
            <w:pPr>
              <w:jc w:val="center"/>
              <w:ind w:right="17"/>
              <w:spacing w:after="0" w:line="143" w:lineRule="exact"/>
              <w:rPr>
                <w:sz w:val="20"/>
                <w:szCs w:val="20"/>
                <w:color w:val="auto"/>
              </w:rPr>
            </w:pPr>
            <w:r>
              <w:rPr>
                <w:rFonts w:ascii="Arial" w:cs="Arial" w:eastAsia="Arial" w:hAnsi="Arial"/>
                <w:sz w:val="13"/>
                <w:szCs w:val="13"/>
                <w:color w:val="0000FF"/>
                <w:w w:val="85"/>
              </w:rPr>
              <w:t>$0.01</w:t>
            </w: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restart"/>
          </w:tcPr>
          <w:p>
            <w:pPr>
              <w:ind w:left="60"/>
              <w:spacing w:after="0" w:line="143" w:lineRule="exact"/>
              <w:rPr>
                <w:sz w:val="20"/>
                <w:szCs w:val="20"/>
                <w:color w:val="auto"/>
              </w:rPr>
            </w:pPr>
            <w:r>
              <w:rPr>
                <w:rFonts w:ascii="Arial" w:cs="Arial" w:eastAsia="Arial" w:hAnsi="Arial"/>
                <w:sz w:val="13"/>
                <w:szCs w:val="13"/>
                <w:color w:val="0000FF"/>
                <w:w w:val="98"/>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(2)</w:t>
            </w:r>
          </w:p>
        </w:tc>
        <w:tc>
          <w:tcPr>
            <w:tcW w:w="10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1"/>
                <w:szCs w:val="11"/>
                <w:color w:val="008000"/>
              </w:rPr>
              <w:t>(4)</w:t>
            </w:r>
          </w:p>
        </w:tc>
        <w:tc>
          <w:tcPr>
            <w:tcW w:w="200" w:type="dxa"/>
            <w:vAlign w:val="bottom"/>
          </w:tcPr>
          <w:p>
            <w:pPr>
              <w:spacing w:after="0"/>
              <w:rPr>
                <w:sz w:val="6"/>
                <w:szCs w:val="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40" w:type="dxa"/>
            <w:vAlign w:val="bottom"/>
            <w:vMerge w:val="continue"/>
          </w:tcPr>
          <w:p>
            <w:pPr>
              <w:spacing w:after="0"/>
              <w:rPr>
                <w:sz w:val="6"/>
                <w:szCs w:val="6"/>
                <w:color w:val="auto"/>
              </w:rPr>
            </w:pPr>
          </w:p>
        </w:tc>
        <w:tc>
          <w:tcPr>
            <w:tcW w:w="540" w:type="dxa"/>
            <w:vAlign w:val="bottom"/>
            <w:vMerge w:val="restart"/>
          </w:tcPr>
          <w:p>
            <w:pPr>
              <w:jc w:val="right"/>
              <w:ind w:right="33"/>
              <w:spacing w:after="0"/>
              <w:rPr>
                <w:sz w:val="20"/>
                <w:szCs w:val="20"/>
                <w:color w:val="auto"/>
              </w:rPr>
            </w:pPr>
            <w:r>
              <w:rPr>
                <w:rFonts w:ascii="Arial" w:cs="Arial" w:eastAsia="Arial" w:hAnsi="Arial"/>
                <w:sz w:val="17"/>
                <w:szCs w:val="17"/>
                <w:color w:val="0000FF"/>
                <w:w w:val="98"/>
              </w:rPr>
              <w:t>5,580</w:t>
            </w: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80" w:type="dxa"/>
            <w:vAlign w:val="bottom"/>
            <w:vMerge w:val="restart"/>
          </w:tcPr>
          <w:p>
            <w:pPr>
              <w:jc w:val="right"/>
              <w:ind w:right="175"/>
              <w:spacing w:after="0"/>
              <w:rPr>
                <w:sz w:val="20"/>
                <w:szCs w:val="20"/>
                <w:color w:val="auto"/>
              </w:rPr>
            </w:pPr>
            <w:r>
              <w:rPr>
                <w:rFonts w:ascii="Arial" w:cs="Arial" w:eastAsia="Arial" w:hAnsi="Arial"/>
                <w:sz w:val="13"/>
                <w:szCs w:val="13"/>
                <w:color w:val="0000FF"/>
              </w:rPr>
              <w:t>01/19/2022</w:t>
            </w:r>
          </w:p>
        </w:tc>
        <w:tc>
          <w:tcPr>
            <w:tcW w:w="5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2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5,580</w:t>
            </w:r>
          </w:p>
        </w:tc>
        <w:tc>
          <w:tcPr>
            <w:tcW w:w="36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40" w:type="dxa"/>
            <w:vAlign w:val="bottom"/>
            <w:vMerge w:val="restart"/>
          </w:tcPr>
          <w:p>
            <w:pPr>
              <w:jc w:val="center"/>
              <w:ind w:right="17"/>
              <w:spacing w:after="0"/>
              <w:rPr>
                <w:sz w:val="20"/>
                <w:szCs w:val="20"/>
                <w:color w:val="auto"/>
              </w:rPr>
            </w:pPr>
            <w:r>
              <w:rPr>
                <w:rFonts w:ascii="Arial" w:cs="Arial" w:eastAsia="Arial" w:hAnsi="Arial"/>
                <w:sz w:val="13"/>
                <w:szCs w:val="13"/>
                <w:color w:val="0000FF"/>
                <w:w w:val="78"/>
              </w:rPr>
              <w:t>Par</w:t>
            </w: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0000FF"/>
              </w:rPr>
              <w:t>5,580</w:t>
            </w:r>
          </w:p>
        </w:tc>
        <w:tc>
          <w:tcPr>
            <w:tcW w:w="280" w:type="dxa"/>
            <w:vAlign w:val="bottom"/>
          </w:tcPr>
          <w:p>
            <w:pPr>
              <w:spacing w:after="0"/>
              <w:rPr>
                <w:sz w:val="5"/>
                <w:szCs w:val="5"/>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700" w:type="dxa"/>
            <w:vAlign w:val="bottom"/>
          </w:tcPr>
          <w:p>
            <w:pPr>
              <w:ind w:left="60"/>
              <w:spacing w:after="0" w:line="88" w:lineRule="exact"/>
              <w:rPr>
                <w:sz w:val="20"/>
                <w:szCs w:val="20"/>
                <w:color w:val="auto"/>
              </w:rPr>
            </w:pPr>
            <w:r>
              <w:rPr>
                <w:rFonts w:ascii="Arial" w:cs="Arial" w:eastAsia="Arial" w:hAnsi="Arial"/>
                <w:sz w:val="10"/>
                <w:szCs w:val="10"/>
                <w:color w:val="0000FF"/>
              </w:rPr>
              <w:t>Stock</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520" w:type="dxa"/>
            <w:vAlign w:val="bottom"/>
          </w:tcPr>
          <w:p>
            <w:pPr>
              <w:spacing w:after="0"/>
              <w:rPr>
                <w:sz w:val="9"/>
                <w:szCs w:val="9"/>
                <w:color w:val="auto"/>
              </w:rPr>
            </w:pPr>
          </w:p>
        </w:tc>
        <w:tc>
          <w:tcPr>
            <w:tcW w:w="5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33"/>
        </w:trPr>
        <w:tc>
          <w:tcPr>
            <w:tcW w:w="3560" w:type="dxa"/>
            <w:vAlign w:val="bottom"/>
            <w:vMerge w:val="restart"/>
          </w:tcPr>
          <w:p>
            <w:pPr>
              <w:spacing w:after="0"/>
              <w:rPr>
                <w:sz w:val="20"/>
                <w:szCs w:val="20"/>
                <w:color w:val="auto"/>
              </w:rPr>
            </w:pPr>
            <w:r>
              <w:rPr>
                <w:rFonts w:ascii="Arial" w:cs="Arial" w:eastAsia="Arial" w:hAnsi="Arial"/>
                <w:sz w:val="13"/>
                <w:szCs w:val="13"/>
                <w:color w:val="0000FF"/>
              </w:rPr>
              <w:t>Unit)</w:t>
            </w:r>
          </w:p>
        </w:tc>
        <w:tc>
          <w:tcPr>
            <w:tcW w:w="3560" w:type="dxa"/>
            <w:vAlign w:val="bottom"/>
          </w:tcPr>
          <w:p>
            <w:pPr>
              <w:jc w:val="center"/>
              <w:ind w:left="3215"/>
              <w:spacing w:after="0" w:line="133" w:lineRule="exact"/>
              <w:rPr>
                <w:sz w:val="20"/>
                <w:szCs w:val="20"/>
                <w:color w:val="auto"/>
              </w:rPr>
            </w:pPr>
            <w:r>
              <w:rPr>
                <w:rFonts w:ascii="Arial" w:cs="Arial" w:eastAsia="Arial" w:hAnsi="Arial"/>
                <w:sz w:val="13"/>
                <w:szCs w:val="13"/>
                <w:color w:val="0000FF"/>
                <w:w w:val="84"/>
              </w:rPr>
              <w:t>Value</w:t>
            </w:r>
          </w:p>
        </w:tc>
        <w:tc>
          <w:tcPr>
            <w:tcW w:w="0" w:type="dxa"/>
            <w:vAlign w:val="bottom"/>
          </w:tcPr>
          <w:p>
            <w:pPr>
              <w:spacing w:after="0"/>
              <w:rPr>
                <w:sz w:val="1"/>
                <w:szCs w:val="1"/>
                <w:color w:val="auto"/>
              </w:rPr>
            </w:pPr>
          </w:p>
        </w:tc>
      </w:tr>
      <w:tr>
        <w:trPr>
          <w:trHeight w:val="86"/>
        </w:trPr>
        <w:tc>
          <w:tcPr>
            <w:tcW w:w="3560" w:type="dxa"/>
            <w:vAlign w:val="bottom"/>
            <w:vMerge w:val="continue"/>
          </w:tcPr>
          <w:p>
            <w:pPr>
              <w:spacing w:after="0"/>
              <w:rPr>
                <w:sz w:val="7"/>
                <w:szCs w:val="7"/>
                <w:color w:val="auto"/>
              </w:rPr>
            </w:pPr>
          </w:p>
        </w:tc>
        <w:tc>
          <w:tcPr>
            <w:tcW w:w="3560" w:type="dxa"/>
            <w:vAlign w:val="bottom"/>
            <w:vMerge w:val="restart"/>
          </w:tcPr>
          <w:p>
            <w:pPr>
              <w:jc w:val="center"/>
              <w:ind w:left="3215"/>
              <w:spacing w:after="0" w:line="143" w:lineRule="exact"/>
              <w:rPr>
                <w:sz w:val="20"/>
                <w:szCs w:val="20"/>
                <w:color w:val="auto"/>
              </w:rPr>
            </w:pPr>
            <w:r>
              <w:rPr>
                <w:rFonts w:ascii="Arial" w:cs="Arial" w:eastAsia="Arial" w:hAnsi="Arial"/>
                <w:sz w:val="13"/>
                <w:szCs w:val="13"/>
                <w:color w:val="0000FF"/>
                <w:w w:val="78"/>
              </w:rPr>
              <w:t>Per</w:t>
            </w:r>
          </w:p>
        </w:tc>
        <w:tc>
          <w:tcPr>
            <w:tcW w:w="0" w:type="dxa"/>
            <w:vAlign w:val="bottom"/>
          </w:tcPr>
          <w:p>
            <w:pPr>
              <w:spacing w:after="0"/>
              <w:rPr>
                <w:sz w:val="1"/>
                <w:szCs w:val="1"/>
                <w:color w:val="auto"/>
              </w:rPr>
            </w:pPr>
          </w:p>
        </w:tc>
      </w:tr>
      <w:tr>
        <w:trPr>
          <w:trHeight w:val="57"/>
        </w:trPr>
        <w:tc>
          <w:tcPr>
            <w:tcW w:w="3560" w:type="dxa"/>
            <w:vAlign w:val="bottom"/>
          </w:tcPr>
          <w:p>
            <w:pPr>
              <w:spacing w:after="0"/>
              <w:rPr>
                <w:sz w:val="4"/>
                <w:szCs w:val="4"/>
                <w:color w:val="auto"/>
              </w:rPr>
            </w:pPr>
          </w:p>
        </w:tc>
        <w:tc>
          <w:tcPr>
            <w:tcW w:w="35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3560" w:type="dxa"/>
            <w:vAlign w:val="bottom"/>
          </w:tcPr>
          <w:p>
            <w:pPr>
              <w:spacing w:after="0"/>
              <w:rPr>
                <w:sz w:val="14"/>
                <w:szCs w:val="14"/>
                <w:color w:val="auto"/>
              </w:rPr>
            </w:pPr>
          </w:p>
        </w:tc>
        <w:tc>
          <w:tcPr>
            <w:tcW w:w="3560" w:type="dxa"/>
            <w:vAlign w:val="bottom"/>
          </w:tcPr>
          <w:p>
            <w:pPr>
              <w:jc w:val="center"/>
              <w:ind w:left="3215"/>
              <w:spacing w:after="0"/>
              <w:rPr>
                <w:sz w:val="20"/>
                <w:szCs w:val="20"/>
                <w:color w:val="auto"/>
              </w:rPr>
            </w:pPr>
            <w:r>
              <w:rPr>
                <w:rFonts w:ascii="Arial" w:cs="Arial" w:eastAsia="Arial" w:hAnsi="Arial"/>
                <w:sz w:val="13"/>
                <w:szCs w:val="13"/>
                <w:color w:val="0000FF"/>
                <w:w w:val="80"/>
              </w:rPr>
              <w:t>Share</w:t>
            </w:r>
          </w:p>
        </w:tc>
        <w:tc>
          <w:tcPr>
            <w:tcW w:w="0" w:type="dxa"/>
            <w:vAlign w:val="bottom"/>
          </w:tcPr>
          <w:p>
            <w:pPr>
              <w:spacing w:after="0"/>
              <w:rPr>
                <w:sz w:val="1"/>
                <w:szCs w:val="1"/>
                <w:color w:val="auto"/>
              </w:rPr>
            </w:pPr>
          </w:p>
        </w:tc>
      </w:tr>
    </w:tbl>
    <w:p>
      <w:pPr>
        <w:spacing w:after="0" w:line="8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562 shares for the period ended June 30, 2021, and 376 shares for the period ended December 31, 2021, that were acquired under the Schlumberger discounted stock purchase plan.</w:t>
      </w:r>
    </w:p>
    <w:p>
      <w:pPr>
        <w:spacing w:after="0" w:line="56"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represents the right to receive, at settlement, one (1) share of common stock.</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restricted stock unit award was granted January 19, 2017 and vested 60% on January 19, 2020 and 20% on January 19, 2021. The remaining restricted stock unit award vested on January 19, 2022.</w:t>
      </w:r>
    </w:p>
    <w:p>
      <w:pPr>
        <w:spacing w:after="0" w:line="56" w:lineRule="exact"/>
        <w:rPr>
          <w:rFonts w:ascii="Arial" w:cs="Arial" w:eastAsia="Arial" w:hAnsi="Arial"/>
          <w:sz w:val="12"/>
          <w:szCs w:val="12"/>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restricted stock unit award was granted January 19, 2022 and vests 100% on January 19, 2025.</w:t>
      </w:r>
    </w:p>
    <w:p>
      <w:pPr>
        <w:spacing w:after="0" w:line="33"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9"/>
              </w:rPr>
              <w:t>/s/ Samantha Blons, Attorney-</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01/21/2022</w:t>
            </w:r>
          </w:p>
        </w:tc>
        <w:tc>
          <w:tcPr>
            <w:tcW w:w="0" w:type="dxa"/>
            <w:vAlign w:val="bottom"/>
          </w:tcPr>
          <w:p>
            <w:pPr>
              <w:spacing w:after="0"/>
              <w:rPr>
                <w:sz w:val="1"/>
                <w:szCs w:val="1"/>
                <w:color w:val="auto"/>
              </w:rPr>
            </w:pPr>
          </w:p>
        </w:tc>
      </w:tr>
      <w:tr>
        <w:trPr>
          <w:trHeight w:val="89"/>
        </w:trPr>
        <w:tc>
          <w:tcPr>
            <w:tcW w:w="480" w:type="dxa"/>
            <w:vAlign w:val="bottom"/>
            <w:vMerge w:val="restart"/>
          </w:tcPr>
          <w:p>
            <w:pPr>
              <w:spacing w:after="0" w:line="188" w:lineRule="exact"/>
              <w:rPr>
                <w:sz w:val="20"/>
                <w:szCs w:val="20"/>
                <w:color w:val="auto"/>
              </w:rPr>
            </w:pPr>
            <w:r>
              <w:rPr>
                <w:rFonts w:ascii="Arial" w:cs="Arial" w:eastAsia="Arial" w:hAnsi="Arial"/>
                <w:sz w:val="17"/>
                <w:szCs w:val="17"/>
                <w:color w:val="0000FF"/>
                <w:w w:val="88"/>
              </w:rPr>
              <w:t>in-Fact</w:t>
            </w:r>
          </w:p>
        </w:tc>
        <w:tc>
          <w:tcPr>
            <w:tcW w:w="172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60" w:firstLine="3"/>
        <w:spacing w:after="0" w:line="336"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2"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SCHLUMBERGER LIMITED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199" w:lineRule="exact"/>
        <w:rPr>
          <w:sz w:val="20"/>
          <w:szCs w:val="20"/>
          <w:color w:val="auto"/>
        </w:rPr>
      </w:pPr>
    </w:p>
    <w:p>
      <w:pPr>
        <w:ind w:right="4219" w:firstLine="708"/>
        <w:spacing w:after="0" w:line="257" w:lineRule="auto"/>
        <w:rPr>
          <w:sz w:val="20"/>
          <w:szCs w:val="20"/>
          <w:color w:val="auto"/>
        </w:rPr>
      </w:pPr>
      <w:r>
        <w:rPr>
          <w:rFonts w:ascii="Courier New" w:cs="Courier New" w:eastAsia="Courier New" w:hAnsi="Courier New"/>
          <w:sz w:val="16"/>
          <w:szCs w:val="16"/>
          <w:color w:val="auto"/>
        </w:rPr>
        <w:t>The undersigned, in his capacity as a director or officer, or both, of Schlumberger Limited, a Curacao corporation (the "Company"), does hereby appoint each of Dianne B. Ralston, Samantha Blons, and LaToyia Tilley, or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6" w:lineRule="exact"/>
        <w:rPr>
          <w:sz w:val="20"/>
          <w:szCs w:val="20"/>
          <w:color w:val="auto"/>
        </w:rPr>
      </w:pPr>
    </w:p>
    <w:p>
      <w:pPr>
        <w:ind w:right="4019"/>
        <w:spacing w:after="0" w:line="242" w:lineRule="auto"/>
        <w:rPr>
          <w:sz w:val="20"/>
          <w:szCs w:val="20"/>
          <w:color w:val="auto"/>
        </w:rPr>
      </w:pPr>
      <w:r>
        <w:rPr>
          <w:rFonts w:ascii="Courier New" w:cs="Courier New" w:eastAsia="Courier New" w:hAnsi="Courier New"/>
          <w:sz w:val="17"/>
          <w:szCs w:val="17"/>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96"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This Power of Attorney supersedes any and 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prior and existing powers of attorney signed by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 with respect to the subject matter hereof, and</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shall remain in full force and effect until the undersigned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 no longer required to file Forms 3, 4, 5 or 144 with</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respect to the undersigneds holdings of and transactions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securities issued by the Company, unless earlier revoked</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the undersigned in a signed writing delivered to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foregoing attorneys-in-fact.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June 4, 2021</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Pierre Chereque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Pierre Chereque</w:t>
      </w:r>
    </w:p>
    <w:sectPr>
      <w:pgSz w:w="11900" w:h="16838" w:orient="portrait"/>
      <w:cols w:equalWidth="0" w:num="1">
        <w:col w:w="9999"/>
      </w:cols>
      <w:pgMar w:left="46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8949"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2022-01-21T19:25:04Z</dcterms:created>
  <dcterms:modified xsi:type="dcterms:W3CDTF">2022-01-21T19:25:04Z</dcterms:modified>
</cp:coreProperties>
</file>