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CE FRANKLIN LTD.</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no par value per share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125151100</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Michael McGuinty</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5599 San Felipe, 17</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(713) 375-3400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August 27, 2010</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1" w:lineRule="exact"/>
        <w:rPr>
          <w:sz w:val="24"/>
          <w:szCs w:val="24"/>
          <w:color w:val="auto"/>
        </w:rPr>
      </w:pPr>
    </w:p>
    <w:p>
      <w:pPr>
        <w:ind w:right="240"/>
        <w:spacing w:after="0" w:line="275"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66" w:lineRule="exact"/>
        <w:rPr>
          <w:sz w:val="24"/>
          <w:szCs w:val="24"/>
          <w:color w:val="auto"/>
        </w:rPr>
      </w:pPr>
    </w:p>
    <w:p>
      <w:pPr>
        <w:ind w:left="22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p>
      <w:pPr>
        <w:spacing w:after="0"/>
        <w:tabs>
          <w:tab w:leader="none" w:pos="5300" w:val="left"/>
          <w:tab w:leader="none" w:pos="10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b w:val="1"/>
          <w:bCs w:val="1"/>
          <w:color w:val="auto"/>
        </w:rPr>
        <w:t>125151100</w:t>
      </w:r>
      <w:r>
        <w:rPr>
          <w:sz w:val="20"/>
          <w:szCs w:val="20"/>
          <w:color w:val="auto"/>
        </w:rPr>
        <w:tab/>
      </w: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54875" cy="5969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969000"/>
                    </a:xfrm>
                    <a:prstGeom prst="rect">
                      <a:avLst/>
                    </a:prstGeom>
                    <a:noFill/>
                  </pic:spPr>
                </pic:pic>
              </a:graphicData>
            </a:graphic>
          </wp:anchor>
        </w:drawing>
      </w:r>
    </w:p>
    <w:p>
      <w:pPr>
        <w:spacing w:after="0" w:line="157" w:lineRule="exact"/>
        <w:rPr>
          <w:sz w:val="20"/>
          <w:szCs w:val="20"/>
          <w:color w:val="auto"/>
        </w:rPr>
      </w:pPr>
    </w:p>
    <w:p>
      <w:pPr>
        <w:ind w:left="560" w:hanging="343"/>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1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SCHLUMBERGER N.V. (SCHLUMBERGER LIMITED)</w:t>
      </w:r>
    </w:p>
    <w:p>
      <w:pPr>
        <w:spacing w:after="0" w:line="36" w:lineRule="exact"/>
        <w:rPr>
          <w:rFonts w:ascii="Arial" w:cs="Arial" w:eastAsia="Arial" w:hAnsi="Arial"/>
          <w:sz w:val="18"/>
          <w:szCs w:val="18"/>
          <w:color w:val="auto"/>
        </w:rPr>
      </w:pPr>
    </w:p>
    <w:p>
      <w:pPr>
        <w:ind w:left="560" w:hanging="343"/>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79" w:lineRule="exact"/>
        <w:rPr>
          <w:rFonts w:ascii="Arial" w:cs="Arial" w:eastAsia="Arial" w:hAnsi="Arial"/>
          <w:sz w:val="18"/>
          <w:szCs w:val="18"/>
          <w:color w:val="auto"/>
        </w:rPr>
      </w:pPr>
    </w:p>
    <w:p>
      <w:pPr>
        <w:ind w:left="840" w:hanging="278"/>
        <w:spacing w:after="0" w:line="207" w:lineRule="exact"/>
        <w:tabs>
          <w:tab w:leader="none" w:pos="84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0" w:lineRule="exact"/>
        <w:rPr>
          <w:rFonts w:ascii="Arial" w:cs="Arial" w:eastAsia="Arial" w:hAnsi="Arial"/>
          <w:sz w:val="18"/>
          <w:szCs w:val="18"/>
          <w:color w:val="auto"/>
        </w:rPr>
      </w:pPr>
    </w:p>
    <w:p>
      <w:pPr>
        <w:ind w:left="860" w:hanging="298"/>
        <w:spacing w:after="0" w:line="207" w:lineRule="exact"/>
        <w:tabs>
          <w:tab w:leader="none" w:pos="8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8" w:lineRule="exact"/>
        <w:rPr>
          <w:rFonts w:ascii="Arial" w:cs="Arial" w:eastAsia="Arial" w:hAnsi="Arial"/>
          <w:sz w:val="18"/>
          <w:szCs w:val="18"/>
          <w:color w:val="auto"/>
        </w:rPr>
      </w:pPr>
    </w:p>
    <w:p>
      <w:pPr>
        <w:ind w:left="560" w:hanging="343"/>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560" w:right="9760" w:hanging="343"/>
        <w:spacing w:after="0" w:line="431" w:lineRule="auto"/>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Source of funds OO, WC</w:t>
      </w:r>
    </w:p>
    <w:p>
      <w:pPr>
        <w:ind w:left="560" w:hanging="343"/>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172" w:lineRule="exact"/>
        <w:rPr>
          <w:sz w:val="20"/>
          <w:szCs w:val="20"/>
          <w:color w:val="auto"/>
        </w:rPr>
      </w:pPr>
    </w:p>
    <w:p>
      <w:pPr>
        <w:ind w:left="560"/>
        <w:spacing w:after="0" w:line="221" w:lineRule="exact"/>
        <w:rPr>
          <w:sz w:val="20"/>
          <w:szCs w:val="20"/>
          <w:color w:val="auto"/>
        </w:rPr>
      </w:pPr>
      <w:r>
        <w:rPr>
          <w:rFonts w:ascii="MS PGothic" w:cs="MS PGothic" w:eastAsia="MS PGothic" w:hAnsi="MS PGothic"/>
          <w:sz w:val="22"/>
          <w:szCs w:val="22"/>
          <w:color w:val="auto"/>
        </w:rPr>
        <w:t>☐</w:t>
      </w:r>
    </w:p>
    <w:p>
      <w:pPr>
        <w:spacing w:after="0" w:line="117" w:lineRule="exact"/>
        <w:rPr>
          <w:sz w:val="20"/>
          <w:szCs w:val="20"/>
          <w:color w:val="auto"/>
        </w:rPr>
      </w:pPr>
    </w:p>
    <w:p>
      <w:pPr>
        <w:ind w:left="560" w:right="8360" w:hanging="343"/>
        <w:spacing w:after="0" w:line="375"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Curaçao</w:t>
      </w:r>
    </w:p>
    <w:p>
      <w:pPr>
        <w:ind w:left="1680" w:hanging="355"/>
        <w:spacing w:after="0"/>
        <w:tabs>
          <w:tab w:leader="none" w:pos="1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90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Borders>
              <w:bottom w:val="single" w:sz="8" w:color="auto"/>
            </w:tcBorders>
          </w:tcPr>
          <w:p>
            <w:pPr>
              <w:spacing w:after="0"/>
              <w:rPr>
                <w:sz w:val="20"/>
                <w:szCs w:val="20"/>
                <w:color w:val="auto"/>
              </w:rPr>
            </w:pPr>
          </w:p>
        </w:tc>
        <w:tc>
          <w:tcPr>
            <w:tcW w:w="9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9,729,582</w:t>
            </w:r>
          </w:p>
        </w:tc>
        <w:tc>
          <w:tcPr>
            <w:tcW w:w="0" w:type="dxa"/>
            <w:vAlign w:val="bottom"/>
          </w:tcPr>
          <w:p>
            <w:pPr>
              <w:spacing w:after="0"/>
              <w:rPr>
                <w:sz w:val="1"/>
                <w:szCs w:val="1"/>
                <w:color w:val="auto"/>
              </w:rPr>
            </w:pPr>
          </w:p>
        </w:tc>
      </w:tr>
      <w:tr>
        <w:trPr>
          <w:trHeight w:val="201"/>
        </w:trPr>
        <w:tc>
          <w:tcPr>
            <w:tcW w:w="900" w:type="dxa"/>
            <w:vAlign w:val="bottom"/>
          </w:tcPr>
          <w:p>
            <w:pPr>
              <w:jc w:val="center"/>
              <w:ind w:right="12"/>
              <w:spacing w:after="0" w:line="201" w:lineRule="exact"/>
              <w:rPr>
                <w:sz w:val="20"/>
                <w:szCs w:val="20"/>
                <w:color w:val="auto"/>
              </w:rPr>
            </w:pPr>
            <w:r>
              <w:rPr>
                <w:rFonts w:ascii="Arial" w:cs="Arial" w:eastAsia="Arial" w:hAnsi="Arial"/>
                <w:sz w:val="18"/>
                <w:szCs w:val="18"/>
                <w:color w:val="auto"/>
                <w:w w:val="81"/>
              </w:rPr>
              <w:t>shares</w:t>
            </w: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(8)</w:t>
            </w:r>
          </w:p>
        </w:tc>
        <w:tc>
          <w:tcPr>
            <w:tcW w:w="9840" w:type="dxa"/>
            <w:vAlign w:val="bottom"/>
          </w:tcPr>
          <w:p>
            <w:pPr>
              <w:ind w:left="8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2"/>
              </w:rPr>
              <w:t>beneficially</w:t>
            </w:r>
          </w:p>
        </w:tc>
        <w:tc>
          <w:tcPr>
            <w:tcW w:w="480" w:type="dxa"/>
            <w:vAlign w:val="bottom"/>
          </w:tcPr>
          <w:p>
            <w:pPr>
              <w:spacing w:after="0"/>
              <w:rPr>
                <w:sz w:val="18"/>
                <w:szCs w:val="18"/>
                <w:color w:val="auto"/>
              </w:rPr>
            </w:pPr>
          </w:p>
        </w:tc>
        <w:tc>
          <w:tcPr>
            <w:tcW w:w="984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900" w:type="dxa"/>
            <w:vAlign w:val="bottom"/>
          </w:tcPr>
          <w:p>
            <w:pPr>
              <w:jc w:val="center"/>
              <w:spacing w:after="0"/>
              <w:rPr>
                <w:sz w:val="20"/>
                <w:szCs w:val="20"/>
                <w:color w:val="auto"/>
              </w:rPr>
            </w:pPr>
            <w:r>
              <w:rPr>
                <w:rFonts w:ascii="Arial" w:cs="Arial" w:eastAsia="Arial" w:hAnsi="Arial"/>
                <w:sz w:val="18"/>
                <w:szCs w:val="18"/>
                <w:color w:val="auto"/>
                <w:w w:val="90"/>
              </w:rPr>
              <w:t>owned by</w:t>
            </w:r>
          </w:p>
        </w:tc>
        <w:tc>
          <w:tcPr>
            <w:tcW w:w="480" w:type="dxa"/>
            <w:vAlign w:val="bottom"/>
            <w:tcBorders>
              <w:bottom w:val="single" w:sz="8" w:color="auto"/>
            </w:tcBorders>
          </w:tcPr>
          <w:p>
            <w:pPr>
              <w:spacing w:after="0"/>
              <w:rPr>
                <w:sz w:val="19"/>
                <w:szCs w:val="19"/>
                <w:color w:val="auto"/>
              </w:rPr>
            </w:pPr>
          </w:p>
        </w:tc>
        <w:tc>
          <w:tcPr>
            <w:tcW w:w="9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00" w:type="dxa"/>
            <w:vAlign w:val="bottom"/>
          </w:tcPr>
          <w:p>
            <w:pPr>
              <w:jc w:val="center"/>
              <w:spacing w:after="0" w:line="190" w:lineRule="exact"/>
              <w:rPr>
                <w:sz w:val="20"/>
                <w:szCs w:val="20"/>
                <w:color w:val="auto"/>
              </w:rPr>
            </w:pPr>
            <w:r>
              <w:rPr>
                <w:rFonts w:ascii="Arial" w:cs="Arial" w:eastAsia="Arial" w:hAnsi="Arial"/>
                <w:sz w:val="18"/>
                <w:szCs w:val="18"/>
                <w:color w:val="auto"/>
                <w:w w:val="86"/>
              </w:rPr>
              <w:t>each</w:t>
            </w:r>
          </w:p>
        </w:tc>
        <w:tc>
          <w:tcPr>
            <w:tcW w:w="480" w:type="dxa"/>
            <w:vAlign w:val="bottom"/>
          </w:tcPr>
          <w:p>
            <w:pPr>
              <w:jc w:val="right"/>
              <w:spacing w:after="0" w:line="190" w:lineRule="exact"/>
              <w:rPr>
                <w:sz w:val="20"/>
                <w:szCs w:val="20"/>
                <w:color w:val="auto"/>
              </w:rPr>
            </w:pPr>
            <w:r>
              <w:rPr>
                <w:rFonts w:ascii="Arial" w:cs="Arial" w:eastAsia="Arial" w:hAnsi="Arial"/>
                <w:sz w:val="18"/>
                <w:szCs w:val="18"/>
                <w:color w:val="auto"/>
              </w:rPr>
              <w:t>(9)</w:t>
            </w:r>
          </w:p>
        </w:tc>
        <w:tc>
          <w:tcPr>
            <w:tcW w:w="98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3"/>
              </w:rPr>
              <w:t>person</w:t>
            </w:r>
          </w:p>
        </w:tc>
        <w:tc>
          <w:tcPr>
            <w:tcW w:w="480" w:type="dxa"/>
            <w:vAlign w:val="bottom"/>
          </w:tcPr>
          <w:p>
            <w:pPr>
              <w:spacing w:after="0"/>
              <w:rPr>
                <w:sz w:val="18"/>
                <w:szCs w:val="18"/>
                <w:color w:val="auto"/>
              </w:rPr>
            </w:pPr>
          </w:p>
        </w:tc>
        <w:tc>
          <w:tcPr>
            <w:tcW w:w="9840" w:type="dxa"/>
            <w:vAlign w:val="bottom"/>
          </w:tcPr>
          <w:p>
            <w:pPr>
              <w:ind w:left="80"/>
              <w:spacing w:after="0"/>
              <w:rPr>
                <w:sz w:val="20"/>
                <w:szCs w:val="20"/>
                <w:color w:val="auto"/>
              </w:rPr>
            </w:pPr>
            <w:r>
              <w:rPr>
                <w:rFonts w:ascii="Arial" w:cs="Arial" w:eastAsia="Arial" w:hAnsi="Arial"/>
                <w:sz w:val="18"/>
                <w:szCs w:val="18"/>
                <w:color w:val="auto"/>
              </w:rPr>
              <w:t>9,729,582</w:t>
            </w:r>
          </w:p>
        </w:tc>
        <w:tc>
          <w:tcPr>
            <w:tcW w:w="0" w:type="dxa"/>
            <w:vAlign w:val="bottom"/>
          </w:tcPr>
          <w:p>
            <w:pPr>
              <w:spacing w:after="0"/>
              <w:rPr>
                <w:sz w:val="1"/>
                <w:szCs w:val="1"/>
                <w:color w:val="auto"/>
              </w:rPr>
            </w:pPr>
          </w:p>
        </w:tc>
      </w:tr>
      <w:tr>
        <w:trPr>
          <w:trHeight w:val="22"/>
        </w:trPr>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3"/>
              </w:rPr>
              <w:t>with</w:t>
            </w:r>
          </w:p>
        </w:tc>
        <w:tc>
          <w:tcPr>
            <w:tcW w:w="480" w:type="dxa"/>
            <w:vAlign w:val="bottom"/>
            <w:tcBorders>
              <w:bottom w:val="single" w:sz="8" w:color="auto"/>
            </w:tcBorders>
          </w:tcPr>
          <w:p>
            <w:pPr>
              <w:spacing w:after="0" w:line="20" w:lineRule="exact"/>
              <w:rPr>
                <w:sz w:val="1"/>
                <w:szCs w:val="1"/>
                <w:color w:val="auto"/>
              </w:rPr>
            </w:pPr>
          </w:p>
        </w:tc>
        <w:tc>
          <w:tcPr>
            <w:tcW w:w="9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560" w:right="6400" w:hanging="430"/>
        <w:spacing w:after="0" w:line="383"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9,729,582</w:t>
      </w:r>
      <w:r>
        <w:rPr>
          <w:rFonts w:ascii="Arial" w:cs="Arial" w:eastAsia="Arial" w:hAnsi="Arial"/>
          <w:sz w:val="11"/>
          <w:szCs w:val="11"/>
          <w:color w:val="auto"/>
        </w:rPr>
        <w:t>1</w:t>
      </w:r>
    </w:p>
    <w:p>
      <w:pPr>
        <w:spacing w:after="0" w:line="1" w:lineRule="exact"/>
        <w:rPr>
          <w:rFonts w:ascii="Arial" w:cs="Arial" w:eastAsia="Arial" w:hAnsi="Arial"/>
          <w:sz w:val="18"/>
          <w:szCs w:val="18"/>
          <w:color w:val="auto"/>
        </w:rPr>
      </w:pPr>
    </w:p>
    <w:p>
      <w:pPr>
        <w:ind w:left="560" w:hanging="430"/>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79" w:lineRule="exact"/>
        <w:rPr>
          <w:rFonts w:ascii="Arial" w:cs="Arial" w:eastAsia="Arial" w:hAnsi="Arial"/>
          <w:sz w:val="18"/>
          <w:szCs w:val="18"/>
          <w:color w:val="auto"/>
        </w:rPr>
      </w:pPr>
    </w:p>
    <w:p>
      <w:pPr>
        <w:ind w:left="5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5" w:lineRule="exact"/>
        <w:rPr>
          <w:rFonts w:ascii="Arial" w:cs="Arial" w:eastAsia="Arial" w:hAnsi="Arial"/>
          <w:sz w:val="18"/>
          <w:szCs w:val="18"/>
          <w:color w:val="auto"/>
        </w:rPr>
      </w:pPr>
    </w:p>
    <w:p>
      <w:pPr>
        <w:ind w:left="560" w:right="7240" w:hanging="430"/>
        <w:spacing w:after="0" w:line="383"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55.7%</w:t>
      </w:r>
      <w:r>
        <w:rPr>
          <w:rFonts w:ascii="Arial" w:cs="Arial" w:eastAsia="Arial" w:hAnsi="Arial"/>
          <w:sz w:val="11"/>
          <w:szCs w:val="11"/>
          <w:color w:val="auto"/>
        </w:rPr>
        <w:t>2</w:t>
      </w:r>
    </w:p>
    <w:p>
      <w:pPr>
        <w:spacing w:after="0" w:line="1" w:lineRule="exact"/>
        <w:rPr>
          <w:rFonts w:ascii="Arial" w:cs="Arial" w:eastAsia="Arial" w:hAnsi="Arial"/>
          <w:sz w:val="18"/>
          <w:szCs w:val="18"/>
          <w:color w:val="auto"/>
        </w:rPr>
      </w:pPr>
    </w:p>
    <w:p>
      <w:pPr>
        <w:ind w:left="560" w:right="9140" w:hanging="430"/>
        <w:spacing w:after="0" w:line="489"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HC, OO</w:t>
      </w:r>
    </w:p>
    <w:p>
      <w:pPr>
        <w:sectPr>
          <w:pgSz w:w="11900" w:h="16838" w:orient="portrait"/>
          <w:cols w:equalWidth="0" w:num="1">
            <w:col w:w="11440"/>
          </w:cols>
          <w:pgMar w:left="240" w:top="274" w:right="219" w:bottom="1440" w:gutter="0" w:footer="0" w:header="0"/>
        </w:sectPr>
      </w:pPr>
    </w:p>
    <w:p>
      <w:pPr>
        <w:spacing w:after="0"/>
        <w:rPr>
          <w:sz w:val="20"/>
          <w:szCs w:val="20"/>
          <w:color w:val="auto"/>
        </w:rPr>
      </w:pPr>
      <w:r>
        <w:rPr>
          <w:rFonts w:ascii="Arial" w:cs="Arial" w:eastAsia="Arial" w:hAnsi="Arial"/>
          <w:sz w:val="10"/>
          <w:szCs w:val="10"/>
          <w:color w:val="auto"/>
        </w:rPr>
        <w:t>1</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Such shares are held by Wilson Distribution Holdings, LLC, an indirect wholly-owned subsidiary of the reporting person.</w:t>
      </w:r>
    </w:p>
    <w:p>
      <w:pPr>
        <w:spacing w:after="0" w:line="1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Based upon the number of shares of common stock outstanding as reflected in the Issuer’s Annual Report on Form 20-F for the year ended December 31, 2010.</w:t>
      </w:r>
    </w:p>
    <w:p>
      <w:pPr>
        <w:sectPr>
          <w:pgSz w:w="11900" w:h="16838" w:orient="portrait"/>
          <w:cols w:equalWidth="0" w:num="2">
            <w:col w:w="60" w:space="400"/>
            <w:col w:w="10980"/>
          </w:cols>
          <w:pgMar w:left="240" w:top="274" w:right="219" w:bottom="1440" w:gutter="0" w:footer="0" w:header="0"/>
          <w:type w:val="continuous"/>
        </w:sectPr>
      </w:pPr>
    </w:p>
    <w:bookmarkStart w:id="2" w:name="page3"/>
    <w:bookmarkEnd w:id="2"/>
    <w:p>
      <w:pPr>
        <w:spacing w:after="0"/>
        <w:tabs>
          <w:tab w:leader="none" w:pos="514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b w:val="1"/>
          <w:bCs w:val="1"/>
          <w:color w:val="auto"/>
        </w:rPr>
        <w:t>125151100</w:t>
      </w:r>
      <w:r>
        <w:rPr>
          <w:sz w:val="20"/>
          <w:szCs w:val="20"/>
          <w:color w:val="auto"/>
        </w:rPr>
        <w:tab/>
      </w: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3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54875" cy="5960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960110"/>
                    </a:xfrm>
                    <a:prstGeom prst="rect">
                      <a:avLst/>
                    </a:prstGeom>
                    <a:noFill/>
                  </pic:spPr>
                </pic:pic>
              </a:graphicData>
            </a:graphic>
          </wp:anchor>
        </w:drawing>
      </w:r>
    </w:p>
    <w:p>
      <w:pPr>
        <w:spacing w:after="0" w:line="90" w:lineRule="exact"/>
        <w:rPr>
          <w:sz w:val="20"/>
          <w:szCs w:val="20"/>
          <w:color w:val="auto"/>
        </w:rPr>
      </w:pPr>
    </w:p>
    <w:p>
      <w:pPr>
        <w:ind w:left="560" w:hanging="343"/>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1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SMITH INTERNATIONAL, INC.</w:t>
      </w:r>
    </w:p>
    <w:p>
      <w:pPr>
        <w:spacing w:after="0" w:line="36" w:lineRule="exact"/>
        <w:rPr>
          <w:rFonts w:ascii="Arial" w:cs="Arial" w:eastAsia="Arial" w:hAnsi="Arial"/>
          <w:sz w:val="18"/>
          <w:szCs w:val="18"/>
          <w:color w:val="auto"/>
        </w:rPr>
      </w:pPr>
    </w:p>
    <w:p>
      <w:pPr>
        <w:ind w:left="560" w:hanging="343"/>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57" w:lineRule="exact"/>
        <w:rPr>
          <w:rFonts w:ascii="Arial" w:cs="Arial" w:eastAsia="Arial" w:hAnsi="Arial"/>
          <w:sz w:val="18"/>
          <w:szCs w:val="18"/>
          <w:color w:val="auto"/>
        </w:rPr>
      </w:pPr>
    </w:p>
    <w:p>
      <w:pPr>
        <w:ind w:left="840" w:hanging="278"/>
        <w:spacing w:after="0" w:line="207" w:lineRule="exact"/>
        <w:tabs>
          <w:tab w:leader="none" w:pos="84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0" w:lineRule="exact"/>
        <w:rPr>
          <w:rFonts w:ascii="Arial" w:cs="Arial" w:eastAsia="Arial" w:hAnsi="Arial"/>
          <w:sz w:val="18"/>
          <w:szCs w:val="18"/>
          <w:color w:val="auto"/>
        </w:rPr>
      </w:pPr>
    </w:p>
    <w:p>
      <w:pPr>
        <w:ind w:left="860" w:hanging="298"/>
        <w:spacing w:after="0" w:line="207" w:lineRule="exact"/>
        <w:tabs>
          <w:tab w:leader="none" w:pos="8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7" w:lineRule="exact"/>
        <w:rPr>
          <w:rFonts w:ascii="Arial" w:cs="Arial" w:eastAsia="Arial" w:hAnsi="Arial"/>
          <w:sz w:val="18"/>
          <w:szCs w:val="18"/>
          <w:color w:val="auto"/>
        </w:rPr>
      </w:pPr>
    </w:p>
    <w:p>
      <w:pPr>
        <w:ind w:left="560" w:hanging="343"/>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560" w:right="9760" w:hanging="343"/>
        <w:spacing w:after="0" w:line="431" w:lineRule="auto"/>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Source of funds WC, OO</w:t>
      </w:r>
    </w:p>
    <w:p>
      <w:pPr>
        <w:ind w:left="560" w:hanging="343"/>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179" w:lineRule="exact"/>
        <w:rPr>
          <w:rFonts w:ascii="Arial" w:cs="Arial" w:eastAsia="Arial" w:hAnsi="Arial"/>
          <w:sz w:val="18"/>
          <w:szCs w:val="18"/>
          <w:color w:val="auto"/>
        </w:rPr>
      </w:pPr>
    </w:p>
    <w:p>
      <w:pPr>
        <w:ind w:left="5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5" w:lineRule="exact"/>
        <w:rPr>
          <w:rFonts w:ascii="Arial" w:cs="Arial" w:eastAsia="Arial" w:hAnsi="Arial"/>
          <w:sz w:val="18"/>
          <w:szCs w:val="18"/>
          <w:color w:val="auto"/>
        </w:rPr>
      </w:pPr>
    </w:p>
    <w:p>
      <w:pPr>
        <w:ind w:left="560" w:hanging="343"/>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680" w:hanging="355"/>
        <w:spacing w:after="0"/>
        <w:tabs>
          <w:tab w:leader="none" w:pos="16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90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Borders>
              <w:bottom w:val="single" w:sz="8" w:color="auto"/>
            </w:tcBorders>
          </w:tcPr>
          <w:p>
            <w:pPr>
              <w:spacing w:after="0"/>
              <w:rPr>
                <w:sz w:val="20"/>
                <w:szCs w:val="20"/>
                <w:color w:val="auto"/>
              </w:rPr>
            </w:pPr>
          </w:p>
        </w:tc>
        <w:tc>
          <w:tcPr>
            <w:tcW w:w="9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9,729,582</w:t>
            </w:r>
          </w:p>
        </w:tc>
        <w:tc>
          <w:tcPr>
            <w:tcW w:w="0" w:type="dxa"/>
            <w:vAlign w:val="bottom"/>
          </w:tcPr>
          <w:p>
            <w:pPr>
              <w:spacing w:after="0"/>
              <w:rPr>
                <w:sz w:val="1"/>
                <w:szCs w:val="1"/>
                <w:color w:val="auto"/>
              </w:rPr>
            </w:pPr>
          </w:p>
        </w:tc>
      </w:tr>
      <w:tr>
        <w:trPr>
          <w:trHeight w:val="201"/>
        </w:trPr>
        <w:tc>
          <w:tcPr>
            <w:tcW w:w="900" w:type="dxa"/>
            <w:vAlign w:val="bottom"/>
          </w:tcPr>
          <w:p>
            <w:pPr>
              <w:jc w:val="center"/>
              <w:ind w:right="12"/>
              <w:spacing w:after="0" w:line="201" w:lineRule="exact"/>
              <w:rPr>
                <w:sz w:val="20"/>
                <w:szCs w:val="20"/>
                <w:color w:val="auto"/>
              </w:rPr>
            </w:pPr>
            <w:r>
              <w:rPr>
                <w:rFonts w:ascii="Arial" w:cs="Arial" w:eastAsia="Arial" w:hAnsi="Arial"/>
                <w:sz w:val="18"/>
                <w:szCs w:val="18"/>
                <w:color w:val="auto"/>
                <w:w w:val="81"/>
              </w:rPr>
              <w:t>shares</w:t>
            </w: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(8)</w:t>
            </w:r>
          </w:p>
        </w:tc>
        <w:tc>
          <w:tcPr>
            <w:tcW w:w="9840" w:type="dxa"/>
            <w:vAlign w:val="bottom"/>
          </w:tcPr>
          <w:p>
            <w:pPr>
              <w:ind w:left="8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2"/>
              </w:rPr>
              <w:t>beneficially</w:t>
            </w:r>
          </w:p>
        </w:tc>
        <w:tc>
          <w:tcPr>
            <w:tcW w:w="480" w:type="dxa"/>
            <w:vAlign w:val="bottom"/>
          </w:tcPr>
          <w:p>
            <w:pPr>
              <w:spacing w:after="0"/>
              <w:rPr>
                <w:sz w:val="18"/>
                <w:szCs w:val="18"/>
                <w:color w:val="auto"/>
              </w:rPr>
            </w:pPr>
          </w:p>
        </w:tc>
        <w:tc>
          <w:tcPr>
            <w:tcW w:w="984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900" w:type="dxa"/>
            <w:vAlign w:val="bottom"/>
          </w:tcPr>
          <w:p>
            <w:pPr>
              <w:jc w:val="center"/>
              <w:spacing w:after="0"/>
              <w:rPr>
                <w:sz w:val="20"/>
                <w:szCs w:val="20"/>
                <w:color w:val="auto"/>
              </w:rPr>
            </w:pPr>
            <w:r>
              <w:rPr>
                <w:rFonts w:ascii="Arial" w:cs="Arial" w:eastAsia="Arial" w:hAnsi="Arial"/>
                <w:sz w:val="18"/>
                <w:szCs w:val="18"/>
                <w:color w:val="auto"/>
                <w:w w:val="90"/>
              </w:rPr>
              <w:t>owned by</w:t>
            </w:r>
          </w:p>
        </w:tc>
        <w:tc>
          <w:tcPr>
            <w:tcW w:w="480" w:type="dxa"/>
            <w:vAlign w:val="bottom"/>
            <w:tcBorders>
              <w:bottom w:val="single" w:sz="8" w:color="auto"/>
            </w:tcBorders>
          </w:tcPr>
          <w:p>
            <w:pPr>
              <w:spacing w:after="0"/>
              <w:rPr>
                <w:sz w:val="19"/>
                <w:szCs w:val="19"/>
                <w:color w:val="auto"/>
              </w:rPr>
            </w:pPr>
          </w:p>
        </w:tc>
        <w:tc>
          <w:tcPr>
            <w:tcW w:w="9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00" w:type="dxa"/>
            <w:vAlign w:val="bottom"/>
          </w:tcPr>
          <w:p>
            <w:pPr>
              <w:jc w:val="center"/>
              <w:spacing w:after="0" w:line="190" w:lineRule="exact"/>
              <w:rPr>
                <w:sz w:val="20"/>
                <w:szCs w:val="20"/>
                <w:color w:val="auto"/>
              </w:rPr>
            </w:pPr>
            <w:r>
              <w:rPr>
                <w:rFonts w:ascii="Arial" w:cs="Arial" w:eastAsia="Arial" w:hAnsi="Arial"/>
                <w:sz w:val="18"/>
                <w:szCs w:val="18"/>
                <w:color w:val="auto"/>
                <w:w w:val="86"/>
              </w:rPr>
              <w:t>each</w:t>
            </w:r>
          </w:p>
        </w:tc>
        <w:tc>
          <w:tcPr>
            <w:tcW w:w="480" w:type="dxa"/>
            <w:vAlign w:val="bottom"/>
          </w:tcPr>
          <w:p>
            <w:pPr>
              <w:jc w:val="right"/>
              <w:spacing w:after="0" w:line="190" w:lineRule="exact"/>
              <w:rPr>
                <w:sz w:val="20"/>
                <w:szCs w:val="20"/>
                <w:color w:val="auto"/>
              </w:rPr>
            </w:pPr>
            <w:r>
              <w:rPr>
                <w:rFonts w:ascii="Arial" w:cs="Arial" w:eastAsia="Arial" w:hAnsi="Arial"/>
                <w:sz w:val="18"/>
                <w:szCs w:val="18"/>
                <w:color w:val="auto"/>
              </w:rPr>
              <w:t>(9)</w:t>
            </w:r>
          </w:p>
        </w:tc>
        <w:tc>
          <w:tcPr>
            <w:tcW w:w="98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3"/>
              </w:rPr>
              <w:t>person</w:t>
            </w:r>
          </w:p>
        </w:tc>
        <w:tc>
          <w:tcPr>
            <w:tcW w:w="480" w:type="dxa"/>
            <w:vAlign w:val="bottom"/>
          </w:tcPr>
          <w:p>
            <w:pPr>
              <w:spacing w:after="0"/>
              <w:rPr>
                <w:sz w:val="18"/>
                <w:szCs w:val="18"/>
                <w:color w:val="auto"/>
              </w:rPr>
            </w:pPr>
          </w:p>
        </w:tc>
        <w:tc>
          <w:tcPr>
            <w:tcW w:w="9840" w:type="dxa"/>
            <w:vAlign w:val="bottom"/>
          </w:tcPr>
          <w:p>
            <w:pPr>
              <w:ind w:left="80"/>
              <w:spacing w:after="0"/>
              <w:rPr>
                <w:sz w:val="20"/>
                <w:szCs w:val="20"/>
                <w:color w:val="auto"/>
              </w:rPr>
            </w:pPr>
            <w:r>
              <w:rPr>
                <w:rFonts w:ascii="Arial" w:cs="Arial" w:eastAsia="Arial" w:hAnsi="Arial"/>
                <w:sz w:val="18"/>
                <w:szCs w:val="18"/>
                <w:color w:val="auto"/>
              </w:rPr>
              <w:t>9,729,582</w:t>
            </w:r>
          </w:p>
        </w:tc>
        <w:tc>
          <w:tcPr>
            <w:tcW w:w="0" w:type="dxa"/>
            <w:vAlign w:val="bottom"/>
          </w:tcPr>
          <w:p>
            <w:pPr>
              <w:spacing w:after="0"/>
              <w:rPr>
                <w:sz w:val="1"/>
                <w:szCs w:val="1"/>
                <w:color w:val="auto"/>
              </w:rPr>
            </w:pPr>
          </w:p>
        </w:tc>
      </w:tr>
      <w:tr>
        <w:trPr>
          <w:trHeight w:val="22"/>
        </w:trPr>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3"/>
              </w:rPr>
              <w:t>with</w:t>
            </w:r>
          </w:p>
        </w:tc>
        <w:tc>
          <w:tcPr>
            <w:tcW w:w="480" w:type="dxa"/>
            <w:vAlign w:val="bottom"/>
            <w:tcBorders>
              <w:bottom w:val="single" w:sz="8" w:color="auto"/>
            </w:tcBorders>
          </w:tcPr>
          <w:p>
            <w:pPr>
              <w:spacing w:after="0" w:line="20" w:lineRule="exact"/>
              <w:rPr>
                <w:sz w:val="1"/>
                <w:szCs w:val="1"/>
                <w:color w:val="auto"/>
              </w:rPr>
            </w:pPr>
          </w:p>
        </w:tc>
        <w:tc>
          <w:tcPr>
            <w:tcW w:w="9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560" w:right="6400" w:hanging="430"/>
        <w:spacing w:after="0" w:line="383"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9,729,582</w:t>
      </w:r>
      <w:r>
        <w:rPr>
          <w:rFonts w:ascii="Arial" w:cs="Arial" w:eastAsia="Arial" w:hAnsi="Arial"/>
          <w:sz w:val="11"/>
          <w:szCs w:val="11"/>
          <w:color w:val="auto"/>
        </w:rPr>
        <w:t>3</w:t>
      </w:r>
    </w:p>
    <w:p>
      <w:pPr>
        <w:spacing w:after="0" w:line="1" w:lineRule="exact"/>
        <w:rPr>
          <w:rFonts w:ascii="Arial" w:cs="Arial" w:eastAsia="Arial" w:hAnsi="Arial"/>
          <w:sz w:val="18"/>
          <w:szCs w:val="18"/>
          <w:color w:val="auto"/>
        </w:rPr>
      </w:pPr>
    </w:p>
    <w:p>
      <w:pPr>
        <w:ind w:left="560" w:hanging="430"/>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79" w:lineRule="exact"/>
        <w:rPr>
          <w:rFonts w:ascii="Arial" w:cs="Arial" w:eastAsia="Arial" w:hAnsi="Arial"/>
          <w:sz w:val="18"/>
          <w:szCs w:val="18"/>
          <w:color w:val="auto"/>
        </w:rPr>
      </w:pPr>
    </w:p>
    <w:p>
      <w:pPr>
        <w:ind w:left="5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5" w:lineRule="exact"/>
        <w:rPr>
          <w:rFonts w:ascii="Arial" w:cs="Arial" w:eastAsia="Arial" w:hAnsi="Arial"/>
          <w:sz w:val="18"/>
          <w:szCs w:val="18"/>
          <w:color w:val="auto"/>
        </w:rPr>
      </w:pPr>
    </w:p>
    <w:p>
      <w:pPr>
        <w:ind w:left="560" w:right="7240" w:hanging="430"/>
        <w:spacing w:after="0" w:line="383"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55.7</w:t>
      </w:r>
      <w:r>
        <w:rPr>
          <w:rFonts w:ascii="Arial" w:cs="Arial" w:eastAsia="Arial" w:hAnsi="Arial"/>
          <w:sz w:val="11"/>
          <w:szCs w:val="11"/>
          <w:color w:val="auto"/>
        </w:rPr>
        <w:t>4</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560" w:right="9140" w:hanging="430"/>
        <w:spacing w:after="0" w:line="501"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HC, CO</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shares are held by Wilson Distribution Holdings, LLC, an indirect wholly-owned subsidiary of the reporting person.</w:t>
      </w:r>
    </w:p>
    <w:p>
      <w:pPr>
        <w:spacing w:after="0" w:line="15" w:lineRule="exact"/>
        <w:rPr>
          <w:sz w:val="20"/>
          <w:szCs w:val="20"/>
          <w:color w:val="auto"/>
        </w:rPr>
      </w:pPr>
    </w:p>
    <w:p>
      <w:pPr>
        <w:ind w:left="460" w:right="20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upon the number of shares of common stock outstanding as reflected in the Issuer’s Annual Report on Form 20-F for the year ended December 31, 2010.</w:t>
      </w:r>
    </w:p>
    <w:p>
      <w:pPr>
        <w:sectPr>
          <w:pgSz w:w="11900" w:h="16838" w:orient="portrait"/>
          <w:cols w:equalWidth="0" w:num="1">
            <w:col w:w="11440"/>
          </w:cols>
          <w:pgMar w:left="240" w:top="841" w:right="219" w:bottom="1440" w:gutter="0" w:footer="0" w:header="0"/>
        </w:sectPr>
      </w:pPr>
    </w:p>
    <w:bookmarkStart w:id="3" w:name="page4"/>
    <w:bookmarkEnd w:id="3"/>
    <w:p>
      <w:pPr>
        <w:spacing w:after="0"/>
        <w:tabs>
          <w:tab w:leader="none" w:pos="514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b w:val="1"/>
          <w:bCs w:val="1"/>
          <w:color w:val="auto"/>
        </w:rPr>
        <w:t>125151100</w:t>
      </w:r>
      <w:r>
        <w:rPr>
          <w:sz w:val="20"/>
          <w:szCs w:val="20"/>
          <w:color w:val="auto"/>
        </w:rPr>
        <w:tab/>
      </w: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4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54875" cy="6054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6054725"/>
                    </a:xfrm>
                    <a:prstGeom prst="rect">
                      <a:avLst/>
                    </a:prstGeom>
                    <a:noFill/>
                  </pic:spPr>
                </pic:pic>
              </a:graphicData>
            </a:graphic>
          </wp:anchor>
        </w:drawing>
      </w:r>
    </w:p>
    <w:p>
      <w:pPr>
        <w:spacing w:after="0" w:line="90" w:lineRule="exact"/>
        <w:rPr>
          <w:sz w:val="20"/>
          <w:szCs w:val="20"/>
          <w:color w:val="auto"/>
        </w:rPr>
      </w:pPr>
    </w:p>
    <w:p>
      <w:pPr>
        <w:ind w:left="560" w:hanging="343"/>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1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WILSON DISTRIBUTION HOLDINGS, LLC</w:t>
      </w:r>
    </w:p>
    <w:p>
      <w:pPr>
        <w:spacing w:after="0" w:line="184" w:lineRule="exact"/>
        <w:rPr>
          <w:rFonts w:ascii="Arial" w:cs="Arial" w:eastAsia="Arial" w:hAnsi="Arial"/>
          <w:sz w:val="18"/>
          <w:szCs w:val="18"/>
          <w:color w:val="auto"/>
        </w:rPr>
      </w:pPr>
    </w:p>
    <w:p>
      <w:pPr>
        <w:ind w:left="560" w:hanging="343"/>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57" w:lineRule="exact"/>
        <w:rPr>
          <w:rFonts w:ascii="Arial" w:cs="Arial" w:eastAsia="Arial" w:hAnsi="Arial"/>
          <w:sz w:val="18"/>
          <w:szCs w:val="18"/>
          <w:color w:val="auto"/>
        </w:rPr>
      </w:pPr>
    </w:p>
    <w:p>
      <w:pPr>
        <w:ind w:left="840" w:hanging="278"/>
        <w:spacing w:after="0" w:line="207" w:lineRule="exact"/>
        <w:tabs>
          <w:tab w:leader="none" w:pos="84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0" w:lineRule="exact"/>
        <w:rPr>
          <w:rFonts w:ascii="Arial" w:cs="Arial" w:eastAsia="Arial" w:hAnsi="Arial"/>
          <w:sz w:val="18"/>
          <w:szCs w:val="18"/>
          <w:color w:val="auto"/>
        </w:rPr>
      </w:pPr>
    </w:p>
    <w:p>
      <w:pPr>
        <w:ind w:left="860" w:hanging="298"/>
        <w:spacing w:after="0" w:line="207" w:lineRule="exact"/>
        <w:tabs>
          <w:tab w:leader="none" w:pos="86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7" w:lineRule="exact"/>
        <w:rPr>
          <w:rFonts w:ascii="Arial" w:cs="Arial" w:eastAsia="Arial" w:hAnsi="Arial"/>
          <w:sz w:val="18"/>
          <w:szCs w:val="18"/>
          <w:color w:val="auto"/>
        </w:rPr>
      </w:pPr>
    </w:p>
    <w:p>
      <w:pPr>
        <w:ind w:left="560" w:hanging="343"/>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560" w:hanging="343"/>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1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560" w:hanging="343"/>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179" w:lineRule="exact"/>
        <w:rPr>
          <w:rFonts w:ascii="Arial" w:cs="Arial" w:eastAsia="Arial" w:hAnsi="Arial"/>
          <w:sz w:val="18"/>
          <w:szCs w:val="18"/>
          <w:color w:val="auto"/>
        </w:rPr>
      </w:pPr>
    </w:p>
    <w:p>
      <w:pPr>
        <w:ind w:left="5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5" w:lineRule="exact"/>
        <w:rPr>
          <w:rFonts w:ascii="Arial" w:cs="Arial" w:eastAsia="Arial" w:hAnsi="Arial"/>
          <w:sz w:val="18"/>
          <w:szCs w:val="18"/>
          <w:color w:val="auto"/>
        </w:rPr>
      </w:pPr>
    </w:p>
    <w:p>
      <w:pPr>
        <w:ind w:left="560" w:hanging="343"/>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680" w:hanging="355"/>
        <w:spacing w:after="0"/>
        <w:tabs>
          <w:tab w:leader="none" w:pos="16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90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Borders>
              <w:bottom w:val="single" w:sz="8" w:color="auto"/>
            </w:tcBorders>
          </w:tcPr>
          <w:p>
            <w:pPr>
              <w:spacing w:after="0"/>
              <w:rPr>
                <w:sz w:val="20"/>
                <w:szCs w:val="20"/>
                <w:color w:val="auto"/>
              </w:rPr>
            </w:pPr>
          </w:p>
        </w:tc>
        <w:tc>
          <w:tcPr>
            <w:tcW w:w="98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9,729,582</w:t>
            </w:r>
          </w:p>
        </w:tc>
        <w:tc>
          <w:tcPr>
            <w:tcW w:w="0" w:type="dxa"/>
            <w:vAlign w:val="bottom"/>
          </w:tcPr>
          <w:p>
            <w:pPr>
              <w:spacing w:after="0"/>
              <w:rPr>
                <w:sz w:val="1"/>
                <w:szCs w:val="1"/>
                <w:color w:val="auto"/>
              </w:rPr>
            </w:pPr>
          </w:p>
        </w:tc>
      </w:tr>
      <w:tr>
        <w:trPr>
          <w:trHeight w:val="201"/>
        </w:trPr>
        <w:tc>
          <w:tcPr>
            <w:tcW w:w="900" w:type="dxa"/>
            <w:vAlign w:val="bottom"/>
          </w:tcPr>
          <w:p>
            <w:pPr>
              <w:jc w:val="center"/>
              <w:ind w:right="12"/>
              <w:spacing w:after="0" w:line="201" w:lineRule="exact"/>
              <w:rPr>
                <w:sz w:val="20"/>
                <w:szCs w:val="20"/>
                <w:color w:val="auto"/>
              </w:rPr>
            </w:pPr>
            <w:r>
              <w:rPr>
                <w:rFonts w:ascii="Arial" w:cs="Arial" w:eastAsia="Arial" w:hAnsi="Arial"/>
                <w:sz w:val="18"/>
                <w:szCs w:val="18"/>
                <w:color w:val="auto"/>
                <w:w w:val="81"/>
              </w:rPr>
              <w:t>shares</w:t>
            </w: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(8)</w:t>
            </w:r>
          </w:p>
        </w:tc>
        <w:tc>
          <w:tcPr>
            <w:tcW w:w="9840" w:type="dxa"/>
            <w:vAlign w:val="bottom"/>
          </w:tcPr>
          <w:p>
            <w:pPr>
              <w:ind w:left="8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2"/>
              </w:rPr>
              <w:t>beneficially</w:t>
            </w:r>
          </w:p>
        </w:tc>
        <w:tc>
          <w:tcPr>
            <w:tcW w:w="480" w:type="dxa"/>
            <w:vAlign w:val="bottom"/>
          </w:tcPr>
          <w:p>
            <w:pPr>
              <w:spacing w:after="0"/>
              <w:rPr>
                <w:sz w:val="18"/>
                <w:szCs w:val="18"/>
                <w:color w:val="auto"/>
              </w:rPr>
            </w:pPr>
          </w:p>
        </w:tc>
        <w:tc>
          <w:tcPr>
            <w:tcW w:w="984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900" w:type="dxa"/>
            <w:vAlign w:val="bottom"/>
          </w:tcPr>
          <w:p>
            <w:pPr>
              <w:jc w:val="center"/>
              <w:spacing w:after="0"/>
              <w:rPr>
                <w:sz w:val="20"/>
                <w:szCs w:val="20"/>
                <w:color w:val="auto"/>
              </w:rPr>
            </w:pPr>
            <w:r>
              <w:rPr>
                <w:rFonts w:ascii="Arial" w:cs="Arial" w:eastAsia="Arial" w:hAnsi="Arial"/>
                <w:sz w:val="18"/>
                <w:szCs w:val="18"/>
                <w:color w:val="auto"/>
                <w:w w:val="90"/>
              </w:rPr>
              <w:t>owned by</w:t>
            </w:r>
          </w:p>
        </w:tc>
        <w:tc>
          <w:tcPr>
            <w:tcW w:w="480" w:type="dxa"/>
            <w:vAlign w:val="bottom"/>
            <w:tcBorders>
              <w:bottom w:val="single" w:sz="8" w:color="auto"/>
            </w:tcBorders>
          </w:tcPr>
          <w:p>
            <w:pPr>
              <w:spacing w:after="0"/>
              <w:rPr>
                <w:sz w:val="19"/>
                <w:szCs w:val="19"/>
                <w:color w:val="auto"/>
              </w:rPr>
            </w:pPr>
          </w:p>
        </w:tc>
        <w:tc>
          <w:tcPr>
            <w:tcW w:w="9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00" w:type="dxa"/>
            <w:vAlign w:val="bottom"/>
          </w:tcPr>
          <w:p>
            <w:pPr>
              <w:jc w:val="center"/>
              <w:spacing w:after="0" w:line="190" w:lineRule="exact"/>
              <w:rPr>
                <w:sz w:val="20"/>
                <w:szCs w:val="20"/>
                <w:color w:val="auto"/>
              </w:rPr>
            </w:pPr>
            <w:r>
              <w:rPr>
                <w:rFonts w:ascii="Arial" w:cs="Arial" w:eastAsia="Arial" w:hAnsi="Arial"/>
                <w:sz w:val="18"/>
                <w:szCs w:val="18"/>
                <w:color w:val="auto"/>
                <w:w w:val="86"/>
              </w:rPr>
              <w:t>each</w:t>
            </w:r>
          </w:p>
        </w:tc>
        <w:tc>
          <w:tcPr>
            <w:tcW w:w="480" w:type="dxa"/>
            <w:vAlign w:val="bottom"/>
          </w:tcPr>
          <w:p>
            <w:pPr>
              <w:jc w:val="right"/>
              <w:spacing w:after="0" w:line="190" w:lineRule="exact"/>
              <w:rPr>
                <w:sz w:val="20"/>
                <w:szCs w:val="20"/>
                <w:color w:val="auto"/>
              </w:rPr>
            </w:pPr>
            <w:r>
              <w:rPr>
                <w:rFonts w:ascii="Arial" w:cs="Arial" w:eastAsia="Arial" w:hAnsi="Arial"/>
                <w:sz w:val="18"/>
                <w:szCs w:val="18"/>
                <w:color w:val="auto"/>
              </w:rPr>
              <w:t>(9)</w:t>
            </w:r>
          </w:p>
        </w:tc>
        <w:tc>
          <w:tcPr>
            <w:tcW w:w="98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w w:val="83"/>
              </w:rPr>
              <w:t>person</w:t>
            </w:r>
          </w:p>
        </w:tc>
        <w:tc>
          <w:tcPr>
            <w:tcW w:w="480" w:type="dxa"/>
            <w:vAlign w:val="bottom"/>
          </w:tcPr>
          <w:p>
            <w:pPr>
              <w:spacing w:after="0"/>
              <w:rPr>
                <w:sz w:val="18"/>
                <w:szCs w:val="18"/>
                <w:color w:val="auto"/>
              </w:rPr>
            </w:pPr>
          </w:p>
        </w:tc>
        <w:tc>
          <w:tcPr>
            <w:tcW w:w="9840" w:type="dxa"/>
            <w:vAlign w:val="bottom"/>
          </w:tcPr>
          <w:p>
            <w:pPr>
              <w:ind w:left="80"/>
              <w:spacing w:after="0"/>
              <w:rPr>
                <w:sz w:val="20"/>
                <w:szCs w:val="20"/>
                <w:color w:val="auto"/>
              </w:rPr>
            </w:pPr>
            <w:r>
              <w:rPr>
                <w:rFonts w:ascii="Arial" w:cs="Arial" w:eastAsia="Arial" w:hAnsi="Arial"/>
                <w:sz w:val="18"/>
                <w:szCs w:val="18"/>
                <w:color w:val="auto"/>
              </w:rPr>
              <w:t>9,729,582</w:t>
            </w:r>
          </w:p>
        </w:tc>
        <w:tc>
          <w:tcPr>
            <w:tcW w:w="0" w:type="dxa"/>
            <w:vAlign w:val="bottom"/>
          </w:tcPr>
          <w:p>
            <w:pPr>
              <w:spacing w:after="0"/>
              <w:rPr>
                <w:sz w:val="1"/>
                <w:szCs w:val="1"/>
                <w:color w:val="auto"/>
              </w:rPr>
            </w:pPr>
          </w:p>
        </w:tc>
      </w:tr>
      <w:tr>
        <w:trPr>
          <w:trHeight w:val="22"/>
        </w:trPr>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3"/>
              </w:rPr>
              <w:t>with</w:t>
            </w:r>
          </w:p>
        </w:tc>
        <w:tc>
          <w:tcPr>
            <w:tcW w:w="480" w:type="dxa"/>
            <w:vAlign w:val="bottom"/>
            <w:tcBorders>
              <w:bottom w:val="single" w:sz="8" w:color="auto"/>
            </w:tcBorders>
          </w:tcPr>
          <w:p>
            <w:pPr>
              <w:spacing w:after="0" w:line="20" w:lineRule="exact"/>
              <w:rPr>
                <w:sz w:val="1"/>
                <w:szCs w:val="1"/>
                <w:color w:val="auto"/>
              </w:rPr>
            </w:pPr>
          </w:p>
        </w:tc>
        <w:tc>
          <w:tcPr>
            <w:tcW w:w="9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560" w:right="6400" w:hanging="430"/>
        <w:spacing w:after="0" w:line="383"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9,729,582</w:t>
      </w:r>
    </w:p>
    <w:p>
      <w:pPr>
        <w:spacing w:after="0" w:line="1" w:lineRule="exact"/>
        <w:rPr>
          <w:rFonts w:ascii="Arial" w:cs="Arial" w:eastAsia="Arial" w:hAnsi="Arial"/>
          <w:sz w:val="18"/>
          <w:szCs w:val="18"/>
          <w:color w:val="auto"/>
        </w:rPr>
      </w:pPr>
    </w:p>
    <w:p>
      <w:pPr>
        <w:ind w:left="560" w:hanging="430"/>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w:t>
      </w:r>
    </w:p>
    <w:p>
      <w:pPr>
        <w:spacing w:after="0" w:line="179" w:lineRule="exact"/>
        <w:rPr>
          <w:rFonts w:ascii="Arial" w:cs="Arial" w:eastAsia="Arial" w:hAnsi="Arial"/>
          <w:sz w:val="18"/>
          <w:szCs w:val="18"/>
          <w:color w:val="auto"/>
        </w:rPr>
      </w:pPr>
    </w:p>
    <w:p>
      <w:pPr>
        <w:ind w:left="5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5" w:lineRule="exact"/>
        <w:rPr>
          <w:rFonts w:ascii="Arial" w:cs="Arial" w:eastAsia="Arial" w:hAnsi="Arial"/>
          <w:sz w:val="18"/>
          <w:szCs w:val="18"/>
          <w:color w:val="auto"/>
        </w:rPr>
      </w:pPr>
    </w:p>
    <w:p>
      <w:pPr>
        <w:ind w:left="560" w:right="7240" w:hanging="430"/>
        <w:spacing w:after="0" w:line="383"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55.7</w:t>
      </w:r>
      <w:r>
        <w:rPr>
          <w:rFonts w:ascii="Arial" w:cs="Arial" w:eastAsia="Arial" w:hAnsi="Arial"/>
          <w:sz w:val="11"/>
          <w:szCs w:val="11"/>
          <w:color w:val="auto"/>
        </w:rPr>
        <w:t>5</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560" w:right="9140" w:hanging="430"/>
        <w:spacing w:after="0" w:line="501"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HC, OO</w:t>
      </w:r>
    </w:p>
    <w:p>
      <w:pPr>
        <w:ind w:left="460" w:right="20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upon the number of shares of common stock outstanding as reflected in the Issuer’s Annual Report on Form 20-F for the year ended December 31, 2010.</w:t>
      </w:r>
    </w:p>
    <w:p>
      <w:pPr>
        <w:sectPr>
          <w:pgSz w:w="11900" w:h="16838" w:orient="portrait"/>
          <w:cols w:equalWidth="0" w:num="1">
            <w:col w:w="11440"/>
          </w:cols>
          <w:pgMar w:left="240" w:top="841" w:right="219" w:bottom="1440" w:gutter="0" w:footer="0" w:header="0"/>
        </w:sectPr>
      </w:pPr>
    </w:p>
    <w:bookmarkStart w:id="4" w:name="page5"/>
    <w:bookmarkEnd w:id="4"/>
    <w:p>
      <w:pPr>
        <w:spacing w:after="0"/>
        <w:tabs>
          <w:tab w:leader="none" w:pos="5300" w:val="left"/>
          <w:tab w:leader="none" w:pos="10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b w:val="1"/>
          <w:bCs w:val="1"/>
          <w:color w:val="auto"/>
        </w:rPr>
        <w:t>125151100</w:t>
      </w:r>
      <w:r>
        <w:rPr>
          <w:sz w:val="20"/>
          <w:szCs w:val="20"/>
          <w:color w:val="auto"/>
        </w:rPr>
        <w:tab/>
      </w: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5 of 11</w:t>
      </w:r>
    </w:p>
    <w:p>
      <w:pPr>
        <w:spacing w:after="0" w:line="15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This Schedule 13D represents Amendment No. 4 (the “Amendment”) to a Statement on Schedule 13D dated May 28, 1999, as amended by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No. 1 dated June 12, 2001, as amended by Amendment No. 2 dated July 31, 2001, as amended by Amendment No. 3 dated August 9, 2002, filed by Smith International, Inc. (“Smith”). This Amendment represents the initial statement on Schedule 13D filed by Schlumberger N.V. (“Schlumberger Limited”) and Wilson Distribution Holdings, LLC (“Wilson”). Any items that are reported are deemed to amend and supplement the existing items in the Schedule 13D. Capitalized terms used in this Amendment and not defined herein have the respective meanings ascribed to such terms in the Schedule 13D, as previously amended.</w:t>
      </w:r>
    </w:p>
    <w:p>
      <w:pPr>
        <w:spacing w:after="0" w:line="26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Schlumberger Limited, Smith and Wilson are collectively referred to as the “Reporting Persons.” Amended and restated information regarding Smith is provided in this Item 2.</w:t>
      </w:r>
    </w:p>
    <w:p>
      <w:pPr>
        <w:spacing w:after="0" w:line="51"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Schlumberger Limited</w:t>
      </w:r>
    </w:p>
    <w:p>
      <w:pPr>
        <w:spacing w:after="0" w:line="90" w:lineRule="exact"/>
        <w:rPr>
          <w:sz w:val="20"/>
          <w:szCs w:val="20"/>
          <w:color w:val="auto"/>
        </w:rPr>
      </w:pPr>
    </w:p>
    <w:p>
      <w:pPr>
        <w:ind w:left="1500" w:right="580"/>
        <w:spacing w:after="0" w:line="268" w:lineRule="auto"/>
        <w:rPr>
          <w:sz w:val="20"/>
          <w:szCs w:val="20"/>
          <w:color w:val="auto"/>
        </w:rPr>
      </w:pPr>
      <w:r>
        <w:rPr>
          <w:rFonts w:ascii="Arial" w:cs="Arial" w:eastAsia="Arial" w:hAnsi="Arial"/>
          <w:sz w:val="18"/>
          <w:szCs w:val="18"/>
          <w:color w:val="auto"/>
        </w:rPr>
        <w:t>Information as to each of the executive officers and directors of the Reporting Person for Items 2(a), 2(b), 2(c) and 2(f) is set forth on Schedule A hereto and is incorporated herein by reference.</w:t>
      </w:r>
    </w:p>
    <w:p>
      <w:pPr>
        <w:spacing w:after="0" w:line="5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Smith</w:t>
      </w:r>
    </w:p>
    <w:p>
      <w:pPr>
        <w:spacing w:after="0" w:line="90" w:lineRule="exact"/>
        <w:rPr>
          <w:sz w:val="20"/>
          <w:szCs w:val="20"/>
          <w:color w:val="auto"/>
        </w:rPr>
      </w:pPr>
    </w:p>
    <w:p>
      <w:pPr>
        <w:ind w:left="1500" w:right="580"/>
        <w:spacing w:after="0" w:line="268" w:lineRule="auto"/>
        <w:rPr>
          <w:sz w:val="20"/>
          <w:szCs w:val="20"/>
          <w:color w:val="auto"/>
        </w:rPr>
      </w:pPr>
      <w:r>
        <w:rPr>
          <w:rFonts w:ascii="Arial" w:cs="Arial" w:eastAsia="Arial" w:hAnsi="Arial"/>
          <w:sz w:val="18"/>
          <w:szCs w:val="18"/>
          <w:color w:val="auto"/>
        </w:rPr>
        <w:t>Information as to each of the executive officers and directors of the Reporting Person for Items 2(a), 2(b), 2(c) and 2(f) is set forth on Schedule A hereto and is incorporated herein by reference.</w:t>
      </w:r>
    </w:p>
    <w:p>
      <w:pPr>
        <w:spacing w:after="0" w:line="5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Wilson</w:t>
      </w:r>
    </w:p>
    <w:p>
      <w:pPr>
        <w:spacing w:after="0" w:line="90" w:lineRule="exact"/>
        <w:rPr>
          <w:sz w:val="20"/>
          <w:szCs w:val="20"/>
          <w:color w:val="auto"/>
        </w:rPr>
      </w:pPr>
    </w:p>
    <w:p>
      <w:pPr>
        <w:ind w:left="1500" w:right="340"/>
        <w:spacing w:after="0" w:line="268" w:lineRule="auto"/>
        <w:rPr>
          <w:sz w:val="20"/>
          <w:szCs w:val="20"/>
          <w:color w:val="auto"/>
        </w:rPr>
      </w:pPr>
      <w:r>
        <w:rPr>
          <w:rFonts w:ascii="Arial" w:cs="Arial" w:eastAsia="Arial" w:hAnsi="Arial"/>
          <w:sz w:val="18"/>
          <w:szCs w:val="18"/>
          <w:color w:val="auto"/>
        </w:rPr>
        <w:t>Information as to each of the members of the Reporting Person for Items 2(a), 2(b), 2(c) and 2(f) is set forth on Schedule A hereto and is incorporated herein by reference.</w:t>
      </w:r>
    </w:p>
    <w:p>
      <w:pPr>
        <w:spacing w:after="0" w:line="51" w:lineRule="exact"/>
        <w:rPr>
          <w:sz w:val="20"/>
          <w:szCs w:val="20"/>
          <w:color w:val="auto"/>
        </w:rPr>
      </w:pPr>
    </w:p>
    <w:p>
      <w:pPr>
        <w:ind w:left="560" w:right="8900" w:hanging="552"/>
        <w:spacing w:after="0" w:line="370" w:lineRule="auto"/>
        <w:tabs>
          <w:tab w:leader="none" w:pos="5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5599 San Felipe, 17th Floor Houston, Texas 77056</w:t>
      </w:r>
    </w:p>
    <w:p>
      <w:pPr>
        <w:spacing w:after="0" w:line="21" w:lineRule="exact"/>
        <w:rPr>
          <w:rFonts w:ascii="Arial" w:cs="Arial" w:eastAsia="Arial" w:hAnsi="Arial"/>
          <w:sz w:val="15"/>
          <w:szCs w:val="15"/>
          <w:color w:val="auto"/>
        </w:rPr>
      </w:pPr>
    </w:p>
    <w:p>
      <w:pPr>
        <w:jc w:val="both"/>
        <w:ind w:left="560" w:right="80" w:hanging="552"/>
        <w:spacing w:after="0" w:line="306" w:lineRule="auto"/>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Schlumberger Limited is the world’s leading supplier of technology, integrated project management and information solutions to the international oil and gas exploration and production industry. Smith, an indirect wholly-owned subsidiary of Schlumberger Limited, is a leading supplier of premium products and services to the oil and gas exploration and production industry. Wilson is a wholly-owned subsidiary of Smith.</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(d)-(e) During the last five years, none of the Reporting Persons nor, to the best knowledge of the Reporting Persons, any of the persons identified in Schedule A:</w:t>
      </w:r>
    </w:p>
    <w:p>
      <w:pPr>
        <w:spacing w:after="0" w:line="38" w:lineRule="exact"/>
        <w:rPr>
          <w:sz w:val="20"/>
          <w:szCs w:val="20"/>
          <w:color w:val="auto"/>
        </w:rPr>
      </w:pPr>
    </w:p>
    <w:p>
      <w:pPr>
        <w:ind w:left="560" w:right="20" w:firstLine="2"/>
        <w:spacing w:after="0" w:line="302" w:lineRule="auto"/>
        <w:tabs>
          <w:tab w:leader="none" w:pos="77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has been convicted in a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1420"/>
          </w:cols>
          <w:pgMar w:left="240" w:top="274" w:right="239" w:bottom="1440" w:gutter="0" w:footer="0" w:header="0"/>
        </w:sectPr>
      </w:pPr>
    </w:p>
    <w:bookmarkStart w:id="5" w:name="page6"/>
    <w:bookmarkEnd w:id="5"/>
    <w:p>
      <w:pPr>
        <w:spacing w:after="0"/>
        <w:tabs>
          <w:tab w:leader="none" w:pos="5300" w:val="left"/>
          <w:tab w:leader="none" w:pos="10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b w:val="1"/>
          <w:bCs w:val="1"/>
          <w:color w:val="auto"/>
        </w:rPr>
        <w:t>125151100</w:t>
      </w:r>
      <w:r>
        <w:rPr>
          <w:sz w:val="20"/>
          <w:szCs w:val="20"/>
          <w:color w:val="auto"/>
        </w:rPr>
        <w:tab/>
      </w: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6 of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Schlumberger Limited, Curaçao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Smith International, Inc., Delaware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Wilson Distribution Holdings, LLC, Delaware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Source and Amount of Funds or Other Consideration.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August 27, 2010, Smith merged with and into a wholly-owned subsidiary of Schlumberger Limited and Smith became a wholly-owned subsidiary of Schlumberger Limited. As a result of the merger, Schlumberger Limited acquired an indirect beneficial interest in all 9,729,582 CE Franklin Common Stock owned by Smith International, Inc. (the “CE Franklin Shares”). In connection with the merger, Schlumberger Limited issued approximately 176 million shares of its common stock to Smith stockholders, with cash paid in lieu of fractional shares.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1, 2012, Smith contributed the CE Franklin Shares to Wilson.</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Schlumberger Limited acquired an indirect beneficial interest in the CE Franklin Shares on August 27, 2010 through its acquisition of all of the outstanding shares of Smith, and holds them as an investment indirectly through one or more wholly-owned subsidiaries. Schlumberger Limited periodically reviews its ownership of the CE Franklin Shares. Based on such reviews and other factors, Schlumberger Limited may, and reserves the right to, change its intention from time to time, sell or otherwise dispose of some or all of the CE Franklin Shares, or acquire additional securities of the Issuer. Any such transactions could result in any of the matters specified in clauses (a) through (j) of Item 4 of Schedule 13D. Without limiting the foregoing, Schlumberger Limited intends to explore possible transactions involving its ownership of the CE Franklin Shares.</w:t>
      </w:r>
    </w:p>
    <w:p>
      <w:pPr>
        <w:spacing w:after="0" w:line="23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96" w:lineRule="exact"/>
        <w:rPr>
          <w:sz w:val="20"/>
          <w:szCs w:val="20"/>
          <w:color w:val="auto"/>
        </w:rPr>
      </w:pPr>
    </w:p>
    <w:p>
      <w:pPr>
        <w:ind w:left="900" w:right="60" w:hanging="446"/>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Wilson is the direct beneficial owner of 9,729,582 shares of CE Franklin Common Stock, representing approximately 55.7% of the shares issued and outstanding. The 55.7% of the issued and outstanding shares of CE Franklin Common Stock is based on 17,474,325 shares that were outstanding as of December 31, 2010 (as set forth on the cover of the Issuer’s Annual Report on Form 20-F filed with the Securities and Exchange Commission on February 8, 2011).</w:t>
      </w:r>
    </w:p>
    <w:p>
      <w:pPr>
        <w:spacing w:after="0" w:line="62" w:lineRule="exact"/>
        <w:rPr>
          <w:sz w:val="20"/>
          <w:szCs w:val="20"/>
          <w:color w:val="auto"/>
        </w:rPr>
      </w:pPr>
    </w:p>
    <w:p>
      <w:pPr>
        <w:ind w:left="920" w:right="120"/>
        <w:spacing w:after="0" w:line="268" w:lineRule="auto"/>
        <w:rPr>
          <w:sz w:val="20"/>
          <w:szCs w:val="20"/>
          <w:color w:val="auto"/>
        </w:rPr>
      </w:pPr>
      <w:r>
        <w:rPr>
          <w:rFonts w:ascii="Arial" w:cs="Arial" w:eastAsia="Arial" w:hAnsi="Arial"/>
          <w:sz w:val="18"/>
          <w:szCs w:val="18"/>
          <w:color w:val="auto"/>
        </w:rPr>
        <w:t>Wilson is a direct wholly-owned subsidiary of Smith. Smith is an indirect wholly-owned subsidiary of Schlumberger Limited. Therefore, Smith and Schlumberger Limited each have an indirect beneficial interest in the CE Franklin Shares.</w:t>
      </w:r>
    </w:p>
    <w:p>
      <w:pPr>
        <w:spacing w:after="0" w:line="51" w:lineRule="exact"/>
        <w:rPr>
          <w:sz w:val="20"/>
          <w:szCs w:val="20"/>
          <w:color w:val="auto"/>
        </w:rPr>
      </w:pPr>
    </w:p>
    <w:p>
      <w:pPr>
        <w:ind w:left="900" w:right="22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Wilson has the sole power to vote and the sole power to dispose all 9,729,582 CE Franklin Shares. Smith and Schlumberger Limited each have the power to direct the vote or direct the disposition of all 9,729,582 CE Franklin Shares.</w:t>
      </w:r>
    </w:p>
    <w:p>
      <w:pPr>
        <w:sectPr>
          <w:pgSz w:w="11900" w:h="16838" w:orient="portrait"/>
          <w:cols w:equalWidth="0" w:num="1">
            <w:col w:w="11420"/>
          </w:cols>
          <w:pgMar w:left="240" w:top="274" w:right="239" w:bottom="1440" w:gutter="0" w:footer="0" w:header="0"/>
        </w:sectPr>
      </w:pPr>
    </w:p>
    <w:bookmarkStart w:id="6" w:name="page7"/>
    <w:bookmarkEnd w:id="6"/>
    <w:p>
      <w:pPr>
        <w:spacing w:after="0"/>
        <w:tabs>
          <w:tab w:leader="none" w:pos="5300" w:val="left"/>
          <w:tab w:leader="none" w:pos="10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b w:val="1"/>
          <w:bCs w:val="1"/>
          <w:color w:val="auto"/>
        </w:rPr>
        <w:t>125151100</w:t>
      </w:r>
      <w:r>
        <w:rPr>
          <w:sz w:val="20"/>
          <w:szCs w:val="20"/>
          <w:color w:val="auto"/>
        </w:rPr>
        <w:tab/>
      </w: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7 of 11</w:t>
      </w:r>
    </w:p>
    <w:p>
      <w:pPr>
        <w:spacing w:after="0" w:line="164"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None of the Reporting Persons engaged in any transactions with respect to CE Franklin Common Stock during the past sixty (60) days.</w:t>
      </w:r>
    </w:p>
    <w:p>
      <w:pPr>
        <w:spacing w:after="0" w:line="113" w:lineRule="exact"/>
        <w:rPr>
          <w:rFonts w:ascii="Arial" w:cs="Arial" w:eastAsia="Arial" w:hAnsi="Arial"/>
          <w:sz w:val="16"/>
          <w:szCs w:val="16"/>
          <w:color w:val="auto"/>
        </w:rPr>
      </w:pPr>
    </w:p>
    <w:p>
      <w:pPr>
        <w:ind w:left="900" w:right="80" w:hanging="446"/>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 person other than the Reporting Persons has the right to receive or the power to direct the receipt of dividends from, or proceeds from the sale of, the CE Franklin Shares reported as being beneficially owned by the Reporting Persons on this Schedule 13D.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information in Item 4 is incorporated herein by reference.</w:t>
      </w:r>
    </w:p>
    <w:p>
      <w:pPr>
        <w:spacing w:after="0" w:line="90"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On February 6, 2012, the Reporting Persons entered into a Joint Filing Agreement relating to the filing of this Schedule 13D, a copy of which is annexed hereto as Exhibit 99.1.</w:t>
      </w:r>
    </w:p>
    <w:p>
      <w:pPr>
        <w:spacing w:after="0" w:line="132"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Other than as described herein, there are no contracts, arrangements, understandings or relationships among the Reporting Persons, or between the Reporting Persons and any other person, with respect to the securities of the Issuer.</w:t>
      </w:r>
    </w:p>
    <w:p>
      <w:pPr>
        <w:spacing w:after="0" w:line="132"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To the best of the Reporting Person’s knowledge, none of the persons listed on Schedule A is a party to any contract, agreement or understanding required to be disclosed herein.</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13"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Joint Filing Agreement dated February 6, 2012</w:t>
      </w:r>
    </w:p>
    <w:p>
      <w:pPr>
        <w:sectPr>
          <w:pgSz w:w="11900" w:h="16838" w:orient="portrait"/>
          <w:cols w:equalWidth="0" w:num="1">
            <w:col w:w="11420"/>
          </w:cols>
          <w:pgMar w:left="240" w:top="274" w:right="239" w:bottom="1440" w:gutter="0" w:footer="0" w:header="0"/>
        </w:sectPr>
      </w:pPr>
    </w:p>
    <w:bookmarkStart w:id="7" w:name="page8"/>
    <w:bookmarkEnd w:id="7"/>
    <w:p>
      <w:pPr>
        <w:spacing w:after="0"/>
        <w:tabs>
          <w:tab w:leader="none" w:pos="5300" w:val="left"/>
          <w:tab w:leader="none" w:pos="10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b w:val="1"/>
          <w:bCs w:val="1"/>
          <w:color w:val="auto"/>
        </w:rPr>
        <w:t>125151100</w:t>
      </w:r>
      <w:r>
        <w:rPr>
          <w:sz w:val="20"/>
          <w:szCs w:val="20"/>
          <w:color w:val="auto"/>
        </w:rPr>
        <w:tab/>
      </w: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8 of 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February 7, 2012</w:t>
      </w:r>
      <w:r>
        <w:rPr>
          <w:sz w:val="20"/>
          <w:szCs w:val="20"/>
          <w:color w:val="auto"/>
        </w:rPr>
        <w:tab/>
      </w:r>
      <w:r>
        <w:rPr>
          <w:rFonts w:ascii="Arial" w:cs="Arial" w:eastAsia="Arial" w:hAnsi="Arial"/>
          <w:sz w:val="16"/>
          <w:szCs w:val="16"/>
          <w:color w:val="auto"/>
        </w:rPr>
        <w:t>Schlumberger N.V. (Schlumberger Limited)</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Saul R. Laureles</w:t>
      </w:r>
    </w:p>
    <w:p>
      <w:pPr>
        <w:spacing w:after="0" w:line="15"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Assistant Secretary and Senior Counsel</w:t>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Smith International, Inc.</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Jean-Francois Poupeau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Jean-Francois Poupeau</w:t>
      </w:r>
    </w:p>
    <w:p>
      <w:pPr>
        <w:spacing w:after="0" w:line="15"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President</w:t>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Wilson Distribution Holdings, LLC</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Michael McGuinty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Michael McGuinty</w:t>
      </w:r>
    </w:p>
    <w:p>
      <w:pPr>
        <w:spacing w:after="0" w:line="15"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Manager</w:t>
      </w:r>
    </w:p>
    <w:p>
      <w:pPr>
        <w:sectPr>
          <w:pgSz w:w="11900" w:h="16838" w:orient="portrait"/>
          <w:cols w:equalWidth="0" w:num="1">
            <w:col w:w="11420"/>
          </w:cols>
          <w:pgMar w:left="240" w:top="274" w:right="239" w:bottom="1440" w:gutter="0" w:footer="0" w:header="0"/>
        </w:sectPr>
      </w:pPr>
    </w:p>
    <w:bookmarkStart w:id="8" w:name="page9"/>
    <w:bookmarkEnd w:id="8"/>
    <w:p>
      <w:pPr>
        <w:spacing w:after="0"/>
        <w:tabs>
          <w:tab w:leader="none" w:pos="5300" w:val="left"/>
          <w:tab w:leader="none" w:pos="10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b w:val="1"/>
          <w:bCs w:val="1"/>
          <w:color w:val="auto"/>
        </w:rPr>
        <w:t>125151100</w:t>
      </w:r>
      <w:r>
        <w:rPr>
          <w:sz w:val="20"/>
          <w:szCs w:val="20"/>
          <w:color w:val="auto"/>
        </w:rPr>
        <w:tab/>
      </w: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9 of 11</w:t>
      </w:r>
    </w:p>
    <w:p>
      <w:pPr>
        <w:spacing w:after="0" w:line="15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SCHEDULE A</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DIRECTORS AND OFFICERS OF SCHLUMBERGER N.V.</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(SCHLUMBERGER LIMITED)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indicated below, each person’s business address is c/o Schlumberger Limited, 5599 San Felipe, 17th Floor, Houston, Texas 77056.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Shares CE</w:t>
            </w: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560" w:type="dxa"/>
            <w:vAlign w:val="bottom"/>
            <w:gridSpan w:val="2"/>
          </w:tcPr>
          <w:p>
            <w:pPr>
              <w:ind w:left="1080"/>
              <w:spacing w:after="0" w:line="149" w:lineRule="exact"/>
              <w:rPr>
                <w:sz w:val="20"/>
                <w:szCs w:val="20"/>
                <w:color w:val="auto"/>
              </w:rPr>
            </w:pPr>
            <w:r>
              <w:rPr>
                <w:rFonts w:ascii="Arial" w:cs="Arial" w:eastAsia="Arial" w:hAnsi="Arial"/>
                <w:sz w:val="14"/>
                <w:szCs w:val="14"/>
                <w:b w:val="1"/>
                <w:bCs w:val="1"/>
                <w:color w:val="auto"/>
              </w:rPr>
              <w:t>Position and Present</w:t>
            </w: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Franklin</w:t>
            </w:r>
          </w:p>
        </w:tc>
        <w:tc>
          <w:tcPr>
            <w:tcW w:w="3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560" w:type="dxa"/>
            <w:vAlign w:val="bottom"/>
            <w:gridSpan w:val="2"/>
          </w:tcPr>
          <w:p>
            <w:pPr>
              <w:ind w:left="1060"/>
              <w:spacing w:after="0"/>
              <w:rPr>
                <w:sz w:val="20"/>
                <w:szCs w:val="20"/>
                <w:color w:val="auto"/>
              </w:rPr>
            </w:pPr>
            <w:r>
              <w:rPr>
                <w:rFonts w:ascii="Arial" w:cs="Arial" w:eastAsia="Arial" w:hAnsi="Arial"/>
                <w:sz w:val="14"/>
                <w:szCs w:val="14"/>
                <w:b w:val="1"/>
                <w:bCs w:val="1"/>
                <w:color w:val="auto"/>
              </w:rPr>
              <w:t>Principal Occupation</w:t>
            </w: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Common Stock</w:t>
            </w: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w w:val="88"/>
              </w:rPr>
              <w:t>Citizenship</w:t>
            </w:r>
          </w:p>
        </w:tc>
        <w:tc>
          <w:tcPr>
            <w:tcW w:w="0" w:type="dxa"/>
            <w:vAlign w:val="bottom"/>
          </w:tcPr>
          <w:p>
            <w:pPr>
              <w:spacing w:after="0"/>
              <w:rPr>
                <w:sz w:val="1"/>
                <w:szCs w:val="1"/>
                <w:color w:val="auto"/>
              </w:rPr>
            </w:pPr>
          </w:p>
        </w:tc>
      </w:tr>
      <w:tr>
        <w:trPr>
          <w:trHeight w:val="195"/>
        </w:trPr>
        <w:tc>
          <w:tcPr>
            <w:tcW w:w="3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6"/>
              </w:rPr>
              <w:t>Gould,</w:t>
            </w:r>
          </w:p>
        </w:tc>
        <w:tc>
          <w:tcPr>
            <w:tcW w:w="2820" w:type="dxa"/>
            <w:vAlign w:val="bottom"/>
          </w:tcPr>
          <w:p>
            <w:pPr>
              <w:ind w:left="160"/>
              <w:spacing w:after="0" w:line="188" w:lineRule="exact"/>
              <w:rPr>
                <w:sz w:val="20"/>
                <w:szCs w:val="20"/>
                <w:color w:val="auto"/>
              </w:rPr>
            </w:pPr>
            <w:r>
              <w:rPr>
                <w:rFonts w:ascii="Arial" w:cs="Arial" w:eastAsia="Arial" w:hAnsi="Arial"/>
                <w:sz w:val="18"/>
                <w:szCs w:val="18"/>
                <w:color w:val="auto"/>
              </w:rPr>
              <w:t>Andrew F.</w:t>
            </w:r>
          </w:p>
        </w:tc>
        <w:tc>
          <w:tcPr>
            <w:tcW w:w="3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and Executive Officer</w:t>
            </w:r>
          </w:p>
        </w:tc>
        <w:tc>
          <w:tcPr>
            <w:tcW w:w="220" w:type="dxa"/>
            <w:vAlign w:val="bottom"/>
          </w:tcPr>
          <w:p>
            <w:pPr>
              <w:spacing w:after="0"/>
              <w:rPr>
                <w:sz w:val="16"/>
                <w:szCs w:val="16"/>
                <w:color w:val="auto"/>
              </w:rPr>
            </w:pPr>
          </w:p>
        </w:tc>
        <w:tc>
          <w:tcPr>
            <w:tcW w:w="1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6"/>
                <w:szCs w:val="16"/>
                <w:color w:val="auto"/>
              </w:rPr>
            </w:pPr>
          </w:p>
        </w:tc>
        <w:tc>
          <w:tcPr>
            <w:tcW w:w="31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United Kingdom</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Camus, Philippe</w:t>
            </w:r>
          </w:p>
        </w:tc>
        <w:tc>
          <w:tcPr>
            <w:tcW w:w="3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5"/>
              </w:rPr>
              <w:t>France</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Currie, Peter L.S.</w:t>
            </w:r>
          </w:p>
        </w:tc>
        <w:tc>
          <w:tcPr>
            <w:tcW w:w="3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Isaac, Tony</w:t>
            </w:r>
          </w:p>
        </w:tc>
        <w:tc>
          <w:tcPr>
            <w:tcW w:w="3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2"/>
              </w:rPr>
              <w:t>United Kingdom</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Kamath, Vaman K.</w:t>
            </w:r>
          </w:p>
        </w:tc>
        <w:tc>
          <w:tcPr>
            <w:tcW w:w="3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2"/>
              </w:rPr>
              <w:t>India</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Kibsgaard, Paal</w:t>
            </w:r>
          </w:p>
        </w:tc>
        <w:tc>
          <w:tcPr>
            <w:tcW w:w="3560" w:type="dxa"/>
            <w:vAlign w:val="bottom"/>
            <w:gridSpan w:val="2"/>
          </w:tcPr>
          <w:p>
            <w:pPr>
              <w:spacing w:after="0"/>
              <w:rPr>
                <w:sz w:val="20"/>
                <w:szCs w:val="20"/>
                <w:color w:val="auto"/>
              </w:rPr>
            </w:pPr>
            <w:r>
              <w:rPr>
                <w:rFonts w:ascii="Arial" w:cs="Arial" w:eastAsia="Arial" w:hAnsi="Arial"/>
                <w:sz w:val="18"/>
                <w:szCs w:val="18"/>
                <w:color w:val="auto"/>
              </w:rPr>
              <w:t>Director and Chief Executive Officer</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Norway</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Kudryavtsev, Nikolay</w:t>
            </w:r>
          </w:p>
        </w:tc>
        <w:tc>
          <w:tcPr>
            <w:tcW w:w="3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5"/>
              </w:rPr>
              <w:t>Russian Federation</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Lajous, Adrian</w:t>
            </w:r>
          </w:p>
        </w:tc>
        <w:tc>
          <w:tcPr>
            <w:tcW w:w="3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Marks, Michael</w:t>
            </w:r>
          </w:p>
        </w:tc>
        <w:tc>
          <w:tcPr>
            <w:tcW w:w="3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Moler, Elizabeth A.</w:t>
            </w:r>
          </w:p>
        </w:tc>
        <w:tc>
          <w:tcPr>
            <w:tcW w:w="3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Olayan, Lubna S.</w:t>
            </w:r>
          </w:p>
        </w:tc>
        <w:tc>
          <w:tcPr>
            <w:tcW w:w="3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Saudi Arabia</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Reif, Leo Rafael</w:t>
            </w:r>
          </w:p>
        </w:tc>
        <w:tc>
          <w:tcPr>
            <w:tcW w:w="3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Sandvold, Tore I.</w:t>
            </w:r>
          </w:p>
        </w:tc>
        <w:tc>
          <w:tcPr>
            <w:tcW w:w="3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Norway</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Seydoux, Henri</w:t>
            </w:r>
          </w:p>
        </w:tc>
        <w:tc>
          <w:tcPr>
            <w:tcW w:w="35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5"/>
              </w:rPr>
              <w:t>France</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Ayat, Simon I.</w:t>
            </w:r>
          </w:p>
        </w:tc>
        <w:tc>
          <w:tcPr>
            <w:tcW w:w="3560" w:type="dxa"/>
            <w:vAlign w:val="bottom"/>
            <w:gridSpan w:val="2"/>
          </w:tcPr>
          <w:p>
            <w:pPr>
              <w:spacing w:after="0"/>
              <w:rPr>
                <w:sz w:val="20"/>
                <w:szCs w:val="20"/>
                <w:color w:val="auto"/>
              </w:rPr>
            </w:pPr>
            <w:r>
              <w:rPr>
                <w:rFonts w:ascii="Arial" w:cs="Arial" w:eastAsia="Arial" w:hAnsi="Arial"/>
                <w:sz w:val="18"/>
                <w:szCs w:val="18"/>
                <w:color w:val="auto"/>
                <w:w w:val="98"/>
              </w:rPr>
              <w:t>Executive Vice President and Chief Financial</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vMerge w:val="restart"/>
          </w:tcPr>
          <w:p>
            <w:pPr>
              <w:jc w:val="center"/>
              <w:spacing w:after="0"/>
              <w:rPr>
                <w:sz w:val="20"/>
                <w:szCs w:val="20"/>
                <w:color w:val="auto"/>
              </w:rPr>
            </w:pPr>
            <w:r>
              <w:rPr>
                <w:rFonts w:ascii="Arial" w:cs="Arial" w:eastAsia="Arial" w:hAnsi="Arial"/>
                <w:sz w:val="18"/>
                <w:szCs w:val="18"/>
                <w:color w:val="auto"/>
                <w:w w:val="85"/>
              </w:rPr>
              <w:t>France</w:t>
            </w:r>
          </w:p>
        </w:tc>
        <w:tc>
          <w:tcPr>
            <w:tcW w:w="0" w:type="dxa"/>
            <w:vAlign w:val="bottom"/>
          </w:tcPr>
          <w:p>
            <w:pPr>
              <w:spacing w:after="0"/>
              <w:rPr>
                <w:sz w:val="1"/>
                <w:szCs w:val="1"/>
                <w:color w:val="auto"/>
              </w:rPr>
            </w:pPr>
          </w:p>
        </w:tc>
      </w:tr>
      <w:tr>
        <w:trPr>
          <w:trHeight w:val="114"/>
        </w:trPr>
        <w:tc>
          <w:tcPr>
            <w:tcW w:w="3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Officer</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9"/>
                <w:szCs w:val="9"/>
                <w:color w:val="auto"/>
              </w:rPr>
            </w:pPr>
          </w:p>
        </w:tc>
        <w:tc>
          <w:tcPr>
            <w:tcW w:w="3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356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Belani, Ashok</w:t>
            </w:r>
          </w:p>
        </w:tc>
        <w:tc>
          <w:tcPr>
            <w:tcW w:w="356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2"/>
              </w:rPr>
              <w:t>India</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Oestdahl, Kjell-Erik</w:t>
            </w:r>
          </w:p>
        </w:tc>
        <w:tc>
          <w:tcPr>
            <w:tcW w:w="356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Norway</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Pai, Satish</w:t>
            </w:r>
          </w:p>
        </w:tc>
        <w:tc>
          <w:tcPr>
            <w:tcW w:w="356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2"/>
              </w:rPr>
              <w:t>India</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Pferdehirt, Douglas</w:t>
            </w:r>
          </w:p>
        </w:tc>
        <w:tc>
          <w:tcPr>
            <w:tcW w:w="356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Shivram, Krishna</w:t>
            </w:r>
          </w:p>
        </w:tc>
        <w:tc>
          <w:tcPr>
            <w:tcW w:w="3560" w:type="dxa"/>
            <w:vAlign w:val="bottom"/>
            <w:gridSpan w:val="2"/>
          </w:tcPr>
          <w:p>
            <w:pPr>
              <w:spacing w:after="0"/>
              <w:rPr>
                <w:sz w:val="20"/>
                <w:szCs w:val="20"/>
                <w:color w:val="auto"/>
              </w:rPr>
            </w:pPr>
            <w:r>
              <w:rPr>
                <w:rFonts w:ascii="Arial" w:cs="Arial" w:eastAsia="Arial" w:hAnsi="Arial"/>
                <w:sz w:val="18"/>
                <w:szCs w:val="18"/>
                <w:color w:val="auto"/>
              </w:rPr>
              <w:t>Vice President Treasurer</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2"/>
              </w:rPr>
              <w:t>India</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Cox, Stephanie L.</w:t>
            </w:r>
          </w:p>
        </w:tc>
        <w:tc>
          <w:tcPr>
            <w:tcW w:w="356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Danton, Mark</w:t>
            </w:r>
          </w:p>
        </w:tc>
        <w:tc>
          <w:tcPr>
            <w:tcW w:w="356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2"/>
              </w:rPr>
              <w:t>United Kingdom</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Floridia, Aaron Gatt</w:t>
            </w:r>
          </w:p>
        </w:tc>
        <w:tc>
          <w:tcPr>
            <w:tcW w:w="356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5"/>
              </w:rPr>
              <w:t>Malta</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Nelson, Rodney</w:t>
            </w:r>
          </w:p>
        </w:tc>
        <w:tc>
          <w:tcPr>
            <w:tcW w:w="356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Poupeau, Jean-Francois</w:t>
            </w:r>
          </w:p>
        </w:tc>
        <w:tc>
          <w:tcPr>
            <w:tcW w:w="356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Schorn, Patrick</w:t>
            </w:r>
          </w:p>
        </w:tc>
        <w:tc>
          <w:tcPr>
            <w:tcW w:w="356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Netherlands</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Theobald, Malcolm</w:t>
            </w:r>
          </w:p>
        </w:tc>
        <w:tc>
          <w:tcPr>
            <w:tcW w:w="356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Guild, Howard</w:t>
            </w:r>
          </w:p>
        </w:tc>
        <w:tc>
          <w:tcPr>
            <w:tcW w:w="356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c>
          <w:tcPr>
            <w:tcW w:w="0" w:type="dxa"/>
            <w:vAlign w:val="bottom"/>
          </w:tcPr>
          <w:p>
            <w:pPr>
              <w:spacing w:after="0"/>
              <w:rPr>
                <w:sz w:val="1"/>
                <w:szCs w:val="1"/>
                <w:color w:val="auto"/>
              </w:rPr>
            </w:pP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Juden, Alexander C.</w:t>
            </w:r>
          </w:p>
        </w:tc>
        <w:tc>
          <w:tcPr>
            <w:tcW w:w="3560" w:type="dxa"/>
            <w:vAlign w:val="bottom"/>
            <w:gridSpan w:val="2"/>
          </w:tcPr>
          <w:p>
            <w:pPr>
              <w:spacing w:after="0"/>
              <w:rPr>
                <w:sz w:val="20"/>
                <w:szCs w:val="20"/>
                <w:color w:val="auto"/>
              </w:rPr>
            </w:pPr>
            <w:r>
              <w:rPr>
                <w:rFonts w:ascii="Arial" w:cs="Arial" w:eastAsia="Arial" w:hAnsi="Arial"/>
                <w:sz w:val="18"/>
                <w:szCs w:val="18"/>
                <w:color w:val="auto"/>
              </w:rPr>
              <w:t>Secretary and General Counsel</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spacing w:after="0"/>
        <w:tabs>
          <w:tab w:leader="none" w:pos="5300" w:val="left"/>
          <w:tab w:leader="none" w:pos="10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b w:val="1"/>
          <w:bCs w:val="1"/>
          <w:color w:val="auto"/>
        </w:rPr>
        <w:t>125151100</w:t>
      </w:r>
      <w:r>
        <w:rPr>
          <w:sz w:val="20"/>
          <w:szCs w:val="20"/>
          <w:color w:val="auto"/>
        </w:rPr>
        <w:tab/>
      </w: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10 of 11</w:t>
      </w:r>
    </w:p>
    <w:p>
      <w:pPr>
        <w:spacing w:after="0" w:line="158"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DIRECTORS AND OFFICERS OF SMITH INTERNATIONAL, INC.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indicated below, each person’s business address is c/o Schlumberger Limited, 5599 San Felipe, 17th Floor, Houston, Texas 77056.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Shares CE</w:t>
            </w:r>
          </w:p>
        </w:tc>
        <w:tc>
          <w:tcPr>
            <w:tcW w:w="250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880" w:type="dxa"/>
            <w:vAlign w:val="bottom"/>
            <w:gridSpan w:val="2"/>
          </w:tcPr>
          <w:p>
            <w:pPr>
              <w:ind w:left="740"/>
              <w:spacing w:after="0" w:line="149" w:lineRule="exact"/>
              <w:rPr>
                <w:sz w:val="20"/>
                <w:szCs w:val="20"/>
                <w:color w:val="auto"/>
              </w:rPr>
            </w:pPr>
            <w:r>
              <w:rPr>
                <w:rFonts w:ascii="Arial" w:cs="Arial" w:eastAsia="Arial" w:hAnsi="Arial"/>
                <w:sz w:val="14"/>
                <w:szCs w:val="14"/>
                <w:b w:val="1"/>
                <w:bCs w:val="1"/>
                <w:color w:val="auto"/>
              </w:rPr>
              <w:t>Position and Present</w:t>
            </w:r>
          </w:p>
        </w:tc>
        <w:tc>
          <w:tcPr>
            <w:tcW w:w="2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Franklin</w:t>
            </w:r>
          </w:p>
        </w:tc>
        <w:tc>
          <w:tcPr>
            <w:tcW w:w="2500" w:type="dxa"/>
            <w:vAlign w:val="bottom"/>
          </w:tcPr>
          <w:p>
            <w:pPr>
              <w:spacing w:after="0"/>
              <w:rPr>
                <w:sz w:val="12"/>
                <w:szCs w:val="12"/>
                <w:color w:val="auto"/>
              </w:rPr>
            </w:pPr>
          </w:p>
        </w:tc>
      </w:t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820" w:type="dxa"/>
            <w:vAlign w:val="bottom"/>
          </w:tcPr>
          <w:p>
            <w:pPr>
              <w:spacing w:after="0"/>
              <w:rPr>
                <w:sz w:val="15"/>
                <w:szCs w:val="15"/>
                <w:color w:val="auto"/>
              </w:rPr>
            </w:pPr>
          </w:p>
        </w:tc>
        <w:tc>
          <w:tcPr>
            <w:tcW w:w="2880" w:type="dxa"/>
            <w:vAlign w:val="bottom"/>
            <w:gridSpan w:val="2"/>
          </w:tcPr>
          <w:p>
            <w:pPr>
              <w:ind w:left="700"/>
              <w:spacing w:after="0"/>
              <w:rPr>
                <w:sz w:val="20"/>
                <w:szCs w:val="20"/>
                <w:color w:val="auto"/>
              </w:rPr>
            </w:pPr>
            <w:r>
              <w:rPr>
                <w:rFonts w:ascii="Arial" w:cs="Arial" w:eastAsia="Arial" w:hAnsi="Arial"/>
                <w:sz w:val="14"/>
                <w:szCs w:val="14"/>
                <w:b w:val="1"/>
                <w:bCs w:val="1"/>
                <w:color w:val="auto"/>
              </w:rPr>
              <w:t>Principal Occupation</w:t>
            </w:r>
          </w:p>
        </w:tc>
        <w:tc>
          <w:tcPr>
            <w:tcW w:w="2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Common Stock</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8"/>
              </w:rPr>
              <w:t>Citizenship</w:t>
            </w:r>
          </w:p>
        </w:tc>
      </w:tr>
      <w:tr>
        <w:trPr>
          <w:trHeight w:val="195"/>
        </w:trPr>
        <w:tc>
          <w:tcPr>
            <w:tcW w:w="3200" w:type="dxa"/>
            <w:vAlign w:val="bottom"/>
            <w:gridSpan w:val="2"/>
          </w:tcPr>
          <w:p>
            <w:pPr>
              <w:spacing w:after="0" w:line="195" w:lineRule="exact"/>
              <w:rPr>
                <w:sz w:val="20"/>
                <w:szCs w:val="20"/>
                <w:color w:val="auto"/>
              </w:rPr>
            </w:pPr>
            <w:r>
              <w:rPr>
                <w:rFonts w:ascii="Arial" w:cs="Arial" w:eastAsia="Arial" w:hAnsi="Arial"/>
                <w:sz w:val="18"/>
                <w:szCs w:val="18"/>
                <w:color w:val="auto"/>
              </w:rPr>
              <w:t>Dudman, Bryan Leigh</w:t>
            </w:r>
          </w:p>
        </w:tc>
        <w:tc>
          <w:tcPr>
            <w:tcW w:w="2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6"/>
                <w:szCs w:val="16"/>
                <w:color w:val="auto"/>
              </w:rPr>
            </w:pPr>
          </w:p>
        </w:tc>
        <w:tc>
          <w:tcPr>
            <w:tcW w:w="2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United States</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Farrant, Simon</w:t>
            </w:r>
          </w:p>
        </w:tc>
        <w:tc>
          <w:tcPr>
            <w:tcW w:w="2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United Kingdom</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Pferdehirt, Douglas</w:t>
            </w:r>
          </w:p>
        </w:tc>
        <w:tc>
          <w:tcPr>
            <w:tcW w:w="2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6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Poupeau, Jean-Francois</w:t>
            </w:r>
          </w:p>
        </w:tc>
        <w:tc>
          <w:tcPr>
            <w:tcW w:w="288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26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Arrington, Guy L.</w:t>
            </w:r>
          </w:p>
        </w:tc>
        <w:tc>
          <w:tcPr>
            <w:tcW w:w="288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26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Dudman, Bryan Leigh</w:t>
            </w:r>
          </w:p>
        </w:tc>
        <w:tc>
          <w:tcPr>
            <w:tcW w:w="288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26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Kennedy, John J.</w:t>
            </w:r>
          </w:p>
        </w:tc>
        <w:tc>
          <w:tcPr>
            <w:tcW w:w="288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26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United Kingdom</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Maestroni, Francesca Jacqueline</w:t>
            </w:r>
          </w:p>
        </w:tc>
        <w:tc>
          <w:tcPr>
            <w:tcW w:w="288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26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Italy</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Orr, Steve</w:t>
            </w:r>
          </w:p>
        </w:tc>
        <w:tc>
          <w:tcPr>
            <w:tcW w:w="288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26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5"/>
              </w:rPr>
              <w:t>Canada</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Skibicki, Michael</w:t>
            </w:r>
          </w:p>
        </w:tc>
        <w:tc>
          <w:tcPr>
            <w:tcW w:w="288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26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Waterland, David</w:t>
            </w:r>
          </w:p>
        </w:tc>
        <w:tc>
          <w:tcPr>
            <w:tcW w:w="288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26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United Kingdom</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Seth, Samir</w:t>
            </w:r>
          </w:p>
        </w:tc>
        <w:tc>
          <w:tcPr>
            <w:tcW w:w="2880" w:type="dxa"/>
            <w:vAlign w:val="bottom"/>
            <w:gridSpan w:val="2"/>
          </w:tcPr>
          <w:p>
            <w:pPr>
              <w:spacing w:after="0"/>
              <w:rPr>
                <w:sz w:val="20"/>
                <w:szCs w:val="20"/>
                <w:color w:val="auto"/>
              </w:rPr>
            </w:pPr>
            <w:r>
              <w:rPr>
                <w:rFonts w:ascii="Arial" w:cs="Arial" w:eastAsia="Arial" w:hAnsi="Arial"/>
                <w:sz w:val="18"/>
                <w:szCs w:val="18"/>
                <w:color w:val="auto"/>
              </w:rPr>
              <w:t>Treasurer</w:t>
            </w:r>
          </w:p>
        </w:tc>
        <w:tc>
          <w:tcPr>
            <w:tcW w:w="26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India</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Fraser, Stuart</w:t>
            </w:r>
          </w:p>
        </w:tc>
        <w:tc>
          <w:tcPr>
            <w:tcW w:w="2880" w:type="dxa"/>
            <w:vAlign w:val="bottom"/>
            <w:gridSpan w:val="2"/>
          </w:tcPr>
          <w:p>
            <w:pPr>
              <w:spacing w:after="0"/>
              <w:rPr>
                <w:sz w:val="20"/>
                <w:szCs w:val="20"/>
                <w:color w:val="auto"/>
              </w:rPr>
            </w:pPr>
            <w:r>
              <w:rPr>
                <w:rFonts w:ascii="Arial" w:cs="Arial" w:eastAsia="Arial" w:hAnsi="Arial"/>
                <w:sz w:val="18"/>
                <w:szCs w:val="18"/>
                <w:color w:val="auto"/>
              </w:rPr>
              <w:t>Controller</w:t>
            </w:r>
          </w:p>
        </w:tc>
        <w:tc>
          <w:tcPr>
            <w:tcW w:w="26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4"/>
              </w:rPr>
              <w:t>Australia</w:t>
            </w: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Maestroni, Francesca</w:t>
            </w:r>
          </w:p>
        </w:tc>
        <w:tc>
          <w:tcPr>
            <w:tcW w:w="2880" w:type="dxa"/>
            <w:vAlign w:val="bottom"/>
            <w:gridSpan w:val="2"/>
          </w:tcPr>
          <w:p>
            <w:pPr>
              <w:spacing w:after="0"/>
              <w:rPr>
                <w:sz w:val="20"/>
                <w:szCs w:val="20"/>
                <w:color w:val="auto"/>
              </w:rPr>
            </w:pPr>
            <w:r>
              <w:rPr>
                <w:rFonts w:ascii="Arial" w:cs="Arial" w:eastAsia="Arial" w:hAnsi="Arial"/>
                <w:sz w:val="18"/>
                <w:szCs w:val="18"/>
                <w:color w:val="auto"/>
              </w:rPr>
              <w:t>Secretary</w:t>
            </w:r>
          </w:p>
        </w:tc>
        <w:tc>
          <w:tcPr>
            <w:tcW w:w="26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9"/>
                <w:szCs w:val="19"/>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Italy</w:t>
            </w:r>
          </w:p>
        </w:tc>
      </w:tr>
    </w:tbl>
    <w:p>
      <w:pPr>
        <w:sectPr>
          <w:pgSz w:w="11900" w:h="16838" w:orient="portrait"/>
          <w:cols w:equalWidth="0" w:num="1">
            <w:col w:w="11420"/>
          </w:cols>
          <w:pgMar w:left="240" w:top="274" w:right="239" w:bottom="1440" w:gutter="0" w:footer="0" w:header="0"/>
        </w:sectPr>
      </w:pPr>
    </w:p>
    <w:bookmarkStart w:id="10" w:name="page11"/>
    <w:bookmarkEnd w:id="10"/>
    <w:p>
      <w:pPr>
        <w:spacing w:after="0"/>
        <w:tabs>
          <w:tab w:leader="none" w:pos="5300" w:val="left"/>
          <w:tab w:leader="none" w:pos="10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b w:val="1"/>
          <w:bCs w:val="1"/>
          <w:color w:val="auto"/>
        </w:rPr>
        <w:t>125151100</w:t>
      </w:r>
      <w:r>
        <w:rPr>
          <w:sz w:val="20"/>
          <w:szCs w:val="20"/>
          <w:color w:val="auto"/>
        </w:rPr>
        <w:tab/>
      </w:r>
      <w:r>
        <w:rPr>
          <w:rFonts w:ascii="Arial" w:cs="Arial" w:eastAsia="Arial" w:hAnsi="Arial"/>
          <w:sz w:val="18"/>
          <w:szCs w:val="18"/>
          <w:color w:val="auto"/>
        </w:rPr>
        <w:t>SCHEDULE 13D</w:t>
      </w:r>
      <w:r>
        <w:rPr>
          <w:sz w:val="20"/>
          <w:szCs w:val="20"/>
          <w:color w:val="auto"/>
        </w:rPr>
        <w:tab/>
      </w:r>
      <w:r>
        <w:rPr>
          <w:rFonts w:ascii="Arial" w:cs="Arial" w:eastAsia="Arial" w:hAnsi="Arial"/>
          <w:sz w:val="15"/>
          <w:szCs w:val="15"/>
          <w:color w:val="auto"/>
        </w:rPr>
        <w:t>Page 11 of 11</w:t>
      </w:r>
    </w:p>
    <w:p>
      <w:pPr>
        <w:spacing w:after="0" w:line="158"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MANAGERS OF WILSON DISTRIBUTION HOLDINGS, LLC</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indicated below, each person’s business address is c/o Schlumberger Limited, 5599 San Felipe, 17th Floor, Houston, Texas 77056.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Shares CE</w:t>
            </w:r>
          </w:p>
        </w:tc>
        <w:tc>
          <w:tcPr>
            <w:tcW w:w="250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Position and Present</w:t>
            </w:r>
          </w:p>
        </w:tc>
        <w:tc>
          <w:tcPr>
            <w:tcW w:w="2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Franklin</w:t>
            </w:r>
          </w:p>
        </w:tc>
        <w:tc>
          <w:tcPr>
            <w:tcW w:w="2500" w:type="dxa"/>
            <w:vAlign w:val="bottom"/>
          </w:tcPr>
          <w:p>
            <w:pPr>
              <w:spacing w:after="0"/>
              <w:rPr>
                <w:sz w:val="12"/>
                <w:szCs w:val="12"/>
                <w:color w:val="auto"/>
              </w:rPr>
            </w:pPr>
          </w:p>
        </w:tc>
      </w:tr>
      <w:tr>
        <w:trPr>
          <w:trHeight w:val="181"/>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Principal Occupation</w:t>
            </w:r>
          </w:p>
        </w:tc>
        <w:tc>
          <w:tcPr>
            <w:tcW w:w="2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Common Stock</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8"/>
              </w:rPr>
              <w:t>Citizenship</w:t>
            </w:r>
          </w:p>
        </w:tc>
      </w:tr>
      <w:tr>
        <w:trPr>
          <w:trHeight w:val="195"/>
        </w:trPr>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0"/>
              </w:rPr>
              <w:t>Simon</w:t>
            </w:r>
          </w:p>
        </w:tc>
        <w:tc>
          <w:tcPr>
            <w:tcW w:w="2820" w:type="dxa"/>
            <w:vAlign w:val="bottom"/>
          </w:tcPr>
          <w:p>
            <w:pPr>
              <w:ind w:left="140"/>
              <w:spacing w:after="0" w:line="188" w:lineRule="exact"/>
              <w:rPr>
                <w:sz w:val="20"/>
                <w:szCs w:val="20"/>
                <w:color w:val="auto"/>
              </w:rPr>
            </w:pPr>
            <w:r>
              <w:rPr>
                <w:rFonts w:ascii="Arial" w:cs="Arial" w:eastAsia="Arial" w:hAnsi="Arial"/>
                <w:sz w:val="18"/>
                <w:szCs w:val="18"/>
                <w:color w:val="auto"/>
              </w:rPr>
              <w:t>Farrant</w:t>
            </w:r>
          </w:p>
        </w:tc>
        <w:tc>
          <w:tcPr>
            <w:tcW w:w="2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Manager</w:t>
            </w:r>
          </w:p>
        </w:tc>
        <w:tc>
          <w:tcPr>
            <w:tcW w:w="24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6"/>
                <w:szCs w:val="16"/>
                <w:color w:val="auto"/>
              </w:rPr>
            </w:pPr>
          </w:p>
        </w:tc>
        <w:tc>
          <w:tcPr>
            <w:tcW w:w="2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United States</w:t>
            </w:r>
          </w:p>
        </w:tc>
      </w:tr>
      <w:tr>
        <w:trPr>
          <w:trHeight w:val="236"/>
        </w:trPr>
        <w:tc>
          <w:tcPr>
            <w:tcW w:w="3200" w:type="dxa"/>
            <w:vAlign w:val="bottom"/>
            <w:gridSpan w:val="2"/>
          </w:tcPr>
          <w:p>
            <w:pPr>
              <w:spacing w:after="0"/>
              <w:rPr>
                <w:sz w:val="20"/>
                <w:szCs w:val="20"/>
                <w:color w:val="auto"/>
              </w:rPr>
            </w:pPr>
            <w:r>
              <w:rPr>
                <w:rFonts w:ascii="Arial" w:cs="Arial" w:eastAsia="Arial" w:hAnsi="Arial"/>
                <w:sz w:val="18"/>
                <w:szCs w:val="18"/>
                <w:color w:val="auto"/>
              </w:rPr>
              <w:t>Michael McGuinty</w:t>
            </w:r>
          </w:p>
        </w:tc>
        <w:tc>
          <w:tcPr>
            <w:tcW w:w="2880" w:type="dxa"/>
            <w:vAlign w:val="bottom"/>
            <w:gridSpan w:val="2"/>
          </w:tcPr>
          <w:p>
            <w:pPr>
              <w:spacing w:after="0"/>
              <w:rPr>
                <w:sz w:val="20"/>
                <w:szCs w:val="20"/>
                <w:color w:val="auto"/>
              </w:rPr>
            </w:pPr>
            <w:r>
              <w:rPr>
                <w:rFonts w:ascii="Arial" w:cs="Arial" w:eastAsia="Arial" w:hAnsi="Arial"/>
                <w:sz w:val="18"/>
                <w:szCs w:val="18"/>
                <w:color w:val="auto"/>
              </w:rPr>
              <w:t>Manager</w:t>
            </w:r>
          </w:p>
        </w:tc>
        <w:tc>
          <w:tcPr>
            <w:tcW w:w="26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5"/>
              </w:rPr>
              <w:t>Canada/Spain</w:t>
            </w:r>
          </w:p>
        </w:tc>
      </w:tr>
    </w:tbl>
    <w:p>
      <w:pPr>
        <w:sectPr>
          <w:pgSz w:w="11900" w:h="16838" w:orient="portrait"/>
          <w:cols w:equalWidth="0" w:num="1">
            <w:col w:w="11420"/>
          </w:cols>
          <w:pgMar w:left="240" w:top="274"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accordance with Rule 13d-1(k)(1) under the Securities Exchange Act of 1934, as amended, the persons below agree to the joint filing on behalf of each of them of a Statement on Schedule 13D, and any and all amendments thereto, with regard to the beneficial ownership of common shares, no par value, of CE Franklin Ltd, an Alberta, Canada limited company, and further agree that this Joint Filing Agreement be included as an exhibit to the Statement on Schedule 13D. In evidence thereof the undersigned hereby execute this Agreement as of the 6th day of February, 2012.</w:t>
      </w:r>
    </w:p>
    <w:p>
      <w:pPr>
        <w:spacing w:after="0" w:line="23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Schlumberger N.V. (Schlumberger Limited)</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Saul R. Laureles</w:t>
      </w:r>
    </w:p>
    <w:p>
      <w:pPr>
        <w:spacing w:after="0" w:line="15"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Assistant Secretary and Senior Counsel</w:t>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Smith International, Inc.</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Jean-Francois Poupeau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Jean-Francois Poupeau</w:t>
      </w:r>
    </w:p>
    <w:p>
      <w:pPr>
        <w:spacing w:after="0" w:line="15"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President</w:t>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Wilson Distribution Holdings, LLC</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Michael McGuinty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Michael McGuinty</w:t>
      </w:r>
    </w:p>
    <w:p>
      <w:pPr>
        <w:spacing w:after="0" w:line="15"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Manager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lvl w:ilvl="1">
      <w:lvlJc w:val="left"/>
      <w:lvlText w:val="(%2)"/>
      <w:numFmt w:val="lowerLetter"/>
      <w:start w:val="1"/>
    </w:lvl>
  </w:abstractNum>
  <w:abstractNum w:abstractNumId="2">
    <w:nsid w:val="1190CDE7"/>
    <w:multiLevelType w:val="hybridMultilevel"/>
    <w:lvl w:ilvl="0">
      <w:lvlJc w:val="left"/>
      <w:lvlText w:val="(%1)"/>
      <w:numFmt w:val="decimal"/>
      <w:start w:val="6"/>
    </w:lvl>
    <w:lvl w:ilvl="1">
      <w:lvlJc w:val="left"/>
      <w:lvlText w:val="(%2)"/>
      <w:numFmt w:val="decimal"/>
      <w:start w:val="7"/>
    </w:lvl>
  </w:abstractNum>
  <w:abstractNum w:abstractNumId="3">
    <w:nsid w:val="66EF438D"/>
    <w:multiLevelType w:val="hybridMultilevel"/>
    <w:lvl w:ilvl="0">
      <w:lvlJc w:val="left"/>
      <w:lvlText w:val="(%1)"/>
      <w:numFmt w:val="decimal"/>
      <w:start w:val="11"/>
    </w:lvl>
  </w:abstractNum>
  <w:abstractNum w:abstractNumId="4">
    <w:nsid w:val="140E0F76"/>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5">
    <w:nsid w:val="3352255A"/>
    <w:multiLevelType w:val="hybridMultilevel"/>
    <w:lvl w:ilvl="0">
      <w:lvlJc w:val="left"/>
      <w:lvlText w:val="(%1)"/>
      <w:numFmt w:val="decimal"/>
      <w:start w:val="11"/>
    </w:lvl>
  </w:abstractNum>
  <w:abstractNum w:abstractNumId="6">
    <w:nsid w:val="109CF92E"/>
    <w:multiLevelType w:val="hybridMultilevel"/>
    <w:lvl w:ilvl="0">
      <w:lvlJc w:val="left"/>
      <w:lvlText w:val="3"/>
      <w:numFmt w:val="bullet"/>
      <w:start w:val="1"/>
    </w:lvl>
  </w:abstractNum>
  <w:abstractNum w:abstractNumId="7">
    <w:nsid w:val="DED7263"/>
    <w:multiLevelType w:val="hybridMultilevel"/>
    <w:lvl w:ilvl="0">
      <w:lvlJc w:val="left"/>
      <w:lvlText w:val="4"/>
      <w:numFmt w:val="bullet"/>
      <w:start w:val="1"/>
    </w:lvl>
  </w:abstractNum>
  <w:abstractNum w:abstractNumId="8">
    <w:nsid w:val="7FDCC233"/>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9">
    <w:nsid w:val="1BEFD79F"/>
    <w:multiLevelType w:val="hybridMultilevel"/>
    <w:lvl w:ilvl="0">
      <w:lvlJc w:val="left"/>
      <w:lvlText w:val="(%1)"/>
      <w:numFmt w:val="decimal"/>
      <w:start w:val="11"/>
    </w:lvl>
  </w:abstractNum>
  <w:abstractNum w:abstractNumId="10">
    <w:nsid w:val="41A7C4C9"/>
    <w:multiLevelType w:val="hybridMultilevel"/>
    <w:lvl w:ilvl="0">
      <w:lvlJc w:val="left"/>
      <w:lvlText w:val="5"/>
      <w:numFmt w:val="bullet"/>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Roman"/>
      <w:start w:val="2"/>
    </w:lvl>
  </w:abstractNum>
  <w:abstractNum w:abstractNumId="13">
    <w:nsid w:val="25E45D32"/>
    <w:multiLevelType w:val="hybridMultilevel"/>
    <w:lvl w:ilvl="0">
      <w:lvlJc w:val="left"/>
      <w:lvlText w:val="(%1)"/>
      <w:numFmt w:val="lowerRoman"/>
      <w:start w:val="3"/>
    </w:lvl>
  </w:abstractNum>
  <w:abstractNum w:abstractNumId="14">
    <w:nsid w:val="519B500D"/>
    <w:multiLevelType w:val="hybridMultilevel"/>
    <w:lvl w:ilvl="0">
      <w:lvlJc w:val="left"/>
      <w:lvlText w:val="(%1)"/>
      <w:numFmt w:val="lowerLetter"/>
      <w:start w:val="2"/>
    </w:lvl>
  </w:abstractNum>
  <w:abstractNum w:abstractNumId="15">
    <w:nsid w:val="431BD7B7"/>
    <w:multiLevelType w:val="hybridMultilevel"/>
    <w:lvl w:ilvl="0">
      <w:lvlJc w:val="left"/>
      <w:lvlText w:val="(%1)"/>
      <w:numFmt w:val="lowerRoman"/>
      <w:start w:val="1"/>
    </w:lvl>
  </w:abstractNum>
  <w:abstractNum w:abstractNumId="16">
    <w:nsid w:val="3F2DBA31"/>
    <w:multiLevelType w:val="hybridMultilevel"/>
    <w:lvl w:ilvl="0">
      <w:lvlJc w:val="left"/>
      <w:lvlText w:val="(%1)"/>
      <w:numFmt w:val="lowerLetter"/>
      <w:start w:val="6"/>
    </w:lvl>
    <w:lvl w:ilvl="1">
      <w:lvlJc w:val="left"/>
      <w:lvlText w:val="(%2)"/>
      <w:numFmt w:val="lowerRoman"/>
      <w:start w:val="2"/>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2"/>
    </w:lvl>
  </w:abstractNum>
  <w:abstractNum w:abstractNumId="19">
    <w:nsid w:val="62BBD9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2019-12-20T19:50:13Z</dcterms:created>
  <dcterms:modified xsi:type="dcterms:W3CDTF">2019-12-20T19:50:13Z</dcterms:modified>
</cp:coreProperties>
</file>