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6559d8k.htm"/>
      <w:bookmarkStart w:id="1" w:name="ksd78655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160" w:after="0"/>
        <w:jc w:val="center"/>
        <w:rPr>
          <w:rFonts w:ascii="ARIAL" w:hAnsi="ARIAL"/>
          <w:b/>
          <w:sz w:val="24"/>
        </w:rPr>
      </w:pPr>
      <w:r>
        <w:rPr>
          <w:rFonts w:ascii="ARIAL" w:hAnsi="ARIAL"/>
          <w:b/>
          <w:sz w:val="24"/>
        </w:rPr>
        <w:t>Date of Report (Date of earliest event reported): April 3,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60" w:after="0"/>
        <w:jc w:val="center"/>
        <w:rPr>
          <w:rFonts w:ascii="ARIAL" w:hAnsi="ARIAL"/>
          <w:b/>
          <w:sz w:val="20"/>
        </w:rPr>
      </w:pPr>
      <w:r>
        <w:rPr>
          <w:rFonts w:ascii="ARIAL" w:hAnsi="ARIAL"/>
          <w:b/>
          <w:sz w:val="20"/>
        </w:rPr>
        <w:t>42 rue Saint-Dominique, Paris, France 75007</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62 Buckingham Gate, London, United Kingdom SW1E 6AJ</w:t>
      </w:r>
    </w:p>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16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16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ARIAL" w:hAnsi="ARIAL"/>
          <w:sz w:val="20"/>
        </w:rPr>
      </w:pPr>
      <w:r>
        <w:rPr>
          <w:rFonts w:ascii="ARIAL" w:hAnsi="ARIAL"/>
          <w:sz w:val="20"/>
        </w:rPr>
        <w:t>Emerging growth company ☐</w:t>
      </w:r>
    </w:p>
    <w:p>
      <w:pPr>
        <w:pStyle w:val="TextBody"/>
        <w:bidi w:val="0"/>
        <w:spacing w:before="16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950" w:type="dxa"/>
        <w:jc w:val="left"/>
        <w:tblInd w:w="0" w:type="dxa"/>
        <w:tblLayout w:type="fixed"/>
        <w:tblCellMar>
          <w:top w:w="0" w:type="dxa"/>
          <w:left w:w="0" w:type="dxa"/>
          <w:bottom w:w="0" w:type="dxa"/>
          <w:right w:w="0" w:type="dxa"/>
        </w:tblCellMar>
      </w:tblPr>
      <w:tblGrid>
        <w:gridCol w:w="965"/>
        <w:gridCol w:w="4985"/>
      </w:tblGrid>
      <w:tr>
        <w:trPr/>
        <w:tc>
          <w:tcPr>
            <w:tcW w:w="965" w:type="dxa"/>
            <w:tcBorders/>
            <w:vAlign w:val="center"/>
          </w:tcPr>
          <w:p>
            <w:pPr>
              <w:pStyle w:val="TableContents"/>
              <w:bidi w:val="0"/>
              <w:spacing w:before="0" w:after="283"/>
              <w:jc w:val="left"/>
              <w:rPr>
                <w:b/>
              </w:rPr>
            </w:pPr>
            <w:r>
              <w:rPr>
                <w:b/>
              </w:rPr>
              <w:t>Item 5.07</w:t>
            </w:r>
          </w:p>
        </w:tc>
        <w:tc>
          <w:tcPr>
            <w:tcW w:w="4985" w:type="dxa"/>
            <w:tcBorders/>
            <w:vAlign w:val="center"/>
          </w:tcPr>
          <w:p>
            <w:pPr>
              <w:pStyle w:val="TableContents"/>
              <w:bidi w:val="0"/>
              <w:spacing w:before="0" w:after="0"/>
              <w:jc w:val="left"/>
              <w:rPr>
                <w:rFonts w:ascii="ARIAL" w:hAnsi="ARIAL"/>
                <w:b/>
                <w:sz w:val="20"/>
              </w:rPr>
            </w:pPr>
            <w:r>
              <w:rPr>
                <w:rFonts w:ascii="ARIAL" w:hAnsi="ARIAL"/>
                <w:b/>
                <w:sz w:val="20"/>
              </w:rPr>
              <w:t xml:space="preserve">Submission of Matters to a Vote of Security Holders. </w:t>
            </w:r>
          </w:p>
        </w:tc>
      </w:tr>
    </w:tbl>
    <w:p>
      <w:pPr>
        <w:pStyle w:val="TextBody"/>
        <w:bidi w:val="0"/>
        <w:spacing w:before="120" w:after="0"/>
        <w:jc w:val="left"/>
        <w:rPr>
          <w:rFonts w:ascii="ARIAL" w:hAnsi="ARIAL"/>
          <w:sz w:val="20"/>
        </w:rPr>
      </w:pPr>
      <w:r>
        <w:rPr>
          <w:rFonts w:ascii="ARIAL" w:hAnsi="ARIAL"/>
          <w:sz w:val="20"/>
        </w:rPr>
        <w:t xml:space="preserve">The 2024 Annual General Meeting of Shareholders (the “Annual Meeting”) of Schlumberger Limited (Schlumberger N.V.), a Curaçao corporation (“SLB”), was held on April 3, 2024. All director nominees were elected and all other proposals passed at the Annual Meeting. The results are summarized below, with detailed voting results following. </w:t>
      </w:r>
    </w:p>
    <w:p>
      <w:pPr>
        <w:pStyle w:val="TextBody"/>
        <w:bidi w:val="0"/>
        <w:spacing w:before="240" w:after="0"/>
        <w:jc w:val="left"/>
        <w:rPr>
          <w:rFonts w:ascii="ARIAL" w:hAnsi="ARIAL"/>
          <w:sz w:val="20"/>
        </w:rPr>
      </w:pPr>
      <w:r>
        <w:rPr>
          <w:rFonts w:ascii="ARIAL" w:hAnsi="ARIAL"/>
          <w:sz w:val="20"/>
        </w:rPr>
        <w:t xml:space="preserve">At the Annual Meeting, the shareholders of SLB: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20"/>
              </w:rPr>
            </w:pPr>
            <w:r>
              <w:rPr>
                <w:rFonts w:ascii="ARIAL" w:hAnsi="ARIAL"/>
                <w:sz w:val="20"/>
              </w:rPr>
              <w:t xml:space="preserve">Item 1—elected all eleven director nominees;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Item 2—approved, on an advisory basis, SLB’s executive compensation, with approximately 97.3% of the votes cast voting for this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Item 3—approved SLB’s consolidated balance sheet at December 31, 2023, its consolidated statement of income for the year ended December 31, 2023, and the declarations of dividends by SLB’s Board of Directors in 2023 as reflected in its Annual Report on Form 10-K for the fiscal year ended December 31, 2023, with approximately 99.9% of the votes cast voting for this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Item 4—ratified the appointment of PricewaterhouseCoopers LLP as the independent auditors of SLB for 2024, with approximately 93.0% of the votes cast voting for this proposal. </w:t>
            </w:r>
          </w:p>
        </w:tc>
      </w:tr>
    </w:tbl>
    <w:p>
      <w:pPr>
        <w:pStyle w:val="TextBody"/>
        <w:bidi w:val="0"/>
        <w:spacing w:before="240" w:after="0"/>
        <w:jc w:val="left"/>
        <w:rPr>
          <w:rFonts w:ascii="ARIAL" w:hAnsi="ARIAL"/>
          <w:sz w:val="20"/>
        </w:rPr>
      </w:pPr>
      <w:r>
        <w:rPr>
          <w:rFonts w:ascii="ARIAL" w:hAnsi="ARIAL"/>
          <w:sz w:val="20"/>
        </w:rPr>
        <w:t xml:space="preserve">The proposals are described in detail in SLB’s definitive proxy statement for the Annual Meeting, which was filed with the SEC on February 22, 2024 (the “Definitive Proxy Statement”). </w:t>
      </w:r>
    </w:p>
    <w:p>
      <w:pPr>
        <w:pStyle w:val="TextBody"/>
        <w:bidi w:val="0"/>
        <w:spacing w:before="360" w:after="0"/>
        <w:jc w:val="left"/>
        <w:rPr>
          <w:rFonts w:ascii="ARIAL" w:hAnsi="ARIAL"/>
          <w:b/>
          <w:i/>
          <w:sz w:val="20"/>
        </w:rPr>
      </w:pPr>
      <w:r>
        <w:rPr>
          <w:rFonts w:ascii="ARIAL" w:hAnsi="ARIAL"/>
          <w:b/>
          <w:i/>
          <w:sz w:val="20"/>
        </w:rPr>
        <w:t xml:space="preserve">Item 1—Election of Directors </w:t>
      </w:r>
    </w:p>
    <w:p>
      <w:pPr>
        <w:pStyle w:val="TextBody"/>
        <w:bidi w:val="0"/>
        <w:spacing w:before="120" w:after="0"/>
        <w:jc w:val="left"/>
        <w:rPr>
          <w:rFonts w:ascii="ARIAL" w:hAnsi="ARIAL"/>
          <w:sz w:val="20"/>
        </w:rPr>
      </w:pPr>
      <w:r>
        <w:rPr>
          <w:rFonts w:ascii="ARIAL" w:hAnsi="ARIAL"/>
          <w:sz w:val="20"/>
        </w:rPr>
        <w:t xml:space="preserve">All director nominees were elected at the Annual Meeting.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2285"/>
        <w:gridCol w:w="120"/>
        <w:gridCol w:w="60"/>
        <w:gridCol w:w="1400"/>
        <w:gridCol w:w="60"/>
        <w:gridCol w:w="120"/>
        <w:gridCol w:w="60"/>
        <w:gridCol w:w="1220"/>
        <w:gridCol w:w="60"/>
        <w:gridCol w:w="120"/>
        <w:gridCol w:w="60"/>
        <w:gridCol w:w="980"/>
        <w:gridCol w:w="60"/>
        <w:gridCol w:w="120"/>
        <w:gridCol w:w="60"/>
        <w:gridCol w:w="1220"/>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b/>
              </w:rPr>
            </w:pPr>
            <w:r>
              <w:rPr>
                <w:b/>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b/>
              </w:rPr>
            </w:pPr>
            <w:r>
              <w:rPr>
                <w:b/>
              </w:rPr>
              <w:t>Abstain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right"/>
              <w:rPr>
                <w:rFonts w:ascii="ARIAL" w:hAnsi="ARIAL"/>
                <w:b/>
                <w:sz w:val="16"/>
              </w:rPr>
            </w:pPr>
            <w:r>
              <w:rPr>
                <w:rFonts w:ascii="ARIAL" w:hAnsi="ARIAL"/>
                <w:b/>
                <w:sz w:val="16"/>
              </w:rPr>
              <w:t>Broker</w:t>
            </w:r>
          </w:p>
          <w:p>
            <w:pPr>
              <w:pStyle w:val="TableContents"/>
              <w:bidi w:val="0"/>
              <w:spacing w:before="0" w:after="20"/>
              <w:jc w:val="right"/>
              <w:rPr>
                <w:rFonts w:ascii="ARIAL" w:hAnsi="ARIAL"/>
                <w:b/>
                <w:sz w:val="16"/>
              </w:rPr>
            </w:pPr>
            <w:r>
              <w:rPr>
                <w:rFonts w:ascii="ARIAL" w:hAnsi="ARIAL"/>
                <w:b/>
                <w:sz w:val="16"/>
              </w:rPr>
              <w:t>Non-votes</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Peter Coleman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1,014,817,161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62,138,559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709,305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Patrick de La Chevardière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1,062,570,978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14,357,327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736,720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Miguel Galuccio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1,012,577,734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64,304,411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782,880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Jim Hackett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1,007,387,133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69,048,667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1,229,225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Olivier Le Peuch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1,074,052,731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3,001,536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610,758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Samuel Leupold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1,073,991,735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2,896,566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776,724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Tatiana Mitrova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1,073,347,200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3,124,551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1,193,274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Maria Moræus Hanssen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1,033,092,370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43,846,145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726,510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Vanitha Narayanan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947,786,313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128,393,804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1,484,908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Jeff Sheets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1,061,561,712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15,234,354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868,959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ARIAL" w:hAnsi="ARIAL"/>
                <w:sz w:val="20"/>
              </w:rPr>
            </w:pPr>
            <w:r>
              <w:rPr>
                <w:rFonts w:ascii="ARIAL" w:hAnsi="ARIAL"/>
                <w:sz w:val="20"/>
              </w:rPr>
              <w:t>Ulrich Spiesshofer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1,073,718,739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3,210,409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735,877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126,183,880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i/>
          <w:sz w:val="20"/>
        </w:rPr>
      </w:pPr>
      <w:r>
        <w:rPr>
          <w:rFonts w:ascii="ARIAL" w:hAnsi="ARIAL"/>
          <w:b/>
          <w:i/>
          <w:sz w:val="20"/>
        </w:rPr>
        <w:t xml:space="preserve">Item 2—Advisory Approval of Executive Compensation </w:t>
      </w:r>
    </w:p>
    <w:p>
      <w:pPr>
        <w:pStyle w:val="TextBody"/>
        <w:bidi w:val="0"/>
        <w:spacing w:before="120" w:after="0"/>
        <w:jc w:val="left"/>
        <w:rPr>
          <w:rFonts w:ascii="ARIAL" w:hAnsi="ARIAL"/>
          <w:sz w:val="20"/>
        </w:rPr>
      </w:pPr>
      <w:r>
        <w:rPr>
          <w:rFonts w:ascii="ARIAL" w:hAnsi="ARIAL"/>
          <w:sz w:val="20"/>
        </w:rPr>
        <w:t xml:space="preserve">The advisory resolution to approve SLB’s executive compensation, as described in the Definitive Proxy Statement, was approved with approximately 97.3% of the votes cast at the Annual Meeting voting for the proposal. </w:t>
      </w:r>
    </w:p>
    <w:p>
      <w:pPr>
        <w:pStyle w:val="TextBody"/>
        <w:bidi w:val="0"/>
        <w:spacing w:before="0" w:after="0"/>
        <w:jc w:val="left"/>
        <w:rPr/>
      </w:pPr>
      <w:r>
        <w:rPr/>
        <w:t> </w:t>
      </w:r>
    </w:p>
    <w:tbl>
      <w:tblPr>
        <w:tblW w:w="5105" w:type="dxa"/>
        <w:jc w:val="left"/>
        <w:tblInd w:w="0" w:type="dxa"/>
        <w:tblLayout w:type="fixed"/>
        <w:tblCellMar>
          <w:top w:w="0" w:type="dxa"/>
          <w:left w:w="0" w:type="dxa"/>
          <w:bottom w:w="0" w:type="dxa"/>
          <w:right w:w="0" w:type="dxa"/>
        </w:tblCellMar>
      </w:tblPr>
      <w:tblGrid>
        <w:gridCol w:w="1415"/>
        <w:gridCol w:w="60"/>
        <w:gridCol w:w="1100"/>
        <w:gridCol w:w="60"/>
        <w:gridCol w:w="980"/>
        <w:gridCol w:w="60"/>
        <w:gridCol w:w="1430"/>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Abstain</w:t>
            </w:r>
          </w:p>
        </w:tc>
        <w:tc>
          <w:tcPr>
            <w:tcW w:w="60" w:type="dxa"/>
            <w:tcBorders/>
            <w:vAlign w:val="center"/>
          </w:tcPr>
          <w:p>
            <w:pPr>
              <w:pStyle w:val="TableContents"/>
              <w:bidi w:val="0"/>
              <w:spacing w:before="0" w:after="283"/>
              <w:jc w:val="left"/>
              <w:rPr/>
            </w:pPr>
            <w:r>
              <w:rPr/>
              <w:t> </w:t>
            </w:r>
          </w:p>
        </w:tc>
        <w:tc>
          <w:tcPr>
            <w:tcW w:w="14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Broker Non-votes</w:t>
            </w:r>
          </w:p>
        </w:tc>
      </w:tr>
      <w:tr>
        <w:trPr/>
        <w:tc>
          <w:tcPr>
            <w:tcW w:w="1415" w:type="dxa"/>
            <w:tcBorders/>
            <w:vAlign w:val="center"/>
          </w:tcPr>
          <w:p>
            <w:pPr>
              <w:pStyle w:val="TableContents"/>
              <w:bidi w:val="0"/>
              <w:spacing w:before="0" w:after="283"/>
              <w:jc w:val="center"/>
              <w:rPr/>
            </w:pPr>
            <w:r>
              <w:rPr/>
              <w:t>1,042,753,005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28,606,338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6,305,682</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126,183,880</w:t>
            </w:r>
          </w:p>
        </w:tc>
      </w:tr>
    </w:tbl>
    <w:p>
      <w:pPr>
        <w:pStyle w:val="TextBody"/>
        <w:bidi w:val="0"/>
        <w:spacing w:before="360" w:after="0"/>
        <w:jc w:val="left"/>
        <w:rPr>
          <w:rFonts w:ascii="ARIAL" w:hAnsi="ARIAL"/>
          <w:b/>
          <w:i/>
          <w:sz w:val="20"/>
        </w:rPr>
      </w:pPr>
      <w:r>
        <w:rPr>
          <w:rFonts w:ascii="ARIAL" w:hAnsi="ARIAL"/>
          <w:b/>
          <w:i/>
          <w:sz w:val="20"/>
        </w:rPr>
        <w:t xml:space="preserve">Item 3—Financial Statements and Dividends </w:t>
      </w:r>
    </w:p>
    <w:p>
      <w:pPr>
        <w:pStyle w:val="TextBody"/>
        <w:bidi w:val="0"/>
        <w:spacing w:before="120" w:after="0"/>
        <w:jc w:val="left"/>
        <w:rPr>
          <w:rFonts w:ascii="ARIAL" w:hAnsi="ARIAL"/>
          <w:sz w:val="20"/>
        </w:rPr>
      </w:pPr>
      <w:r>
        <w:rPr>
          <w:rFonts w:ascii="ARIAL" w:hAnsi="ARIAL"/>
          <w:sz w:val="20"/>
        </w:rPr>
        <w:t xml:space="preserve">The proposal to approve SLB’s consolidated balance sheet at December 31, 2023, its consolidated statement of income for the year ended December 31, 2023, and the declarations of dividends by SLB’s Board of Directors in 2023 as reflected in its Annual Report on Form 10-K for the fiscal year ended December 31, 2023, as described in the Definitive Proxy Statement, was approved with approximately 99.9% of the votes cast at the Annual Meeting voting for the proposal. </w:t>
      </w:r>
    </w:p>
    <w:p>
      <w:pPr>
        <w:pStyle w:val="TextBody"/>
        <w:bidi w:val="0"/>
        <w:spacing w:before="0" w:after="0"/>
        <w:jc w:val="left"/>
        <w:rPr/>
      </w:pPr>
      <w:r>
        <w:rPr/>
        <w:t> </w:t>
      </w:r>
      <w:r>
        <w:br w:type="page"/>
      </w:r>
    </w:p>
    <w:p>
      <w:pPr>
        <w:pStyle w:val="HorizontalLine"/>
        <w:bidi w:val="0"/>
        <w:jc w:val="left"/>
        <w:rPr/>
      </w:pPr>
      <w:r>
        <w:rPr/>
      </w:r>
    </w:p>
    <w:tbl>
      <w:tblPr>
        <w:tblW w:w="4805" w:type="dxa"/>
        <w:jc w:val="left"/>
        <w:tblInd w:w="0" w:type="dxa"/>
        <w:tblLayout w:type="fixed"/>
        <w:tblCellMar>
          <w:top w:w="0" w:type="dxa"/>
          <w:left w:w="0" w:type="dxa"/>
          <w:bottom w:w="0" w:type="dxa"/>
          <w:right w:w="0" w:type="dxa"/>
        </w:tblCellMar>
      </w:tblPr>
      <w:tblGrid>
        <w:gridCol w:w="1415"/>
        <w:gridCol w:w="60"/>
        <w:gridCol w:w="800"/>
        <w:gridCol w:w="60"/>
        <w:gridCol w:w="980"/>
        <w:gridCol w:w="60"/>
        <w:gridCol w:w="1430"/>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Abstain</w:t>
            </w:r>
          </w:p>
        </w:tc>
        <w:tc>
          <w:tcPr>
            <w:tcW w:w="60" w:type="dxa"/>
            <w:tcBorders/>
            <w:vAlign w:val="center"/>
          </w:tcPr>
          <w:p>
            <w:pPr>
              <w:pStyle w:val="TableContents"/>
              <w:bidi w:val="0"/>
              <w:spacing w:before="0" w:after="283"/>
              <w:jc w:val="left"/>
              <w:rPr/>
            </w:pPr>
            <w:r>
              <w:rPr/>
              <w:t> </w:t>
            </w:r>
          </w:p>
        </w:tc>
        <w:tc>
          <w:tcPr>
            <w:tcW w:w="14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Broker Non-votes</w:t>
            </w:r>
          </w:p>
        </w:tc>
      </w:tr>
      <w:tr>
        <w:trPr/>
        <w:tc>
          <w:tcPr>
            <w:tcW w:w="1415" w:type="dxa"/>
            <w:tcBorders/>
            <w:vAlign w:val="center"/>
          </w:tcPr>
          <w:p>
            <w:pPr>
              <w:pStyle w:val="TableContents"/>
              <w:bidi w:val="0"/>
              <w:spacing w:before="0" w:after="283"/>
              <w:jc w:val="center"/>
              <w:rPr/>
            </w:pPr>
            <w:r>
              <w:rPr/>
              <w:t>1,073,792,269</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433,161</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3,439,595</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126,183,880</w:t>
            </w:r>
          </w:p>
        </w:tc>
      </w:tr>
    </w:tbl>
    <w:p>
      <w:pPr>
        <w:pStyle w:val="TextBody"/>
        <w:bidi w:val="0"/>
        <w:spacing w:before="360" w:after="0"/>
        <w:jc w:val="left"/>
        <w:rPr>
          <w:rFonts w:ascii="ARIAL" w:hAnsi="ARIAL"/>
          <w:b/>
          <w:i/>
          <w:sz w:val="20"/>
        </w:rPr>
      </w:pPr>
      <w:r>
        <w:rPr>
          <w:rFonts w:ascii="ARIAL" w:hAnsi="ARIAL"/>
          <w:b/>
          <w:i/>
          <w:sz w:val="20"/>
        </w:rPr>
        <w:t xml:space="preserve">Item 4—Independent Registered Public Accounting Firm </w:t>
      </w:r>
    </w:p>
    <w:p>
      <w:pPr>
        <w:pStyle w:val="TextBody"/>
        <w:bidi w:val="0"/>
        <w:spacing w:before="120" w:after="0"/>
        <w:jc w:val="left"/>
        <w:rPr>
          <w:rFonts w:ascii="ARIAL" w:hAnsi="ARIAL"/>
          <w:sz w:val="20"/>
        </w:rPr>
      </w:pPr>
      <w:r>
        <w:rPr>
          <w:rFonts w:ascii="ARIAL" w:hAnsi="ARIAL"/>
          <w:sz w:val="20"/>
        </w:rPr>
        <w:t xml:space="preserve">The proposal to ratify the appointment of PricewaterhouseCoopers LLP as the independent auditors of SLB for 2024, as described in the Definitive Proxy Statement, was approved with approximately 93.0% of the votes cast at the Annual Meeting voting for the proposal. </w:t>
      </w:r>
    </w:p>
    <w:p>
      <w:pPr>
        <w:pStyle w:val="TextBody"/>
        <w:bidi w:val="0"/>
        <w:spacing w:before="0" w:after="0"/>
        <w:jc w:val="left"/>
        <w:rPr/>
      </w:pPr>
      <w:r>
        <w:rPr/>
        <w:t> </w:t>
      </w:r>
    </w:p>
    <w:tbl>
      <w:tblPr>
        <w:tblW w:w="5105" w:type="dxa"/>
        <w:jc w:val="left"/>
        <w:tblInd w:w="0" w:type="dxa"/>
        <w:tblLayout w:type="fixed"/>
        <w:tblCellMar>
          <w:top w:w="0" w:type="dxa"/>
          <w:left w:w="0" w:type="dxa"/>
          <w:bottom w:w="0" w:type="dxa"/>
          <w:right w:w="0" w:type="dxa"/>
        </w:tblCellMar>
      </w:tblPr>
      <w:tblGrid>
        <w:gridCol w:w="1415"/>
        <w:gridCol w:w="60"/>
        <w:gridCol w:w="1100"/>
        <w:gridCol w:w="60"/>
        <w:gridCol w:w="980"/>
        <w:gridCol w:w="60"/>
        <w:gridCol w:w="1430"/>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Abstain</w:t>
            </w:r>
          </w:p>
        </w:tc>
        <w:tc>
          <w:tcPr>
            <w:tcW w:w="60" w:type="dxa"/>
            <w:tcBorders/>
            <w:vAlign w:val="center"/>
          </w:tcPr>
          <w:p>
            <w:pPr>
              <w:pStyle w:val="TableContents"/>
              <w:bidi w:val="0"/>
              <w:spacing w:before="0" w:after="283"/>
              <w:jc w:val="left"/>
              <w:rPr/>
            </w:pPr>
            <w:r>
              <w:rPr/>
              <w:t> </w:t>
            </w:r>
          </w:p>
        </w:tc>
        <w:tc>
          <w:tcPr>
            <w:tcW w:w="14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Broker Non-votes</w:t>
            </w:r>
          </w:p>
        </w:tc>
      </w:tr>
      <w:tr>
        <w:trPr/>
        <w:tc>
          <w:tcPr>
            <w:tcW w:w="1415" w:type="dxa"/>
            <w:tcBorders/>
            <w:vAlign w:val="center"/>
          </w:tcPr>
          <w:p>
            <w:pPr>
              <w:pStyle w:val="TableContents"/>
              <w:bidi w:val="0"/>
              <w:spacing w:before="0" w:after="283"/>
              <w:jc w:val="center"/>
              <w:rPr/>
            </w:pPr>
            <w:r>
              <w:rPr/>
              <w:t>1,118,542,634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83,939,218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1,367,053</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b/>
              </w:rPr>
            </w:pPr>
            <w:r>
              <w:rPr>
                <w:b/>
              </w:rPr>
              <w:t>SCHLUMBERGER LIMITED</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3290" w:type="dxa"/>
            <w:tcBorders/>
            <w:vAlign w:val="center"/>
          </w:tcPr>
          <w:p>
            <w:pPr>
              <w:pStyle w:val="TableContents"/>
              <w:bidi w:val="0"/>
              <w:spacing w:before="0" w:after="283"/>
              <w:jc w:val="left"/>
              <w:rPr/>
            </w:pPr>
            <w:r>
              <w:rPr/>
              <w:t>Dianne B. Ralston</w:t>
            </w:r>
          </w:p>
        </w:tc>
      </w:tr>
      <w:tr>
        <w:trPr/>
        <w:tc>
          <w:tcPr>
            <w:tcW w:w="3290" w:type="dxa"/>
            <w:tcBorders/>
            <w:vAlign w:val="center"/>
          </w:tcPr>
          <w:p>
            <w:pPr>
              <w:pStyle w:val="TableContents"/>
              <w:bidi w:val="0"/>
              <w:spacing w:before="0" w:after="283"/>
              <w:jc w:val="left"/>
              <w:rPr/>
            </w:pPr>
            <w:r>
              <w:rPr/>
              <w:t>Chief Legal Officer and Secretary</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Date: April 3, 2024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881</Words>
  <Characters>5094</Characters>
  <CharactersWithSpaces>6084</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