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QUARTERLY REPORT UNDER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5"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 ENDED:</w:t>
      </w:r>
    </w:p>
    <w:p>
      <w:pPr>
        <w:ind w:left="420"/>
        <w:spacing w:after="0" w:line="238" w:lineRule="auto"/>
        <w:rPr>
          <w:sz w:val="20"/>
          <w:szCs w:val="20"/>
          <w:color w:val="auto"/>
        </w:rPr>
      </w:pPr>
      <w:r>
        <w:rPr>
          <w:rFonts w:ascii="Courier New" w:cs="Courier New" w:eastAsia="Courier New" w:hAnsi="Courier New"/>
          <w:sz w:val="18"/>
          <w:szCs w:val="18"/>
          <w:color w:val="auto"/>
        </w:rPr>
        <w:t>JUNE 30, 1997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ind w:left="620"/>
        <w:spacing w:after="0" w:line="238" w:lineRule="auto"/>
        <w:rPr>
          <w:sz w:val="20"/>
          <w:szCs w:val="20"/>
          <w:color w:val="auto"/>
        </w:rPr>
      </w:pPr>
      <w:r>
        <w:rPr>
          <w:rFonts w:ascii="Courier New" w:cs="Courier New" w:eastAsia="Courier New" w:hAnsi="Courier New"/>
          <w:sz w:val="18"/>
          <w:szCs w:val="18"/>
          <w:color w:val="auto"/>
        </w:rPr>
        <w:t>1-4601</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560" w:space="720"/>
            <w:col w:w="4939"/>
          </w:cols>
          <w:pgMar w:left="240" w:top="649" w:right="1440" w:bottom="144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SCHLUMBERGER N.V.</w:t>
      </w:r>
    </w:p>
    <w:p>
      <w:pPr>
        <w:sectPr>
          <w:pgSz w:w="11900" w:h="16838" w:orient="portrait"/>
          <w:cols w:equalWidth="0" w:num="1">
            <w:col w:w="10219"/>
          </w:cols>
          <w:pgMar w:left="240" w:top="649" w:right="1440" w:bottom="1440" w:gutter="0" w:footer="0" w:header="0"/>
          <w:type w:val="continuous"/>
        </w:sectPr>
      </w:pP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(SCHLUMBERGER LIMITED)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ind w:left="420"/>
              <w:spacing w:after="0"/>
              <w:rPr>
                <w:sz w:val="20"/>
                <w:szCs w:val="20"/>
                <w:color w:val="auto"/>
              </w:rPr>
            </w:pPr>
            <w:r>
              <w:rPr>
                <w:rFonts w:ascii="Courier New" w:cs="Courier New" w:eastAsia="Courier New" w:hAnsi="Courier New"/>
                <w:sz w:val="18"/>
                <w:szCs w:val="18"/>
                <w:color w:val="auto"/>
              </w:rPr>
              <w:t>NETHERLANDS ANTILLES</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277 PARK AVENUE</w:t>
            </w:r>
          </w:p>
        </w:tc>
        <w:tc>
          <w:tcPr>
            <w:tcW w:w="210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U.S.A.</w:t>
            </w:r>
          </w:p>
        </w:tc>
        <w:tc>
          <w:tcPr>
            <w:tcW w:w="21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10172</w:t>
            </w:r>
          </w:p>
        </w:tc>
      </w:tr>
      <w:tr>
        <w:trPr>
          <w:trHeight w:val="405"/>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42 RUE SAINT-DOMINIQUE</w:t>
            </w:r>
          </w:p>
        </w:tc>
        <w:tc>
          <w:tcPr>
            <w:tcW w:w="210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PARIS, FRANCE</w:t>
            </w:r>
          </w:p>
        </w:tc>
        <w:tc>
          <w:tcPr>
            <w:tcW w:w="21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75007</w:t>
            </w:r>
          </w:p>
        </w:tc>
      </w:tr>
      <w:tr>
        <w:trPr>
          <w:trHeight w:val="405"/>
        </w:trPr>
        <w:tc>
          <w:tcPr>
            <w:tcW w:w="4860" w:type="dxa"/>
            <w:vAlign w:val="bottom"/>
          </w:tcPr>
          <w:p>
            <w:pPr>
              <w:ind w:left="220"/>
              <w:spacing w:after="0"/>
              <w:rPr>
                <w:sz w:val="20"/>
                <w:szCs w:val="20"/>
                <w:color w:val="auto"/>
              </w:rPr>
            </w:pPr>
            <w:r>
              <w:rPr>
                <w:rFonts w:ascii="Courier New" w:cs="Courier New" w:eastAsia="Courier New" w:hAnsi="Courier New"/>
                <w:sz w:val="18"/>
                <w:szCs w:val="18"/>
                <w:color w:val="auto"/>
              </w:rPr>
              <w:t>PARKSTRAAT 83</w:t>
            </w:r>
          </w:p>
        </w:tc>
        <w:tc>
          <w:tcPr>
            <w:tcW w:w="210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HAGUE,</w:t>
            </w:r>
          </w:p>
        </w:tc>
        <w:tc>
          <w:tcPr>
            <w:tcW w:w="210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NETHERLANDS</w:t>
            </w:r>
          </w:p>
        </w:tc>
        <w:tc>
          <w:tcPr>
            <w:tcW w:w="21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2514 JG</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(Addresses of principal executive</w:t>
            </w:r>
          </w:p>
        </w:tc>
        <w:tc>
          <w:tcPr>
            <w:tcW w:w="21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(Zip Codes)</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offices)</w:t>
            </w:r>
          </w:p>
        </w:tc>
        <w:tc>
          <w:tcPr>
            <w:tcW w:w="2100" w:type="dxa"/>
            <w:vAlign w:val="bottom"/>
          </w:tcPr>
          <w:p>
            <w:pPr>
              <w:spacing w:after="0"/>
              <w:rPr>
                <w:sz w:val="17"/>
                <w:szCs w:val="17"/>
                <w:color w:val="auto"/>
              </w:rPr>
            </w:pPr>
          </w:p>
        </w:tc>
      </w:tr>
      <w:tr>
        <w:trPr>
          <w:trHeight w:val="810"/>
        </w:trPr>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REGISTRANT'S TELEPHONE NUMBER: (212) 350-9400</w:t>
            </w:r>
          </w:p>
        </w:tc>
        <w:tc>
          <w:tcPr>
            <w:tcW w:w="210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649" w:right="1440" w:bottom="1440" w:gutter="0" w:footer="0" w:header="0"/>
          <w:type w:val="continuous"/>
        </w:sect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 w:lineRule="exact"/>
        <w:rPr>
          <w:sz w:val="24"/>
          <w:szCs w:val="24"/>
          <w:color w:val="auto"/>
        </w:rPr>
      </w:pPr>
    </w:p>
    <w:p>
      <w:pPr>
        <w:sectPr>
          <w:pgSz w:w="11900" w:h="16838" w:orient="portrait"/>
          <w:cols w:equalWidth="0" w:num="3">
            <w:col w:w="1480" w:space="320"/>
            <w:col w:w="2440" w:space="720"/>
            <w:col w:w="5259"/>
          </w:cols>
          <w:pgMar w:left="240" w:top="649"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660" w:space="720"/>
            <w:col w:w="4839"/>
          </w:cols>
          <w:pgMar w:left="240" w:top="649" w:right="1440" w:bottom="1440" w:gutter="0" w:footer="0" w:header="0"/>
          <w:type w:val="continuous"/>
        </w:sect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649" w:right="1440" w:bottom="1440" w:gutter="0" w:footer="0" w:header="0"/>
          <w:type w:val="continuous"/>
        </w:sectPr>
      </w:pPr>
    </w:p>
    <w:p>
      <w:pPr>
        <w:spacing w:after="0" w:line="208"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Class</w:t>
      </w:r>
    </w:p>
    <w:p>
      <w:pPr>
        <w:spacing w:after="0" w:line="21"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July 31, 1997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820" w:space="720"/>
            <w:col w:w="5679"/>
          </w:cols>
          <w:pgMar w:left="240" w:top="649" w:right="1440" w:bottom="1440" w:gutter="0" w:footer="0" w:header="0"/>
          <w:type w:val="continuous"/>
        </w:sectPr>
      </w:pPr>
    </w:p>
    <w:p>
      <w:pPr>
        <w:spacing w:after="0" w:line="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495,043,747</w:t>
      </w:r>
    </w:p>
    <w:p>
      <w:pPr>
        <w:sectPr>
          <w:pgSz w:w="11900" w:h="16838" w:orient="portrait"/>
          <w:cols w:equalWidth="0" w:num="2">
            <w:col w:w="4660" w:space="720"/>
            <w:col w:w="4839"/>
          </w:cols>
          <w:pgMar w:left="240" w:top="649"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PART I. FINANCIAL INFORMATION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LIMITED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7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CONSOLIDATED STATEMENT OF INCOME</w:t>
      </w:r>
    </w:p>
    <w:p>
      <w:pPr>
        <w:ind w:left="2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3480" w:type="dxa"/>
            <w:vAlign w:val="bottom"/>
          </w:tcPr>
          <w:p>
            <w:pPr>
              <w:spacing w:after="0"/>
              <w:rPr>
                <w:sz w:val="24"/>
                <w:szCs w:val="24"/>
                <w:color w:val="auto"/>
              </w:rPr>
            </w:pPr>
          </w:p>
        </w:tc>
        <w:tc>
          <w:tcPr>
            <w:tcW w:w="5160" w:type="dxa"/>
            <w:vAlign w:val="bottom"/>
            <w:gridSpan w:val="8"/>
          </w:tcPr>
          <w:p>
            <w:pPr>
              <w:jc w:val="right"/>
              <w:spacing w:after="0"/>
              <w:rPr>
                <w:sz w:val="20"/>
                <w:szCs w:val="20"/>
                <w:color w:val="auto"/>
              </w:rPr>
            </w:pPr>
            <w:r>
              <w:rPr>
                <w:rFonts w:ascii="Courier New" w:cs="Courier New" w:eastAsia="Courier New" w:hAnsi="Courier New"/>
                <w:sz w:val="18"/>
                <w:szCs w:val="18"/>
                <w:color w:val="auto"/>
              </w:rPr>
              <w:t>(Stated in thousands except per share amounts)</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Periods Ended June 30,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51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Second Quarter</w:t>
            </w:r>
          </w:p>
        </w:tc>
        <w:tc>
          <w:tcPr>
            <w:tcW w:w="220" w:type="dxa"/>
            <w:vAlign w:val="bottom"/>
          </w:tcPr>
          <w:p>
            <w:pPr>
              <w:spacing w:after="0"/>
              <w:rPr>
                <w:sz w:val="17"/>
                <w:szCs w:val="17"/>
                <w:color w:val="auto"/>
              </w:rPr>
            </w:pPr>
          </w:p>
        </w:tc>
        <w:tc>
          <w:tcPr>
            <w:tcW w:w="220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Six Months</w:t>
            </w:r>
          </w:p>
        </w:tc>
      </w:tr>
      <w:tr>
        <w:trPr>
          <w:trHeight w:val="203"/>
        </w:trPr>
        <w:tc>
          <w:tcPr>
            <w:tcW w:w="3480" w:type="dxa"/>
            <w:vAlign w:val="bottom"/>
          </w:tcPr>
          <w:p>
            <w:pPr>
              <w:spacing w:after="0"/>
              <w:rPr>
                <w:sz w:val="17"/>
                <w:szCs w:val="17"/>
                <w:color w:val="auto"/>
              </w:rPr>
            </w:pPr>
          </w:p>
        </w:tc>
        <w:tc>
          <w:tcPr>
            <w:tcW w:w="1480" w:type="dxa"/>
            <w:vAlign w:val="bottom"/>
            <w:gridSpan w:val="2"/>
          </w:tcPr>
          <w:p>
            <w:pPr>
              <w:ind w:left="320"/>
              <w:spacing w:after="0"/>
              <w:rPr>
                <w:sz w:val="20"/>
                <w:szCs w:val="20"/>
                <w:color w:val="auto"/>
              </w:rPr>
            </w:pPr>
            <w:r>
              <w:rPr>
                <w:rFonts w:ascii="Courier New" w:cs="Courier New" w:eastAsia="Courier New" w:hAnsi="Courier New"/>
                <w:sz w:val="12"/>
                <w:szCs w:val="12"/>
                <w:color w:val="auto"/>
                <w:w w:val="71"/>
              </w:rPr>
              <w: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$2,601,679</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$2,150,790</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$5,003,739</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$4,178,618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20,738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16,067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38,843</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33,437</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2,622,417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2,166,857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5,042,582</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4,212,055</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and services</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1,929,324</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1,631,997</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3,712,112</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3,181,600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&amp; engineering</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118,897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114,740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236,850</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76,745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75,334</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151,378</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148,524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93,568</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88,683</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181,349</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173,942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19,317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18,120</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37,136</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35,463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on income</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78,060</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41,265</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157,308</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79,402</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2,315,911</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1,970,139</w:t>
            </w:r>
          </w:p>
        </w:tc>
        <w:tc>
          <w:tcPr>
            <w:tcW w:w="2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4,476,133</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3,844,470</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306,506</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196,718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566,449</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367,585</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 Per Share (1)</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1.15</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0.75</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Avg. shares outstanding (1)</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493,863</w:t>
            </w: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489,341</w:t>
            </w:r>
          </w:p>
        </w:tc>
        <w:tc>
          <w:tcPr>
            <w:tcW w:w="2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493,644</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488,028</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Dividends declared per share (1)</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0.1875</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0.1875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0.375</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0.375</w:t>
            </w:r>
          </w:p>
        </w:tc>
      </w:tr>
      <w:tr>
        <w:trPr>
          <w:trHeight w:val="203"/>
        </w:trPr>
        <w:tc>
          <w:tcPr>
            <w:tcW w:w="348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Adjusted for two-for-one stock split on June 2,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 30,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9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(Dollars in thousands)</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$ 1,442,165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$ 1,358,948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 accounts</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(1997 - $57,608; 1996 - $58,981)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2,568,068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2,260,091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1,053,522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938,974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214,906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222,456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213,809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262,148</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5,492,470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5,042,617</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LONG-TERM INVESTMENTS, HELD TO MATURITY</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370,222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323,717</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9,798,712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9,577,749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(6,357,615)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(6,219,168)</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3,441,097</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3,358,581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INVESTMENT OVER NET ASSETS OF</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COMPANIES PURCHASED less amortization</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1,175,128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1,225,335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179,798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203,983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142,030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170,818</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$10,800,745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$10,325,051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LIABILITIES &amp; STOCKHOLDERS' EQUITY</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$ 2,131,038</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$ 2,200,161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liability for taxes on income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390,281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367,562</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loans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765,331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743,018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payable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93,029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92,842</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due within one year</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90,484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70,827</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3,470,163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3,474,410</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726,068</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637,203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393,892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383,129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193,406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203,929</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4,783,529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4,698,671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829,743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818,803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retained for use in the business</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7,519,045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7,137,744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(2,295,524)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(2,315,946)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(36,048)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(14,221)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6,017,216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5,626,380</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$10,800,745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$10,325,051</w:t>
            </w:r>
          </w:p>
        </w:tc>
      </w:tr>
      <w:tr>
        <w:trPr>
          <w:trHeight w:val="203"/>
        </w:trPr>
        <w:tc>
          <w:tcPr>
            <w:tcW w:w="52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564" w:gutter="0" w:footer="0" w:header="0"/>
        </w:sectPr>
      </w:pPr>
    </w:p>
    <w:bookmarkStart w:id="3" w:name="page4"/>
    <w:bookmarkEnd w:id="3"/>
    <w:p>
      <w:pPr>
        <w:ind w:left="500"/>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9019"/>
          </w:cols>
          <w:pgMar w:left="1440" w:top="344" w:right="1440" w:bottom="1440" w:gutter="0" w:footer="0" w:header="0"/>
        </w:sectPr>
      </w:pPr>
    </w:p>
    <w:p>
      <w:pPr>
        <w:spacing w:after="0" w:line="22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type w:val="continuous"/>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7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 OF CASH FLOWS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(Dollars in thousands)</w:t>
            </w:r>
          </w:p>
        </w:tc>
      </w:tr>
      <w:tr>
        <w:trPr>
          <w:trHeight w:val="405"/>
        </w:trPr>
        <w:tc>
          <w:tcPr>
            <w:tcW w:w="5380" w:type="dxa"/>
            <w:vAlign w:val="bottom"/>
          </w:tcPr>
          <w:p>
            <w:pPr>
              <w:spacing w:after="0"/>
              <w:rPr>
                <w:sz w:val="24"/>
                <w:szCs w:val="24"/>
                <w:color w:val="auto"/>
              </w:rPr>
            </w:pPr>
          </w:p>
        </w:tc>
        <w:tc>
          <w:tcPr>
            <w:tcW w:w="2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380" w:type="dxa"/>
            <w:vAlign w:val="bottom"/>
          </w:tcPr>
          <w:p>
            <w:pPr>
              <w:spacing w:after="0"/>
              <w:rPr>
                <w:sz w:val="17"/>
                <w:szCs w:val="17"/>
                <w:color w:val="auto"/>
              </w:rPr>
            </w:pPr>
          </w:p>
        </w:tc>
        <w:tc>
          <w:tcPr>
            <w:tcW w:w="252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$ 566,449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$ 367,585</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469,847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436,682</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of companies carried at equity,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dividends received (Dividends: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1997 - $0 ; 1996 - $133)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7,922</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adjustments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(1,298)</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 in operating assets and liabilities:</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(356,746)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(185,987)</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(140,024)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(145,519)</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Decrease in deferred taxes on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Decrease in accounts payable</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accrued liabilities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(37,427)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13,411</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(decrease) in estimated</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liability for taxes on income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24,904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(25,208)</w:t>
            </w: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 net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81,883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(47,353)</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621,212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422,978</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fixed assets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(590,958)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(499,484)</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Sales/retirements of fixed assets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34,113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39,629</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investments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(131,736)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45,903</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purchase of businesses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(6,050)</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other assets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(682,805)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(420,209)</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(184,968)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(182,519)</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31,362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92,122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employee stock purchase plan</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32,667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25,193</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154,920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40,978</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principal on long-term debt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(28,880)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(52,152)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in short-term debt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56,743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85,738</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61,844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9,360</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increase in cash</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251</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12,129</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beginning of period</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137,259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72,515</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end of period</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$ 137,510</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84,644</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59"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9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1996 Annual Report. These policies have been consistently applied during the interim period presented in this report. The results of operations for the three and six month periods ended June 30, 1997 are not necessarily indicative of the results of operations that may be expected for the entire year.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February, 1997, the Financial Accounting Standards Board issued "Statement of Financial Accounting Standards No. 128". The impact on the Company of the new standard, which is effective for the fourth quarter of 1997, is that the Company will, at that time, report "Earnings per common share - assuming dilution" (stock option and warrant effect) along with the "Earnings per share" now reported. Earnings per share - assuming dilution will not be significantly different from earnings per share as currently reported.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 EXPENSE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its subsidiaries operate in over 100 taxing jurisdictions.</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Company's US consolidated group has a net operating loss carryforward at June 30, 1997 of $40 million and net deductible temporary differences of $850 million. Significant temporary differences pertain to postretirement medical benefits and fixed assets. Most of the tax loss carryforward will expire in 2003.</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In the third quarter of 1996, the Company recognized 50% of the US income tax benefit related to its US subsidiary's tax loss carryforward and all temporary differences. At June 30, 1997, the US deferred tax asset was $365 million and the remaining valuation allowance reserve was released as it is now more likely than not that the tax loss carryforward will be realized on a tax return basis. The resulting reduction in income tax expense was not significant.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p>
      <w:pPr>
        <w:ind w:right="2099"/>
        <w:spacing w:after="0" w:line="237" w:lineRule="auto"/>
        <w:rPr>
          <w:sz w:val="20"/>
          <w:szCs w:val="20"/>
          <w:color w:val="auto"/>
        </w:rPr>
      </w:pPr>
      <w:r>
        <w:rPr>
          <w:rFonts w:ascii="Courier New" w:cs="Courier New" w:eastAsia="Courier New" w:hAnsi="Courier New"/>
          <w:sz w:val="18"/>
          <w:szCs w:val="18"/>
          <w:color w:val="auto"/>
        </w:rPr>
        <w:t>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in October, 1995. Schlumberger and outside counsel believe the decision of the trial court was correct. Consequently, no provision has been made in the Consolidated Financial Statements for this matter.</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have filed an appeal. Accordingly, no provision has been made in the accompanying financial statements for this matter.</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Operations.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Second Quarter 1997 Compared to Second Quarter 1996</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Net income was $307 million and earnings per share were $0.62, reflecting gains of 56% and 55%, respectively, compared to the second quarter of 1996.</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Second quarter operating revenue was $2.6 billion, 21% higher than the same period last year.</w:t>
      </w:r>
    </w:p>
    <w:p>
      <w:pPr>
        <w:spacing w:after="0" w:line="20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Oilfield Services revenue grew 30%, while rig count worldwide grew 17%. All businesses contributed significantly to the 69% increase in operating income.</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Measurement &amp; Systems revenue increased 4%, while operating income grew 26% compared to the same period last year. The increase in operating results was due to Automatic Test Equipment.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Business Review</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(Stated</w:t>
            </w:r>
          </w:p>
        </w:tc>
        <w:tc>
          <w:tcPr>
            <w:tcW w:w="1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4"/>
          </w:tcPr>
          <w:p>
            <w:pPr>
              <w:jc w:val="right"/>
              <w:ind w:right="212"/>
              <w:spacing w:after="0"/>
              <w:rPr>
                <w:sz w:val="20"/>
                <w:szCs w:val="20"/>
                <w:color w:val="auto"/>
              </w:rPr>
            </w:pPr>
            <w:r>
              <w:rPr>
                <w:rFonts w:ascii="Courier New" w:cs="Courier New" w:eastAsia="Courier New" w:hAnsi="Courier New"/>
                <w:sz w:val="18"/>
                <w:szCs w:val="18"/>
                <w:color w:val="auto"/>
              </w:rPr>
              <w:t>Oilfield Services</w:t>
            </w:r>
          </w:p>
        </w:tc>
        <w:tc>
          <w:tcPr>
            <w:tcW w:w="2320" w:type="dxa"/>
            <w:vAlign w:val="bottom"/>
            <w:gridSpan w:val="5"/>
          </w:tcPr>
          <w:p>
            <w:pPr>
              <w:ind w:left="120"/>
              <w:spacing w:after="0"/>
              <w:rPr>
                <w:sz w:val="20"/>
                <w:szCs w:val="20"/>
                <w:color w:val="auto"/>
              </w:rPr>
            </w:pPr>
            <w:r>
              <w:rPr>
                <w:rFonts w:ascii="Courier New" w:cs="Courier New" w:eastAsia="Courier New" w:hAnsi="Courier New"/>
                <w:sz w:val="18"/>
                <w:szCs w:val="18"/>
                <w:color w:val="auto"/>
                <w:w w:val="96"/>
              </w:rPr>
              <w:t>Measurement &amp; Systems</w:t>
            </w: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change</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1996 % change</w:t>
            </w: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733</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708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bl>
    <w:p>
      <w:pPr>
        <w:spacing w:after="0" w:line="207" w:lineRule="exact"/>
        <w:rPr>
          <w:sz w:val="20"/>
          <w:szCs w:val="20"/>
          <w:color w:val="auto"/>
        </w:rPr>
      </w:pPr>
    </w:p>
    <w:p>
      <w:pPr>
        <w:ind w:right="283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represents income before income taxes, excluding interest expense and interest and other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Operating revenue for Oilfield Services was $427 million (30%) above last year. All regions and businesses posted substantial increases led by Wireline &amp; Testing, Dowell and Sedco Forex.</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Wireline &amp; Testing high-technology services, including CMR* Combinable Magnetic Resonance, MDT* Modular Formation Dynamics tester and PLATFORM EXPRESS* services, gained wider acceptance for their recognized value to clients, and significantly boosted revenue worldwide.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 operating income increased overall by 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 increased 32%, representing 19% of consolidated revenue. Rig count increased 31%. This region was the largest driver of revenue growth. All businesses, particularly activities such as wireline logging and pressure pumping services, reported healthy advances, fueled by high activity in the Gulf of Mexico, a significant rise in land activity and favorable weather in Canada during the spring breakup.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Gulf of Mexico saw expanded use of DeepSEA EXPRESS* service and foam</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cementing systems. Outstanding seismic vessel performance was exemplified by the exceptional achievement of Geco Searcher, which by itself averaged 425 square miles of 3D survey coverage per month.</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Logging-while-drilling (LWD) and directional drilling activity grew, owing to an expanded client base in North America, and especially in Canada, where drilling continued throughout the traditional spring slowdown. Despite the substantial rise in rig count, land and offshore activities each experienced a higher growth rate. Significant market share gains in oil exploration and production software products, surging LogSAFE* data archiving activity and a ten-fold revenue increase in IT and Data Management services helped boost revenue 65%, the highest growth rate of all North American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North America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619"/>
        <w:spacing w:after="0" w:line="275" w:lineRule="auto"/>
        <w:rPr>
          <w:sz w:val="20"/>
          <w:szCs w:val="20"/>
          <w:color w:val="auto"/>
        </w:rPr>
      </w:pPr>
      <w:r>
        <w:rPr>
          <w:rFonts w:ascii="Courier New" w:cs="Courier New" w:eastAsia="Courier New" w:hAnsi="Courier New"/>
          <w:sz w:val="16"/>
          <w:szCs w:val="16"/>
          <w:color w:val="auto"/>
        </w:rPr>
        <w:t>The rig count increased by 2% outside North America with revenue up 28%, representing 53% of consolidated revenue. Our businesses across all geographic regions were well positioned to take advantage of strong upswings in activity, led by Latin America, Africa and the Far East.</w:t>
      </w:r>
    </w:p>
    <w:p>
      <w:pPr>
        <w:spacing w:after="0" w:line="182" w:lineRule="exact"/>
        <w:rPr>
          <w:sz w:val="20"/>
          <w:szCs w:val="20"/>
          <w:color w:val="auto"/>
        </w:rPr>
      </w:pPr>
    </w:p>
    <w:p>
      <w:pPr>
        <w:ind w:left="220" w:right="2099" w:hanging="212"/>
        <w:spacing w:after="0" w:line="275" w:lineRule="auto"/>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Latin America had very high activity, notably for integrated services and technologies in Mexico and Venezuela. In Mexico, the largest Latin American integrated services contract--for a full suite of services, from surface seismic to production--was awarded to Schlumberger for the Burgos field.</w:t>
      </w:r>
    </w:p>
    <w:p>
      <w:pPr>
        <w:spacing w:after="0" w:line="182" w:lineRule="exact"/>
        <w:rPr>
          <w:rFonts w:ascii="Courier New" w:cs="Courier New" w:eastAsia="Courier New" w:hAnsi="Courier New"/>
          <w:sz w:val="16"/>
          <w:szCs w:val="16"/>
          <w:color w:val="auto"/>
        </w:rPr>
      </w:pPr>
    </w:p>
    <w:p>
      <w:pPr>
        <w:ind w:left="2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new Dowell CemCRETE* concrete-based cementing technology was used in projects in Mexico, on Lake Maracaibo in Venezuela and in Argentina. This system is used to cement wells in one-stage, rather than two, while maintaining a uniform strength throughout the wellbore, which helps improve performance and reliability and reduce rig time, resulting in savings for the client. In South America, a well was drilled using PowerPak* steerable motors in combination with Slim1* measurements-while-drilling (MWD) technology in an innovative way which permitted it to work with normally incompatible aerated mud systems. This resulted in a customer completing a complex well with a three-fold increase in production.</w:t>
      </w:r>
    </w:p>
    <w:p>
      <w:pPr>
        <w:spacing w:after="0" w:line="214" w:lineRule="exact"/>
        <w:rPr>
          <w:rFonts w:ascii="Courier New" w:cs="Courier New" w:eastAsia="Courier New" w:hAnsi="Courier New"/>
          <w:sz w:val="16"/>
          <w:szCs w:val="16"/>
          <w:color w:val="auto"/>
        </w:rPr>
      </w:pPr>
    </w:p>
    <w:p>
      <w:pPr>
        <w:ind w:left="220" w:right="1779" w:hanging="212"/>
        <w:spacing w:after="0" w:line="237"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Northern Europe and the CIS, LWD and directional drilling services were particularly strong. Recently a North Sea client, from his office onshore, was able to double the production of a well by remotely geosteering the drillstring using new VISION475* technology. This specialized service for slim holes facilitates the transmission of well information by combining real-time surveying with new-generation formation evaluation measurements. GeoSteering* motors allow the client to precisely guide the bit through the reservoir and result in financial and time savings, and ultimately, in improved well production.</w:t>
      </w:r>
    </w:p>
    <w:p>
      <w:pPr>
        <w:spacing w:after="0" w:line="213" w:lineRule="exact"/>
        <w:rPr>
          <w:rFonts w:ascii="Courier New" w:cs="Courier New" w:eastAsia="Courier New" w:hAnsi="Courier New"/>
          <w:sz w:val="18"/>
          <w:szCs w:val="18"/>
          <w:color w:val="auto"/>
        </w:rPr>
      </w:pPr>
    </w:p>
    <w:p>
      <w:pPr>
        <w:ind w:left="22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Marine seismic services were strong due to increased productivity and optimal positioning of the fleet. Heavy demand for reservoir-specific 3D seismic surveys in Northern Europe resulted in seven high-resolution projects, which help evaluate subterranean rock formations with a higher degree of accuracy. In the North Sea, the new Nessie* 4C multiwave array seismic data acquisition system was introduced on the world's first commercial multicomponent seabed acquisition project. The system significantly enhances our ability to characterize reservoirs through improved mapping capabilities.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 w:name="page10"/>
    <w:bookmarkEnd w:id="9"/>
    <w:p>
      <w:pPr>
        <w:ind w:left="220" w:right="1779" w:hanging="212"/>
        <w:spacing w:after="0" w:line="237"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Africa, business was strong, based largely on sales of early production facilities (EPF). Well construction services continued to demonstrate value to clients with their significant cost reductions and time savings. The continued trend toward large integrated services projects with a broad scope of work and outsourced development in remote areas was illustrated by a new contract in Gabon.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worldwide drilling revenue, primarily from outside North America, rose 50%, chiefly due to higher market dayrates for semisubmersibles and jackups in the North Sea, Africa, Asia and the Middle East. The increase in dayrates over the second quarter of 1996 was driven by favorable new contract terms. Utilization rates also improved. The Sedco Forex offshore rig utilization rate remained at 94%, and the land rig utilization rate grew to 87%, versus 50%. The total fleet count was 81 at quarter-end, with 52 offshore rigs and 29 land rigs, representing the addition of one lake barge and one semisubmersible over last quarter.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Measurement &amp; Systems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Revenue grew 4% from last year, despite the impact of unfavorable exchange rate effects. Increased card demand, acquisitions made by Electronic Transactions in 1996 and strong growth at ATE more than offset the decline in Metering activities. Orders increased 17%.</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Measurement &amp; Systems operating income rose 26% compared to the prior year, due to a 78% increase in operating income at ATE. Improvements in the US metering market were more than offset by shortfalls in Europe.</w:t>
      </w: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During the quarter, ATE revenue rose 22%, reflecting greater sales volume at Test Systems and higher deliveries of assembly systems at Automated Systems. Orders increased by 120%, compared with the same period last year. Electronic Transactions revenue improved 28%. Cards' growth was particularly strong, with increased demand for subscriber identity module (SIM) cards for China, Singapore, Italy and the US. Including the performance of previously acquired companies, orders grew 30%. Metering revenue was down 8%, as conditions in Europe offset gains made by North and South America. Metering orders were down 7% versus last year. Systems &amp; Services revenue was flat. Service business in Europe, especially Italy, continued to benefit from contractual maintenance activities. Compared with the prior year, orders decreased 1%.</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and other income increased $5 million from the second quarter of 1996 primarily due to higher average investment balances. Gross margin increased from 24% to 26%. Research and engineering expense increased 4% from last year but decreased to 4.6% of operating revenue from 5.3% in 1996. Marketing expense was up 2%. General expense, expressed as a percentage of operating revenue, decreased from 4.1% to 3.6%. Interest expense increased $1 million from the second quarter last year due to higher average debt. The effective tax rate increased 3 percentage points, to 20%, which reflects the higher US income tax expense following the recognition of the tax loss carryforward, as explained on page 5, "Income Tax Expense".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of Schlumberger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 w:name="page11"/>
    <w:bookmarkEnd w:id="10"/>
    <w:p>
      <w:pPr>
        <w:ind w:left="1900"/>
        <w:spacing w:after="0"/>
        <w:rPr>
          <w:sz w:val="20"/>
          <w:szCs w:val="20"/>
          <w:color w:val="auto"/>
        </w:rPr>
      </w:pPr>
      <w:r>
        <w:rPr>
          <w:rFonts w:ascii="Courier New" w:cs="Courier New" w:eastAsia="Courier New" w:hAnsi="Courier New"/>
          <w:sz w:val="18"/>
          <w:szCs w:val="18"/>
          <w:color w:val="auto"/>
        </w:rPr>
        <w:t>First Half 1997 Compared to First Half 1996</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Income for the first six months of $566 million and earnings per share of $1.15, were 54% and 53% higher, respectively, than the same period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revenue for the first six months was $5.0 billion, up 20% from 1996.</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Oilfield Services revenue grew 29%, while rig count worldwide grew 16%. All businesses contributed significantly to the 76% increase in operating income.</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Measurement &amp; Systems revenue increased 2%, while operating income grew 2% compared to the same period last year. The increase in operating results was due to Automatic Test Equipment.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Business Review</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(Stated in</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millions)</w:t>
            </w:r>
          </w:p>
        </w:tc>
      </w:tr>
      <w:tr>
        <w:trPr>
          <w:trHeight w:val="405"/>
        </w:trPr>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Oilfield Services</w:t>
            </w:r>
          </w:p>
        </w:tc>
        <w:tc>
          <w:tcPr>
            <w:tcW w:w="160" w:type="dxa"/>
            <w:vAlign w:val="bottom"/>
          </w:tcPr>
          <w:p>
            <w:pPr>
              <w:spacing w:after="0"/>
              <w:rPr>
                <w:sz w:val="24"/>
                <w:szCs w:val="24"/>
                <w:color w:val="auto"/>
              </w:rPr>
            </w:pPr>
          </w:p>
        </w:tc>
        <w:tc>
          <w:tcPr>
            <w:tcW w:w="25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Measurement &amp; Systems</w:t>
            </w:r>
          </w:p>
        </w:tc>
      </w:tr>
      <w:tr>
        <w:trPr>
          <w:trHeight w:val="203"/>
        </w:trPr>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60" w:type="dxa"/>
            <w:vAlign w:val="bottom"/>
          </w:tcPr>
          <w:p>
            <w:pPr>
              <w:spacing w:after="0"/>
              <w:rPr>
                <w:sz w:val="17"/>
                <w:szCs w:val="17"/>
                <w:color w:val="auto"/>
              </w:rPr>
            </w:pPr>
          </w:p>
        </w:tc>
        <w:tc>
          <w:tcPr>
            <w:tcW w:w="2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Six Months</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 change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change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2,797</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207" w:lineRule="exact"/>
        <w:rPr>
          <w:sz w:val="20"/>
          <w:szCs w:val="20"/>
          <w:color w:val="auto"/>
        </w:rPr>
      </w:pPr>
    </w:p>
    <w:p>
      <w:pPr>
        <w:ind w:right="2839" w:firstLine="8"/>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represents income before income taxes, excluding interest expense and interest and other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Operating revenue for Oilfield Services was $798 million (29%) above last year. All regions and businesses posted substantial increases led by Wireline &amp; Testing, Dowell and Sedco Forex.</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Wireline &amp; Testing high-technology services, including CMR* Combinable Magnetic Resonance, MDT* Modular Formation Dynamics tester and PLATFORM EXPRESS* services, gained wider acceptance for their recognized value to clients, and significantly boosted revenue worldwide.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 operating income increased overall by 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 increased 34%, representing 20% of consolidated revenue. Rig count increased 24%. All businesses were ahead of last year, fueled by high activity in the Gulf of Mexico, a significant rise in land activity and favorable weather in Canada during the spring breakup.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Gulf of Mexico benefited from the use of DeepSEA EXPRESS* service, foam cementing systems and strong vessel performance. Also, demand for our new sand control technology was a contributing factor. In one trip in the hole, this service combines the tubing-conveyed perforating hardware and cased-hole testing tools from Wireline &amp; Testing with the gravel fluids and the gravel packer from Dowell.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Logging-while-drilling (LWD) and directional drilling activity grew, due to an expanded client base and strong drilling activity during the traditional spring slowdown in Canada. Despite the substantial rise in rig count, land and offshore activities each experienced a higher growth rate.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North America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rig count increased by 3% outside North America with revenue up 26%,</w:t>
      </w:r>
    </w:p>
    <w:p>
      <w:pPr>
        <w:spacing w:after="0" w:line="238" w:lineRule="auto"/>
        <w:rPr>
          <w:sz w:val="20"/>
          <w:szCs w:val="20"/>
          <w:color w:val="auto"/>
        </w:rPr>
      </w:pPr>
      <w:r>
        <w:rPr>
          <w:rFonts w:ascii="Courier New" w:cs="Courier New" w:eastAsia="Courier New" w:hAnsi="Courier New"/>
          <w:sz w:val="18"/>
          <w:szCs w:val="18"/>
          <w:color w:val="auto"/>
        </w:rPr>
        <w:t>representing 53% of consolidated revenue. Our businesses, across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regions, benefited from the strong upswings in activity and improved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technology.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Integrated Project Management (IPM) activity increased considerably compared with the same period in 1996, with overall revenue rising over 200%. Well construction activity remained high. Several large projects were awarded to IPM for well construction and completion in the CIS, Latin America and the Middle East.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late March, the semisubmersible Sedco 707 was transferred from the North Sea to a shipyard in France for a six-month life enhancement and deep-water upgrade, including the installation of dynamic positioning equipment, after which the rig will be mobilized to Brazil for a five-year contract. The semisubmersible Orca, formerly Sedco I, was commissioned in South Africa as an early production facility under a multiyear, integrated service contract in which both rig management and production services will be provided.</w:t>
      </w:r>
    </w:p>
    <w:p>
      <w:pPr>
        <w:spacing w:after="0" w:line="211"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new Wireline &amp; Testing PL Flagship* production logging technology continued to gain acceptance in the Middle East and the North Sea owing to its unique capacity to diagnose production problems in high-angle and horizontal wells.</w:t>
      </w:r>
    </w:p>
    <w:p>
      <w:pPr>
        <w:spacing w:after="0" w:line="17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Logging-while-drilling and measurements-while-drilling have had continued success in the smaller hole market with the introduction of SHARP* second-generation slim MWD technology, which extends the capability of our current technology to ultra-short-radius drilling.</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VIPER* system, a coiled tubing measurements-while-drilling (MWD) and motor system for slim holes, demonstrates the integration value of our oilfield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Technology and Data Management Services grew significantly. Software Products sales increased significantly over last year on continued sharp growth in North America and in South America, Europe and the CIS. Also during the period, GeoQuest signed an agreement with a major European oil company to jointly develop data management software applications.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Measurement &amp; Systems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Revenue grew 2% from last year, despite the impact of unfavorable exchange rate effects. Increased card demand, acquisitions made by Electronic Transactions in 1996 and strong growth at ATE more than offset the decline in Metering activities. Orders increased 10%.</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Measurement &amp; Systems operating income rose 2% compared to the prior year, due to ATE. Improvements in the US metering market were more than offset by shortfalls in Europe.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During the six months, ATE revenue rose 12% while orders increased by 39%. Electronic Transactions revenue improved 28%. Cards growth was particularly strong, with increased demand for subscriber identity module (SIM) cards. Including the performance of previously acquired companies, orders grew 35%. Metering revenue was down 9%, as conditions in Europe offset gains made by North and South America. Metering orders were down 8% versus last year. Systems &amp; Services revenue was up 3%. Service business in Europe, especially Italy, continued to benefit from contractual maintenance activities. Compared with the prior year, orders increased 7%.</w:t>
      </w:r>
    </w:p>
    <w:p>
      <w:pPr>
        <w:spacing w:after="0" w:line="200" w:lineRule="exact"/>
        <w:rPr>
          <w:sz w:val="20"/>
          <w:szCs w:val="20"/>
          <w:color w:val="auto"/>
        </w:rPr>
      </w:pP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and other income increased $5 million from the same period last year primarily due to higher average investment balances. Gross margin increased from 24% to 26%. Research and engineering expense increased 5% from last year but decreased to 4.7% of operating revenue from 5.4% in 1996. Marketing expense was up 2%. General expense, expressed as a percentage of operating revenue, decreased from 4.2% to 3.6%. Interest expense increased $2 million from the same period last year due to higher average debt. The effective tax rate increased 4 percentage points, to 22%, which reflects the higher US income tax expense following the recognition of the tax loss carryforward, as explained on page 5 "Income Tax Expense".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of Schlumberger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 w:name="page14"/>
    <w:bookmarkEnd w:id="13"/>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ind w:left="2740"/>
        <w:spacing w:after="0" w:line="238" w:lineRule="auto"/>
        <w:tabs>
          <w:tab w:leader="none" w:pos="378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(a)</w:t>
        <w:tab/>
        <w:t>Exhibits : None</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 w:leader="none" w:pos="2840" w:val="left"/>
        </w:tabs>
        <w:rPr>
          <w:sz w:val="20"/>
          <w:szCs w:val="20"/>
          <w:color w:val="auto"/>
        </w:rPr>
      </w:pPr>
      <w:r>
        <w:rPr>
          <w:rFonts w:ascii="Courier New" w:cs="Courier New" w:eastAsia="Courier New" w:hAnsi="Courier New"/>
          <w:sz w:val="18"/>
          <w:szCs w:val="18"/>
          <w:color w:val="auto"/>
        </w:rPr>
        <w:t>(b)</w:t>
        <w:tab/>
        <w:t>Reports on Form 8-K:</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w:t>
      </w:r>
    </w:p>
    <w:p>
      <w:pPr>
        <w:ind w:right="1779"/>
        <w:spacing w:after="0" w:line="235" w:lineRule="auto"/>
        <w:rPr>
          <w:sz w:val="20"/>
          <w:szCs w:val="20"/>
          <w:color w:val="auto"/>
        </w:rPr>
      </w:pPr>
      <w:r>
        <w:rPr>
          <w:rFonts w:ascii="Courier New" w:cs="Courier New" w:eastAsia="Courier New" w:hAnsi="Courier New"/>
          <w:sz w:val="18"/>
          <w:szCs w:val="18"/>
          <w:color w:val="auto"/>
        </w:rPr>
        <w:t>undersigned thereunto duly authorized and in his capacity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Schlumberger Limited</w:t>
      </w:r>
    </w:p>
    <w:p>
      <w:pPr>
        <w:ind w:left="54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920"/>
        <w:spacing w:after="0"/>
        <w:rPr>
          <w:sz w:val="20"/>
          <w:szCs w:val="20"/>
          <w:color w:val="auto"/>
        </w:rPr>
      </w:pPr>
      <w:r>
        <w:rPr>
          <w:rFonts w:ascii="Courier New" w:cs="Courier New" w:eastAsia="Courier New" w:hAnsi="Courier New"/>
          <w:sz w:val="16"/>
          <w:szCs w:val="16"/>
          <w:color w:val="auto"/>
        </w:rPr>
        <w:t>Date: August 14, 1997</w:t>
      </w:r>
    </w:p>
    <w:p>
      <w:pPr>
        <w:spacing w:after="0" w:line="16" w:lineRule="exact"/>
        <w:rPr>
          <w:sz w:val="20"/>
          <w:szCs w:val="20"/>
          <w:color w:val="auto"/>
        </w:rPr>
      </w:pPr>
    </w:p>
    <w:p>
      <w:pPr>
        <w:jc w:val="right"/>
        <w:ind w:right="19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Arthur Lindenauer</w:t>
      </w:r>
    </w:p>
    <w:p>
      <w:pPr>
        <w:ind w:left="30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Arthur Lindenauer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Finance</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717" w:right="1440" w:bottom="1440" w:gutter="0" w:footer="0" w:header="0"/>
          <w:type w:val="continuous"/>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THIS SCHEDULE CONTAINS SUMMARY FINANCIAL INFORMATION EXTRACTED FROM</w:t>
      </w:r>
    </w:p>
    <w:p>
      <w:pPr>
        <w:spacing w:after="0" w:line="4" w:lineRule="exact"/>
        <w:rPr>
          <w:sz w:val="20"/>
          <w:szCs w:val="20"/>
          <w:color w:val="auto"/>
        </w:rPr>
      </w:pPr>
    </w:p>
    <w:p>
      <w:pPr>
        <w:ind w:left="40" w:right="2499"/>
        <w:spacing w:after="0" w:line="235" w:lineRule="auto"/>
        <w:rPr>
          <w:sz w:val="20"/>
          <w:szCs w:val="20"/>
          <w:color w:val="auto"/>
        </w:rPr>
      </w:pPr>
      <w:r>
        <w:rPr>
          <w:rFonts w:ascii="Courier New" w:cs="Courier New" w:eastAsia="Courier New" w:hAnsi="Courier New"/>
          <w:sz w:val="18"/>
          <w:szCs w:val="18"/>
          <w:color w:val="auto"/>
        </w:rPr>
        <w:t>FORM 10 Q AND IS QUALIFIED IN ITS ENTIRETY BY REFERENCE TO SUCH FINANCIAL STATEMENTS.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DEC-31-1997</w:t>
      </w:r>
    </w:p>
    <w:p>
      <w:pPr>
        <w:ind w:left="3060"/>
        <w:spacing w:after="0"/>
        <w:rPr>
          <w:sz w:val="20"/>
          <w:szCs w:val="20"/>
          <w:color w:val="auto"/>
        </w:rPr>
      </w:pPr>
      <w:r>
        <w:rPr>
          <w:rFonts w:ascii="Courier New" w:cs="Courier New" w:eastAsia="Courier New" w:hAnsi="Courier New"/>
          <w:sz w:val="18"/>
          <w:szCs w:val="18"/>
          <w:color w:val="auto"/>
        </w:rPr>
        <w:t>JAN-01-1997</w:t>
      </w:r>
    </w:p>
    <w:p>
      <w:pPr>
        <w:ind w:left="3280"/>
        <w:spacing w:after="0" w:line="237" w:lineRule="auto"/>
        <w:rPr>
          <w:sz w:val="20"/>
          <w:szCs w:val="20"/>
          <w:color w:val="auto"/>
        </w:rPr>
      </w:pPr>
      <w:r>
        <w:rPr>
          <w:rFonts w:ascii="Courier New" w:cs="Courier New" w:eastAsia="Courier New" w:hAnsi="Courier New"/>
          <w:sz w:val="18"/>
          <w:szCs w:val="18"/>
          <w:color w:val="auto"/>
        </w:rPr>
        <w:t>JUN-30-1997</w:t>
      </w:r>
    </w:p>
    <w:p>
      <w:pPr>
        <w:ind w:left="4120"/>
        <w:spacing w:after="0" w:line="238" w:lineRule="auto"/>
        <w:rPr>
          <w:sz w:val="20"/>
          <w:szCs w:val="20"/>
          <w:color w:val="auto"/>
        </w:rPr>
      </w:pPr>
      <w:r>
        <w:rPr>
          <w:rFonts w:ascii="Courier New" w:cs="Courier New" w:eastAsia="Courier New" w:hAnsi="Courier New"/>
          <w:sz w:val="18"/>
          <w:szCs w:val="18"/>
          <w:color w:val="auto"/>
        </w:rPr>
        <w:t>1,442,165</w:t>
      </w:r>
    </w:p>
    <w:p>
      <w:pPr>
        <w:ind w:left="432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2,625,676</w:t>
      </w:r>
    </w:p>
    <w:p>
      <w:pPr>
        <w:ind w:left="3580"/>
        <w:spacing w:after="0"/>
        <w:rPr>
          <w:sz w:val="20"/>
          <w:szCs w:val="20"/>
          <w:color w:val="auto"/>
        </w:rPr>
      </w:pPr>
      <w:r>
        <w:rPr>
          <w:rFonts w:ascii="Courier New" w:cs="Courier New" w:eastAsia="Courier New" w:hAnsi="Courier New"/>
          <w:sz w:val="18"/>
          <w:szCs w:val="18"/>
          <w:color w:val="auto"/>
        </w:rPr>
        <w:t>(57,608)</w:t>
      </w:r>
    </w:p>
    <w:p>
      <w:pPr>
        <w:ind w:left="3580"/>
        <w:spacing w:after="0" w:line="237" w:lineRule="auto"/>
        <w:rPr>
          <w:sz w:val="20"/>
          <w:szCs w:val="20"/>
          <w:color w:val="auto"/>
        </w:rPr>
      </w:pPr>
      <w:r>
        <w:rPr>
          <w:rFonts w:ascii="Courier New" w:cs="Courier New" w:eastAsia="Courier New" w:hAnsi="Courier New"/>
          <w:sz w:val="18"/>
          <w:szCs w:val="18"/>
          <w:color w:val="auto"/>
        </w:rPr>
        <w:t>1,053,522</w:t>
      </w:r>
    </w:p>
    <w:p>
      <w:pPr>
        <w:ind w:left="3060"/>
        <w:spacing w:after="0"/>
        <w:rPr>
          <w:sz w:val="20"/>
          <w:szCs w:val="20"/>
          <w:color w:val="auto"/>
        </w:rPr>
      </w:pPr>
      <w:r>
        <w:rPr>
          <w:rFonts w:ascii="Courier New" w:cs="Courier New" w:eastAsia="Courier New" w:hAnsi="Courier New"/>
          <w:sz w:val="18"/>
          <w:szCs w:val="18"/>
          <w:color w:val="auto"/>
        </w:rPr>
        <w:t>5,492,470</w:t>
      </w:r>
    </w:p>
    <w:p>
      <w:pPr>
        <w:ind w:left="4120"/>
        <w:spacing w:after="0" w:line="237" w:lineRule="auto"/>
        <w:rPr>
          <w:sz w:val="20"/>
          <w:szCs w:val="20"/>
          <w:color w:val="auto"/>
        </w:rPr>
      </w:pPr>
      <w:r>
        <w:rPr>
          <w:rFonts w:ascii="Courier New" w:cs="Courier New" w:eastAsia="Courier New" w:hAnsi="Courier New"/>
          <w:sz w:val="18"/>
          <w:szCs w:val="18"/>
          <w:color w:val="auto"/>
        </w:rPr>
        <w:t>9,798,712</w:t>
      </w:r>
    </w:p>
    <w:p>
      <w:pPr>
        <w:ind w:left="3060"/>
        <w:spacing w:after="0" w:line="238" w:lineRule="auto"/>
        <w:rPr>
          <w:sz w:val="20"/>
          <w:szCs w:val="20"/>
          <w:color w:val="auto"/>
        </w:rPr>
      </w:pPr>
      <w:r>
        <w:rPr>
          <w:rFonts w:ascii="Courier New" w:cs="Courier New" w:eastAsia="Courier New" w:hAnsi="Courier New"/>
          <w:sz w:val="18"/>
          <w:szCs w:val="18"/>
          <w:color w:val="auto"/>
        </w:rPr>
        <w:t>(6,357,615)</w:t>
      </w:r>
    </w:p>
    <w:p>
      <w:pPr>
        <w:ind w:left="3160"/>
        <w:spacing w:after="0"/>
        <w:rPr>
          <w:sz w:val="20"/>
          <w:szCs w:val="20"/>
          <w:color w:val="auto"/>
        </w:rPr>
      </w:pPr>
      <w:r>
        <w:rPr>
          <w:rFonts w:ascii="Courier New" w:cs="Courier New" w:eastAsia="Courier New" w:hAnsi="Courier New"/>
          <w:sz w:val="18"/>
          <w:szCs w:val="18"/>
          <w:color w:val="auto"/>
        </w:rPr>
        <w:t>10,800,745</w:t>
      </w:r>
    </w:p>
    <w:p>
      <w:pPr>
        <w:ind w:left="2540"/>
        <w:spacing w:after="0" w:line="237" w:lineRule="auto"/>
        <w:rPr>
          <w:sz w:val="20"/>
          <w:szCs w:val="20"/>
          <w:color w:val="auto"/>
        </w:rPr>
      </w:pPr>
      <w:r>
        <w:rPr>
          <w:rFonts w:ascii="Courier New" w:cs="Courier New" w:eastAsia="Courier New" w:hAnsi="Courier New"/>
          <w:sz w:val="18"/>
          <w:szCs w:val="18"/>
          <w:color w:val="auto"/>
        </w:rPr>
        <w:t>3,470,163</w:t>
      </w:r>
    </w:p>
    <w:p>
      <w:pPr>
        <w:jc w:val="center"/>
        <w:ind w:right="419"/>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120"/>
        <w:spacing w:after="0" w:line="237" w:lineRule="auto"/>
        <w:rPr>
          <w:sz w:val="20"/>
          <w:szCs w:val="20"/>
          <w:color w:val="auto"/>
        </w:rPr>
      </w:pPr>
      <w:r>
        <w:rPr>
          <w:rFonts w:ascii="Courier New" w:cs="Courier New" w:eastAsia="Courier New" w:hAnsi="Courier New"/>
          <w:sz w:val="18"/>
          <w:szCs w:val="18"/>
          <w:color w:val="auto"/>
        </w:rPr>
        <w:t>829,743</w:t>
      </w:r>
    </w:p>
    <w:p>
      <w:pPr>
        <w:ind w:left="3700"/>
        <w:spacing w:after="0" w:line="238" w:lineRule="auto"/>
        <w:rPr>
          <w:sz w:val="20"/>
          <w:szCs w:val="20"/>
          <w:color w:val="auto"/>
        </w:rPr>
      </w:pPr>
      <w:r>
        <w:rPr>
          <w:rFonts w:ascii="Courier New" w:cs="Courier New" w:eastAsia="Courier New" w:hAnsi="Courier New"/>
          <w:sz w:val="18"/>
          <w:szCs w:val="18"/>
          <w:color w:val="auto"/>
        </w:rPr>
        <w:t>5,187,473</w:t>
      </w:r>
    </w:p>
    <w:p>
      <w:pPr>
        <w:ind w:left="1700"/>
        <w:spacing w:after="0"/>
        <w:rPr>
          <w:sz w:val="20"/>
          <w:szCs w:val="20"/>
          <w:color w:val="auto"/>
        </w:rPr>
      </w:pPr>
      <w:r>
        <w:rPr>
          <w:rFonts w:ascii="Courier New" w:cs="Courier New" w:eastAsia="Courier New" w:hAnsi="Courier New"/>
          <w:sz w:val="18"/>
          <w:szCs w:val="18"/>
          <w:color w:val="auto"/>
        </w:rPr>
        <w:t>10,800,745</w:t>
      </w:r>
    </w:p>
    <w:p>
      <w:pPr>
        <w:ind w:left="4020"/>
        <w:spacing w:after="0" w:line="237" w:lineRule="auto"/>
        <w:rPr>
          <w:sz w:val="20"/>
          <w:szCs w:val="20"/>
          <w:color w:val="auto"/>
        </w:rPr>
      </w:pPr>
      <w:r>
        <w:rPr>
          <w:rFonts w:ascii="Courier New" w:cs="Courier New" w:eastAsia="Courier New" w:hAnsi="Courier New"/>
          <w:sz w:val="18"/>
          <w:szCs w:val="18"/>
          <w:color w:val="auto"/>
        </w:rPr>
        <w:t>1,284,372</w:t>
      </w:r>
    </w:p>
    <w:p>
      <w:pPr>
        <w:ind w:left="3060"/>
        <w:spacing w:after="0"/>
        <w:rPr>
          <w:sz w:val="20"/>
          <w:szCs w:val="20"/>
          <w:color w:val="auto"/>
        </w:rPr>
      </w:pPr>
      <w:r>
        <w:rPr>
          <w:rFonts w:ascii="Courier New" w:cs="Courier New" w:eastAsia="Courier New" w:hAnsi="Courier New"/>
          <w:sz w:val="18"/>
          <w:szCs w:val="18"/>
          <w:color w:val="auto"/>
        </w:rPr>
        <w:t>5,042,582</w:t>
      </w:r>
    </w:p>
    <w:p>
      <w:pPr>
        <w:ind w:left="4440"/>
        <w:spacing w:after="0" w:line="237" w:lineRule="auto"/>
        <w:rPr>
          <w:sz w:val="20"/>
          <w:szCs w:val="20"/>
          <w:color w:val="auto"/>
        </w:rPr>
      </w:pPr>
      <w:r>
        <w:rPr>
          <w:rFonts w:ascii="Courier New" w:cs="Courier New" w:eastAsia="Courier New" w:hAnsi="Courier New"/>
          <w:sz w:val="18"/>
          <w:szCs w:val="18"/>
          <w:color w:val="auto"/>
        </w:rPr>
        <w:t>855,241</w:t>
      </w:r>
    </w:p>
    <w:p>
      <w:pPr>
        <w:ind w:left="3380"/>
        <w:spacing w:after="0"/>
        <w:rPr>
          <w:sz w:val="20"/>
          <w:szCs w:val="20"/>
          <w:color w:val="auto"/>
        </w:rPr>
      </w:pPr>
      <w:r>
        <w:rPr>
          <w:rFonts w:ascii="Courier New" w:cs="Courier New" w:eastAsia="Courier New" w:hAnsi="Courier New"/>
          <w:sz w:val="18"/>
          <w:szCs w:val="18"/>
          <w:color w:val="auto"/>
        </w:rPr>
        <w:t>3,712,112</w:t>
      </w:r>
    </w:p>
    <w:p>
      <w:pPr>
        <w:ind w:left="3280"/>
        <w:spacing w:after="0" w:line="237" w:lineRule="auto"/>
        <w:rPr>
          <w:sz w:val="20"/>
          <w:szCs w:val="20"/>
          <w:color w:val="auto"/>
        </w:rPr>
      </w:pPr>
      <w:r>
        <w:rPr>
          <w:rFonts w:ascii="Courier New" w:cs="Courier New" w:eastAsia="Courier New" w:hAnsi="Courier New"/>
          <w:sz w:val="18"/>
          <w:szCs w:val="18"/>
          <w:color w:val="auto"/>
        </w:rPr>
        <w:t>569,577</w:t>
      </w:r>
    </w:p>
    <w:p>
      <w:pPr>
        <w:ind w:left="3480"/>
        <w:spacing w:after="0"/>
        <w:rPr>
          <w:sz w:val="20"/>
          <w:szCs w:val="20"/>
          <w:color w:val="auto"/>
        </w:rPr>
      </w:pPr>
      <w:r>
        <w:rPr>
          <w:rFonts w:ascii="Courier New" w:cs="Courier New" w:eastAsia="Courier New" w:hAnsi="Courier New"/>
          <w:sz w:val="18"/>
          <w:szCs w:val="18"/>
          <w:color w:val="auto"/>
        </w:rPr>
        <w:t>6,041</w:t>
      </w:r>
    </w:p>
    <w:p>
      <w:pPr>
        <w:ind w:left="3160"/>
        <w:spacing w:after="0" w:line="237" w:lineRule="auto"/>
        <w:rPr>
          <w:sz w:val="20"/>
          <w:szCs w:val="20"/>
          <w:color w:val="auto"/>
        </w:rPr>
      </w:pPr>
      <w:r>
        <w:rPr>
          <w:rFonts w:ascii="Courier New" w:cs="Courier New" w:eastAsia="Courier New" w:hAnsi="Courier New"/>
          <w:sz w:val="18"/>
          <w:szCs w:val="18"/>
          <w:color w:val="auto"/>
        </w:rPr>
        <w:t>37,136</w:t>
      </w:r>
    </w:p>
    <w:p>
      <w:pPr>
        <w:ind w:left="3380"/>
        <w:spacing w:after="0" w:line="238" w:lineRule="auto"/>
        <w:rPr>
          <w:sz w:val="20"/>
          <w:szCs w:val="20"/>
          <w:color w:val="auto"/>
        </w:rPr>
      </w:pPr>
      <w:r>
        <w:rPr>
          <w:rFonts w:ascii="Courier New" w:cs="Courier New" w:eastAsia="Courier New" w:hAnsi="Courier New"/>
          <w:sz w:val="18"/>
          <w:szCs w:val="18"/>
          <w:color w:val="auto"/>
        </w:rPr>
        <w:t>723,757</w:t>
      </w:r>
    </w:p>
    <w:p>
      <w:pPr>
        <w:ind w:left="3700"/>
        <w:spacing w:after="0"/>
        <w:rPr>
          <w:sz w:val="20"/>
          <w:szCs w:val="20"/>
          <w:color w:val="auto"/>
        </w:rPr>
      </w:pPr>
      <w:r>
        <w:rPr>
          <w:rFonts w:ascii="Courier New" w:cs="Courier New" w:eastAsia="Courier New" w:hAnsi="Courier New"/>
          <w:sz w:val="18"/>
          <w:szCs w:val="18"/>
          <w:color w:val="auto"/>
        </w:rPr>
        <w:t>157,308</w:t>
      </w:r>
    </w:p>
    <w:p>
      <w:pPr>
        <w:ind w:left="2960"/>
        <w:spacing w:after="0" w:line="237" w:lineRule="auto"/>
        <w:rPr>
          <w:sz w:val="20"/>
          <w:szCs w:val="20"/>
          <w:color w:val="auto"/>
        </w:rPr>
      </w:pPr>
      <w:r>
        <w:rPr>
          <w:rFonts w:ascii="Courier New" w:cs="Courier New" w:eastAsia="Courier New" w:hAnsi="Courier New"/>
          <w:sz w:val="18"/>
          <w:szCs w:val="18"/>
          <w:color w:val="auto"/>
        </w:rPr>
        <w:t>566,449</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3700"/>
        <w:spacing w:after="0" w:line="237" w:lineRule="auto"/>
        <w:rPr>
          <w:sz w:val="20"/>
          <w:szCs w:val="20"/>
          <w:color w:val="auto"/>
        </w:rPr>
      </w:pPr>
      <w:r>
        <w:rPr>
          <w:rFonts w:ascii="Courier New" w:cs="Courier New" w:eastAsia="Courier New" w:hAnsi="Courier New"/>
          <w:sz w:val="18"/>
          <w:szCs w:val="18"/>
          <w:color w:val="auto"/>
        </w:rPr>
        <w:t>566,449</w:t>
      </w:r>
    </w:p>
    <w:p>
      <w:pPr>
        <w:ind w:left="3900"/>
        <w:spacing w:after="0" w:line="238" w:lineRule="auto"/>
        <w:rPr>
          <w:sz w:val="20"/>
          <w:szCs w:val="20"/>
          <w:color w:val="auto"/>
        </w:rPr>
      </w:pPr>
      <w:r>
        <w:rPr>
          <w:rFonts w:ascii="Courier New" w:cs="Courier New" w:eastAsia="Courier New" w:hAnsi="Courier New"/>
          <w:sz w:val="18"/>
          <w:szCs w:val="18"/>
          <w:color w:val="auto"/>
        </w:rPr>
        <w:t>1.15</w:t>
      </w:r>
    </w:p>
    <w:p>
      <w:pPr>
        <w:ind w:left="3900"/>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ADJUSTED FOR TWO-FOR-ONE STOCK SPLIT ON JUNE 2, 1997.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2019-12-12T08:07:01Z</dcterms:created>
  <dcterms:modified xsi:type="dcterms:W3CDTF">2019-12-12T08:07:01Z</dcterms:modified>
</cp:coreProperties>
</file>