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500"/>
        <w:spacing w:after="0"/>
        <w:rPr>
          <w:sz w:val="20"/>
          <w:szCs w:val="20"/>
          <w:color w:val="auto"/>
        </w:rPr>
      </w:pPr>
      <w:r>
        <w:rPr>
          <w:rFonts w:ascii="Times New Roman" w:cs="Times New Roman" w:eastAsia="Times New Roman" w:hAnsi="Times New Roman"/>
          <w:sz w:val="18"/>
          <w:szCs w:val="18"/>
          <w:color w:val="auto"/>
        </w:rPr>
        <w:t>Filed by Schlumberger N.V.</w:t>
      </w:r>
    </w:p>
    <w:p>
      <w:pPr>
        <w:spacing w:after="0" w:line="27" w:lineRule="exact"/>
        <w:rPr>
          <w:sz w:val="24"/>
          <w:szCs w:val="24"/>
          <w:color w:val="auto"/>
        </w:rPr>
      </w:pPr>
    </w:p>
    <w:p>
      <w:pPr>
        <w:ind w:left="6500"/>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ind w:left="6500"/>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ind w:left="650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ind w:left="6500"/>
        <w:spacing w:after="0"/>
        <w:rPr>
          <w:sz w:val="20"/>
          <w:szCs w:val="20"/>
          <w:color w:val="auto"/>
        </w:rPr>
      </w:pPr>
      <w:r>
        <w:rPr>
          <w:rFonts w:ascii="Times New Roman" w:cs="Times New Roman" w:eastAsia="Times New Roman" w:hAnsi="Times New Roman"/>
          <w:sz w:val="18"/>
          <w:szCs w:val="18"/>
          <w:color w:val="auto"/>
        </w:rPr>
        <w:t>Subject Company: ChampionX Corporation</w:t>
      </w:r>
    </w:p>
    <w:p>
      <w:pPr>
        <w:spacing w:after="0" w:line="9" w:lineRule="exact"/>
        <w:rPr>
          <w:sz w:val="24"/>
          <w:szCs w:val="24"/>
          <w:color w:val="auto"/>
        </w:rPr>
      </w:pPr>
    </w:p>
    <w:p>
      <w:pPr>
        <w:ind w:left="6500"/>
        <w:spacing w:after="0"/>
        <w:rPr>
          <w:sz w:val="20"/>
          <w:szCs w:val="20"/>
          <w:color w:val="auto"/>
        </w:rPr>
      </w:pPr>
      <w:r>
        <w:rPr>
          <w:rFonts w:ascii="Times New Roman" w:cs="Times New Roman" w:eastAsia="Times New Roman" w:hAnsi="Times New Roman"/>
          <w:sz w:val="18"/>
          <w:szCs w:val="18"/>
          <w:color w:val="auto"/>
        </w:rPr>
        <w:t>Filer’s SEC File No.: 001-38441</w:t>
      </w:r>
    </w:p>
    <w:p>
      <w:pPr>
        <w:spacing w:after="0" w:line="9" w:lineRule="exact"/>
        <w:rPr>
          <w:sz w:val="24"/>
          <w:szCs w:val="24"/>
          <w:color w:val="auto"/>
        </w:rPr>
      </w:pPr>
    </w:p>
    <w:p>
      <w:pPr>
        <w:ind w:left="6500"/>
        <w:spacing w:after="0"/>
        <w:rPr>
          <w:sz w:val="20"/>
          <w:szCs w:val="20"/>
          <w:color w:val="auto"/>
        </w:rPr>
      </w:pPr>
      <w:r>
        <w:rPr>
          <w:rFonts w:ascii="Times New Roman" w:cs="Times New Roman" w:eastAsia="Times New Roman" w:hAnsi="Times New Roman"/>
          <w:sz w:val="18"/>
          <w:szCs w:val="18"/>
          <w:color w:val="auto"/>
        </w:rPr>
        <w:t>Date: July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33731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31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SLB Second-Quarter 2024 Results Prepared Remarks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R. McDonald</w:t>
      </w:r>
      <w:r>
        <w:rPr>
          <w:rFonts w:ascii="Times New Roman" w:cs="Times New Roman" w:eastAsia="Times New Roman" w:hAnsi="Times New Roman"/>
          <w:sz w:val="18"/>
          <w:szCs w:val="18"/>
          <w:i w:val="1"/>
          <w:iCs w:val="1"/>
          <w:color w:val="auto"/>
        </w:rPr>
        <w:t>—SVP of Investor Relations and Industry Affairs</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Leah.</w:t>
      </w:r>
    </w:p>
    <w:p>
      <w:pPr>
        <w:spacing w:after="0" w:line="225" w:lineRule="exact"/>
        <w:rPr>
          <w:sz w:val="24"/>
          <w:szCs w:val="24"/>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Good morning, and welcome to the SLB, Second-Quarter 2024, Earnings Conference Call. Today’s call is being hosted from London, following our Board meeting held earlier this week.</w:t>
      </w:r>
    </w:p>
    <w:p>
      <w:pPr>
        <w:spacing w:after="0"/>
        <w:rPr>
          <w:sz w:val="20"/>
          <w:szCs w:val="20"/>
          <w:color w:val="auto"/>
        </w:rPr>
      </w:pPr>
      <w:r>
        <w:rPr>
          <w:rFonts w:ascii="Times New Roman" w:cs="Times New Roman" w:eastAsia="Times New Roman" w:hAnsi="Times New Roman"/>
          <w:sz w:val="18"/>
          <w:szCs w:val="18"/>
          <w:color w:val="auto"/>
        </w:rPr>
        <w:t>Joining us on the call are Olivier Le Peuch, Chief Executive Officer, and Stephane Biguet, Chief Financial Officer.</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we begin, I would like to remind all participants that some of the statements we will be making today are forward-looking. These matters involve risks and uncertainties that could cause our results to differ materially from those projected in these statements. For more information, please refer to our latest 10-K filing and other SEC filings which can be found on our website.</w:t>
      </w:r>
    </w:p>
    <w:p>
      <w:pPr>
        <w:spacing w:after="0" w:line="17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comments today also include non-GAAP financial measures. Additional details and reconciliations to the most directly comparable GAAP financial measures can be found in our second-quarter press release, which is on our website.</w:t>
      </w:r>
    </w:p>
    <w:p>
      <w:pPr>
        <w:spacing w:after="0" w:line="162"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And finally, in conjunction with our proposed acquisition, SLB and ChampionX have filed materials with the SEC, including a registration statement with a proxy statement and prospectuses. These materials can be found on the SEC’s website or from the parties’ websites.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With that, I will turn the call over to Olivier.</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29"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Olivier Le Peuch</w:t>
      </w:r>
      <w:r>
        <w:rPr>
          <w:rFonts w:ascii="Times New Roman" w:cs="Times New Roman" w:eastAsia="Times New Roman" w:hAnsi="Times New Roman"/>
          <w:sz w:val="18"/>
          <w:szCs w:val="18"/>
          <w:b w:val="1"/>
          <w:bCs w:val="1"/>
          <w:i w:val="1"/>
          <w:iCs w:val="1"/>
          <w:color w:val="auto"/>
        </w:rPr>
        <w:t>—CEO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James.</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Ladies and gentlemen, thank you for joining us on the call. This was a very strong second quarter for SLB, showcasing our ability to harness the ongoing growth cycle while driving efficiencies throughout our business.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today’s call, I will cover three topics. First, I will review our second-quarter results. Then, I will describe the dynamics of the cycle and how we are positioning our business for further growth and margin expansion. And finally, I will share our updated outlook for the full year and discuss our ongoing commitment to returns to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Stephane will then provide additional details on our financial results, and we will open the line for your questions. Let’s begin.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Second-Quarter Performance</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I’m very pleased with our strong second-quarter performance. Sequentially, revenue increased 5%, adjusted EBITDA grew 11%, adjusted EBITDA margin expanded 142 basis points, and we generated $776 million of free cash flow. These results were driven by continued growth momentum in the international markets, with more than half of our international GeoUnits posting their highest revenue quarter of the cycle.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international revenue grew 6% sequentially led by the Middle East &amp; Asia, which continued to set new records with two-thirds (8 out of 12) of the GeoUnits in the area posting record high quarterly revenue. This was fueled by capacity expansion projects, new gas developments, and production and recovery investments across the region.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Additionally, the ongoing strength of the offshore markets supported further growth in Europe &amp; Africa as well as Latin America. This was particularly pronounced in deepwater basins, including Brazil, West Africa, and Norway, where we continued to benefit from strong backlog conversion in OneSubsea. We also benefitted from new projects on land, notably in Argentina and North Africa.</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Meanwhile, in North America, revenue increased 3% sequentially. This was led by the Gulf of Mexico, where we saw increased drilling and higher digital revenue from sales of exploration data licenses. However, this sequential growth was partially offset by lower drilling in US land as the market continues to be constrained by weaker gas prices, capital discipline, and ongoing market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let me describe how this growth played out across the Divisions.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6" w:right="539" w:bottom="1440" w:gutter="0" w:footer="0" w:header="0"/>
        </w:sectPr>
      </w:pPr>
    </w:p>
    <w:bookmarkStart w:id="2" w:name="page3"/>
    <w:bookmarkEnd w:id="2"/>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our Core divisions, we continued to harness the cycle, with revenue growing 4% sequentially and pretax segment operating margins expanding by 120 basis points. Growth was led by our Production Systems and Reservoir Performance divisions, which visibly expanded margins due to the favorable conversion of backlog, as well as many business lines operating at record activity levels. Demand for our services and equipment is being further reinforced by the combination of long-cycle development activity and the acceleration of production and recovery investments, particularly in the Middle East &amp; Asia and Latin America. Well Construction also grew sequentially, supported by offshore developments, although this was partially offset by weaker land activity in North America.</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Overall, the Core divisions continue to deliver margin expansion, combining to post their 14th consecutive quarter of year-on-year pretax segment operating margin expansion.</w:t>
      </w:r>
    </w:p>
    <w:p>
      <w:pPr>
        <w:spacing w:after="0" w:line="16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Meanwhile, in Digital &amp; Integration, I was very pleased to see highly accretive sequential growth, highlighted by our Digital business reaching a new quarterly high-and supporting visible sequential margin expansion. This puts us on track to achieve our full-year ambition of digital revenue growth in the high-teens. We have opportunities to build on this momentum as customers are increasingly choosing to partner with SLB to modernize their digital infrastructure, as you’ve seen in a number of announcements included in today’s release. At the end of the second quarter, we had 6,900 users on the Delfi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an increase of 28% year on year. Additionally, the number of connected assets increased by 57% and trailing twelve months compute hours increased by 43%.</w:t>
      </w:r>
    </w:p>
    <w:p>
      <w:pPr>
        <w:spacing w:after="0" w:line="20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Combined with our first-quarter results, SLB first-half adjusted EBITDA grew in the mid-teens compared to the same period last year, in line with our full year ambition. Moving forward, we will remain focused on driving quality revenue growth and leveraging operational efficiencies to grow EBITDA, expand operating margins, generate robust cash flows, and meet our commitment to returns to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want to clearly express my full gratitude to the entire SLB team for delivering such strong second-quarter and first-half results.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Capturing Growth While Driving Efficiencies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let me describe how the market is evolving and the steps we are taking to capture profitable growth across the business.</w:t>
      </w:r>
    </w:p>
    <w:p>
      <w:pPr>
        <w:spacing w:after="0" w:line="22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the cycle continues, investments will increasingly be targeted in the most resilient areas of the market, including key international markets, such as the Middle East &amp; Asia, and in offshore globally. In these areas, we are seeing long-cycle gas and deepwater projects, production and recovery activity to address natural decline, and increased Digital adoption to drive efficiency and performance. This is an optimal environment for our business, and we are seizing each of these opportunities.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Middle East, in addition to the exposure to the oil capacity expansion programs across the region, we continue to benefit from the acceleration and scale of investments in gas development— both conventional and unconventional—leveraging our fit-for-basin technology and differentiated integration capabilities.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 w:name="page4"/>
    <w:bookmarkEnd w:id="3"/>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Offshore, we see the benefits of our OneSubsea JV, as highlighted by the number of high-value contract awards and partnerships included in today’s release. Through OneSubsea, we are helping customers unlock reserves and reduce cycle times through an extensive subsea production and processing technology portfolio, and we are increasingly being offered the opportunity to partner with customers in early engineering phases to unlock the economics of their assets.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production and recovery, we are seeing customers embrace our offerings as they work to offset natural decline, extend performance, and maximize the value of their producing assets. We have many solutions to help customers access resources through our Production Systems and Reservoir Performance divisions, and this is showing up in the strong results these divisions are achieving. As this market continues to evolve, we expect to strengthen our portfolio to fully capture this growing opportunity through our pending acquisition of ChampionX.</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Finally, underpinning nearly everything we do is the power of digital and AI. In today’s market, accelerating the time to returns and extracting new levels of efficiency, are top of mind for our customers, and they are increasingly recognizing that upscaling their digital infrastructures is a key enabler in these areas, presenting us with significant opportunities for high-margin growth.</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summary, SLB is well positioned across key, resilient markets. We remain focused on expanding margins through quality revenue growth, and this is complemented by a heightened focus on operating efficiency, support structure optimization, and strategic resource allocation in certain markets to align with expected levels of activity going forward. To support these ongoing cost efficiency actions, we recorded a charge this quarter, and Stephane will share additional details on this topic later in the call.</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Overall, the positive market dynamics and our continued focus on operating efficiency present a strong backdrop for continued outperformance. We look forward to harnessing these dynamics to deliver further growth and margin expansion in the second half of 2024 and in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Full-Year Guidance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that note, let me conclude my opening remarks by sharing our updated outlook for the year.</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our strong second-quarter and first-half results, we expect full-year adjusted EBITDA growth in the range of 14 to 15% and full-year adjusted EBITDA margins at or above 25%.</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Specific to the third quarter, we expect sequential revenue growth in the low-single digits enhanced by further margin expansion. This will accelerate as we move toward the end of the year, with a visible increase in topline growth and an uptick in margin expansion during the fourth quarter, due to seasonally higher year-end digital and product sales.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Returns to Shareholders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Lastly, we returned $1.5 billion to shareholders over the first two quarters through the combination of stock repurchase and dividends. In the second half of the year, we expect to generate higher EBITDA and strong cash flows, supporting our full-year commitments.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Directionally, we expect a strong exit of the year to position us for continued revenue growth, margin expansion, and cash generation, reinforcing our commitment to continued returns to shareholders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now turn the call over to Stephane.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Stephane Biguet</w:t>
      </w:r>
      <w:r>
        <w:rPr>
          <w:rFonts w:ascii="Times New Roman" w:cs="Times New Roman" w:eastAsia="Times New Roman" w:hAnsi="Times New Roman"/>
          <w:sz w:val="18"/>
          <w:szCs w:val="18"/>
          <w:i w:val="1"/>
          <w:iCs w:val="1"/>
          <w:color w:val="auto"/>
        </w:rPr>
        <w:t>—Executive VP and CFO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Olivier, and good morning, ladies and 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Overall, our second-quarter revenue of $9.1 billion increased 5% sequentially, mostly driven by the international markets led by the Middle East &amp; Asia.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Sequentially, our pretax segment operating margins expanded 135 basis points to 20.3% as margins increased in each of our four Divisions.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Company-wide adjusted EBITDA margin for the second quarter was 25%, representing a sequential increase of 142 basis points. In absolute dollars, adjusted EBITDA increased 11% sequentially and 17% year-on-year.</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a result, second-quarter earnings per share excluding charges and credits was 85 cents. This represents an increase of 10 cents sequentially and 13 cents, or 18%, when compared to the second quarter of last year.</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quarter we recorded 1 cent of merger and integration charges relating to the Aker subsea transaction and 7 cents of charges in connection with a program that we have recently started to realign and optimize the support and service delivery structure in certain parts of our organization. This includes adjusting resources as a result of lower activity levels in North America; centralizing certain digital delivery services; and improving efficiency in our support structure.</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program, which will result in additional charges in the third quarter, will drive further margin expansion in the second half of the year and into 2025. The related actions will be completed by the end of the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 me now go through the second-quarter results for each Division.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Second-quarter Digital &amp; Integration revenue of $1.1 billion increased 10% sequentially with margins expanding 435 basis points to 31%.</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sequential revenue growth was entirely due to higher digital sales, as APS revenue was flat. The strong margin performance was driven by improved digital profitability as a result of robust exploration data sales and the higher uptake of digital solutions. APS margins were essentially flat. We expect the digital revenue growth and margin expansion to continue in both Q3 and Q4.</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Reservoir Performance revenue of $1.8 billion increased 5% sequentially while margins improved 98 basis points to 20.6%. These increases were primarily due to strong growth internationally, led by higher activity in the Middle East &amp; Asia.</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Well Construction revenue of $3.4 billion increased 1% sequentially, while margins of 21.7% increased 125 basis points driven by strong measurements and fluids activity internationally.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Finally, Production Systems revenue of $3 billion increased 7% sequentially driven by the strong activity in the international markets led by Europe and Africa.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Margins expanded 146 basis points to 15.6% on improved profitability in subsea production systems and artificial lift.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turning to our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was strong, as we generated $1.4 billion of cash flow from operations and free cash flow of $776 million during the quarter.</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expect our cash flow to continue to improve throughout the rest of the year. As a result, our free cash flow in the second half of this year will be materially higher than the first half.</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Capital investments, inclusive of capex and investments in APS projects and exploration data were $660 million in the second quarter. For the full year, we are still expecting capital investment to be approximately $2.6 billion.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I mentioned last quarter, under the securities laws we were prohibited from repurchasing our stock during the period between the mailing of the proxy in connection with the ChampionX acquisition and ChampionX’s shareholder vote. Following the shareholder vote in June, we have resumed our stock repurchase program, and during the quarter, we repurchased 9.9 million shares for a total purchase price of $465 million.</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During the first half of the year, total returns to shareholders, in the form of stock repurchases and dividends, were approximately $1.5 billion representing half of our $3 billion commitment for all of 2024.</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Finally, we issued $1.5 billion dollars of bonds during the second quarter. The proceeds either have been or will be used to refinance our debt obligations. We are pleased with our current capital structure, which allows us to prioritize returns to shareholders as illustrated by our $3 billion total returns commitment for 2024 and our $4 billion commitment for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now turn the conference call back to Olivier.</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Olivier Le Peuch—CEO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Leah.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 as we conclude today’s call, I would like to leave you with the following takeaways: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First, the growth momentum continues, with many of our international GeoUnits reaching new cycle-highs. Combined with the increased adoption of digital technologies, the stage is set for further growth and margin expansion throughout the rest of 2024 and into 2025.</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Second, in this environment, no company is better positioned than SLB to capture quality growth. Our differentiated operating footprint, leading technical and digital offerings, and sustained commitment to operating efficiency and value creation have set us apart throughout the cycle. Moving ahead, we remain favorably positioned in the highest-quality areas of the market, supported by our differentiated technology deployment, integration capabilities, and performance.</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And third, with a strong first half of the year behind us and full confidence in further international revenue growth, we are optimally positioned to continue our margin expansion journey, to generate cash, and to fulfill our commitment to returns to shareholders, both in 2024 and in 2025.</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is an excellent environment for our business, and I am confident that we will continue to deliver outstanding performance for our customers and our shareholders in the quarters ahead.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 will conclude this morning’s call. Thank you very much for joining.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Copyright © 2024 SLB. All rights reserved.</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60"/>
          </w:cols>
          <w:pgMar w:left="440" w:top="268" w:right="6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Section 27A of the Securities Act of 1933, as amended, and Section 21E of the Securities Exchange Act of 1934, as amended.</w:t>
      </w:r>
    </w:p>
    <w:p>
      <w:pPr>
        <w:spacing w:after="0" w:line="16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9" w:name="page10"/>
    <w:bookmarkEnd w:id="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risks, as well as other risks related to the proposed transaction, are included in the Form S-4 and proxy statement/prospectus (each, as defined below) that has been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 and Where to Find 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proposed transaction, SLB filed with the Securities and Exchange Commission (the “SEC”) a registration statement on Form S-4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29, 2024 (as amended, the “Form S-4”) that includes a proxy statement of ChampionX and that also constitutes a prospectus of S LB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shares of SLB to be issued in the proposed transaction (the “proxy statement/prospectus”). The Form S-4 was declared effective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on May 15, 2024. SLB and ChampionX filed the definitive proxy statement/prospectus with the SEC on May 15,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https://www.sec.gov/Archives/edgar/data/87347/000119312524139403/d818663d424b3.htm</w:t>
      </w:r>
      <w:r>
        <w:rPr>
          <w:rFonts w:ascii="Times New Roman" w:cs="Times New Roman" w:eastAsia="Times New Roman" w:hAnsi="Times New Roman"/>
          <w:sz w:val="18"/>
          <w:szCs w:val="18"/>
          <w:color w:val="auto"/>
        </w:rPr>
        <w:t>). and it was first mailed to ChampionX stockholders 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May 15, 2024. Each of SLB and ChampionX may also file other relevant documents with the SEC regarding the proposed transaction. This</w:t>
      </w:r>
    </w:p>
    <w:p>
      <w:pPr>
        <w:spacing w:after="0" w:line="9"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color w:val="auto"/>
        </w:rPr>
        <w:t xml:space="preserve">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Copies of the documents filed with, or furnished to, the SEC by SLB will be available free of charge on SLB’s website at </w:t>
      </w:r>
      <w:r>
        <w:rPr>
          <w:rFonts w:ascii="Times New Roman" w:cs="Times New Roman" w:eastAsia="Times New Roman" w:hAnsi="Times New Roman"/>
          <w:sz w:val="18"/>
          <w:szCs w:val="18"/>
          <w:u w:val="single" w:color="auto"/>
          <w:color w:val="auto"/>
        </w:rPr>
        <w:t>https://investorcenter.slb.com</w:t>
      </w:r>
      <w:r>
        <w:rPr>
          <w:rFonts w:ascii="Times New Roman" w:cs="Times New Roman" w:eastAsia="Times New Roman" w:hAnsi="Times New Roman"/>
          <w:sz w:val="18"/>
          <w:szCs w:val="18"/>
          <w:color w:val="auto"/>
        </w:rPr>
        <w:t xml:space="preserve">. Copies of the documents filed with, or furnished to, the SEC by ChampionX will be available free of charge on ChampionX’s website at </w:t>
      </w:r>
      <w:r>
        <w:rPr>
          <w:rFonts w:ascii="Times New Roman" w:cs="Times New Roman" w:eastAsia="Times New Roman" w:hAnsi="Times New Roman"/>
          <w:sz w:val="18"/>
          <w:szCs w:val="18"/>
          <w:u w:val="single" w:color="auto"/>
          <w:color w:val="auto"/>
        </w:rPr>
        <w:t>https://investors.championx.com</w:t>
      </w:r>
      <w:r>
        <w:rPr>
          <w:rFonts w:ascii="Times New Roman" w:cs="Times New Roman" w:eastAsia="Times New Roman" w:hAnsi="Times New Roman"/>
          <w:sz w:val="18"/>
          <w:szCs w:val="18"/>
          <w:color w:val="auto"/>
        </w:rPr>
        <w:t>. The information included on, or accessible through, SLB’s or ChampionX’s website is not incorporated by reference into this communication.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2024-07-19T14:47:27Z</dcterms:created>
  <dcterms:modified xsi:type="dcterms:W3CDTF">2024-07-19T14:47:27Z</dcterms:modified>
</cp:coreProperties>
</file>