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ectPr>
          <w:pgSz w:w="11900" w:h="16838" w:orient="portrait"/>
          <w:cols w:equalWidth="0" w:num="1">
            <w:col w:w="10219"/>
          </w:cols>
          <w:pgMar w:left="240" w:top="623"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left="540"/>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AUGUST 31, 1998</w:t>
      </w:r>
    </w:p>
    <w:p>
      <w:pPr>
        <w:spacing w:after="0" w:line="200" w:lineRule="exact"/>
        <w:rPr>
          <w:sz w:val="24"/>
          <w:szCs w:val="24"/>
          <w:color w:val="auto"/>
        </w:rPr>
      </w:pPr>
    </w:p>
    <w:p>
      <w:pPr>
        <w:sectPr>
          <w:pgSz w:w="11900" w:h="16838" w:orient="portrait"/>
          <w:cols w:equalWidth="0" w:num="2">
            <w:col w:w="5700" w:space="520"/>
            <w:col w:w="3999"/>
          </w:cols>
          <w:pgMar w:left="240" w:top="623" w:right="1440" w:bottom="1440" w:gutter="0" w:footer="0" w:header="0"/>
          <w:type w:val="continuous"/>
        </w:sectPr>
      </w:pPr>
    </w:p>
    <w:p>
      <w:pPr>
        <w:spacing w:after="0" w:line="22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(Schlumberger Limited)</w:t>
      </w:r>
    </w:p>
    <w:p>
      <w:pPr>
        <w:ind w:left="1480"/>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623" w:right="1440" w:bottom="1440" w:gutter="0" w:footer="0" w:header="0"/>
          <w:type w:val="continuous"/>
        </w:sectPr>
      </w:pPr>
    </w:p>
    <w:p>
      <w:pPr>
        <w:spacing w:after="0" w:line="394" w:lineRule="exact"/>
        <w:rPr>
          <w:sz w:val="24"/>
          <w:szCs w:val="24"/>
          <w:color w:val="auto"/>
        </w:rPr>
      </w:pPr>
    </w:p>
    <w:p>
      <w:pPr>
        <w:ind w:firstLine="527"/>
        <w:spacing w:after="0" w:line="344" w:lineRule="auto"/>
        <w:rPr>
          <w:sz w:val="20"/>
          <w:szCs w:val="20"/>
          <w:color w:val="auto"/>
        </w:rPr>
      </w:pPr>
      <w:r>
        <w:rPr>
          <w:rFonts w:ascii="Courier New" w:cs="Courier New" w:eastAsia="Courier New" w:hAnsi="Courier New"/>
          <w:sz w:val="16"/>
          <w:szCs w:val="16"/>
          <w:color w:val="auto"/>
        </w:rPr>
        <w:t>NETHERLANDS ANTILLES (State or other jurisdiction of incorporation)</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001-04601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52-0684746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360" w:lineRule="exact"/>
        <w:rPr>
          <w:sz w:val="24"/>
          <w:szCs w:val="24"/>
          <w:color w:val="auto"/>
        </w:rPr>
      </w:pPr>
    </w:p>
    <w:p>
      <w:pPr>
        <w:sectPr>
          <w:pgSz w:w="11900" w:h="16838" w:orient="portrait"/>
          <w:cols w:equalWidth="0" w:num="3">
            <w:col w:w="2960" w:space="420"/>
            <w:col w:w="2220" w:space="520"/>
            <w:col w:w="4099"/>
          </w:cols>
          <w:pgMar w:left="240" w:top="623" w:right="1440" w:bottom="1440" w:gutter="0" w:footer="0" w:header="0"/>
          <w:type w:val="continuous"/>
        </w:sectPr>
      </w:pPr>
    </w:p>
    <w:p>
      <w:pPr>
        <w:spacing w:after="0" w:line="34" w:lineRule="exact"/>
        <w:rPr>
          <w:sz w:val="24"/>
          <w:szCs w:val="24"/>
          <w:color w:val="auto"/>
        </w:rPr>
      </w:pPr>
    </w:p>
    <w:p>
      <w:pPr>
        <w:ind w:left="420" w:hanging="104"/>
        <w:spacing w:after="0" w:line="344" w:lineRule="auto"/>
        <w:rPr>
          <w:sz w:val="20"/>
          <w:szCs w:val="20"/>
          <w:color w:val="auto"/>
        </w:rPr>
      </w:pPr>
      <w:r>
        <w:rPr>
          <w:rFonts w:ascii="Courier New" w:cs="Courier New" w:eastAsia="Courier New" w:hAnsi="Courier New"/>
          <w:sz w:val="16"/>
          <w:szCs w:val="16"/>
          <w:color w:val="auto"/>
        </w:rPr>
        <w:t>42, RUE SAINT-DOMINQUE PARIS, FRANCE 75007 (33-1) 4062-1000</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277 PARK AVENUE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NEW YORK, USA 10172</w:t>
      </w:r>
    </w:p>
    <w:p>
      <w:pPr>
        <w:spacing w:after="0" w:line="2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(212) 350-9400</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PARKSTRAAT 83</w:t>
      </w:r>
    </w:p>
    <w:p>
      <w:pPr>
        <w:spacing w:after="0" w:line="2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THE HAGUE</w:t>
      </w:r>
    </w:p>
    <w:p>
      <w:pPr>
        <w:ind w:left="100"/>
        <w:spacing w:after="0"/>
        <w:rPr>
          <w:sz w:val="20"/>
          <w:szCs w:val="20"/>
          <w:color w:val="auto"/>
        </w:rPr>
      </w:pPr>
      <w:r>
        <w:rPr>
          <w:rFonts w:ascii="Courier New" w:cs="Courier New" w:eastAsia="Courier New" w:hAnsi="Courier New"/>
          <w:sz w:val="16"/>
          <w:szCs w:val="16"/>
          <w:color w:val="auto"/>
        </w:rPr>
        <w:t>THE NETHERLANDS</w:t>
      </w:r>
    </w:p>
    <w:p>
      <w:pPr>
        <w:spacing w:after="0" w:line="2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2514 JG</w:t>
      </w:r>
    </w:p>
    <w:p>
      <w:pPr>
        <w:spacing w:after="0"/>
        <w:rPr>
          <w:sz w:val="20"/>
          <w:szCs w:val="20"/>
          <w:color w:val="auto"/>
        </w:rPr>
      </w:pPr>
      <w:r>
        <w:rPr>
          <w:rFonts w:ascii="Courier New" w:cs="Courier New" w:eastAsia="Courier New" w:hAnsi="Courier New"/>
          <w:sz w:val="16"/>
          <w:szCs w:val="16"/>
          <w:color w:val="auto"/>
        </w:rPr>
        <w:t>(31-70) 310-5447</w:t>
      </w:r>
    </w:p>
    <w:p>
      <w:pPr>
        <w:spacing w:after="0" w:line="192" w:lineRule="exact"/>
        <w:rPr>
          <w:sz w:val="24"/>
          <w:szCs w:val="24"/>
          <w:color w:val="auto"/>
        </w:rPr>
      </w:pPr>
    </w:p>
    <w:p>
      <w:pPr>
        <w:sectPr>
          <w:pgSz w:w="11900" w:h="16838" w:orient="portrait"/>
          <w:cols w:equalWidth="0" w:num="3">
            <w:col w:w="2640" w:space="640"/>
            <w:col w:w="2940" w:space="420"/>
            <w:col w:w="3579"/>
          </w:cols>
          <w:pgMar w:left="240" w:top="623" w:right="1440" w:bottom="1440" w:gutter="0" w:footer="0" w:header="0"/>
          <w:type w:val="continuous"/>
        </w:sectPr>
      </w:pPr>
    </w:p>
    <w:p>
      <w:pPr>
        <w:ind w:right="2619"/>
        <w:spacing w:after="0" w:line="347" w:lineRule="auto"/>
        <w:rPr>
          <w:sz w:val="20"/>
          <w:szCs w:val="20"/>
          <w:color w:val="auto"/>
        </w:rPr>
      </w:pPr>
      <w:r>
        <w:rPr>
          <w:rFonts w:ascii="Courier New" w:cs="Courier New" w:eastAsia="Courier New" w:hAnsi="Courier New"/>
          <w:sz w:val="18"/>
          <w:szCs w:val="18"/>
          <w:color w:val="auto"/>
        </w:rPr>
        <w:t>(Address, including Zip Code, and Telephone Number, Including Area Code, of Principal Executive Offices)</w:t>
      </w: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623" w:right="1440" w:bottom="144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On August 31, 1998, Schlumberger Limited ("Schlumberger") completed the acquisition of Camco International Inc. ("Camco") pursuant to the Agreement and Plan of Merger dated as of June 18, 1998 among Schlumberger Technology Corporation, a Texas corporation and a wholly owned subsidiary of Schlumberger ("STC"), Schlumberger OFS, Inc., a Delaware corporation and a wholly owned subsidiary of STC ("Sub"), and Camco (the "Merger Agreement"). Pursuant to the Merger Agreement, Sub was merged (the "Merger") with and into Camco, with Camco surviving as a wholly owned subsidiary of STC. As a result of the Merger, each outstanding share of Camco common stock, par value $.01 per share ("Camco Common Stock"), has been converted into the right to receive 1.18 shares of Schlumberger common stock, par value $.01 per share ("Schlumberger Common Stock"). In addition, outstanding options to acquire shares of Camco Common Stock have been converted into options to acquire 1.18 times as many shares of Schlumberger Common Stock at an exercise price equal to the old exercise price divided by 1.18. In the aggregate, Schlumberger is issuing approximately 45.1 million shares of Schlumberger Common Stock and reserving for issuance an additional 2.1 million shares of Schlumberger Common Stock in exchange for the Camco Common Stock and outstanding Camco options. The exchange ratio of 1.18 resulted from arms-length negotiations among Schlumberger and Camco.</w:t>
      </w:r>
    </w:p>
    <w:p>
      <w:pPr>
        <w:spacing w:after="0" w:line="300"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Camco, the common stock of which was previously publicly traded, is one of the world's leading providers of oilfield equipment and services for numerous specialty applications in key phases of oil and gas drilling, completion and production. In particular, Camco is the leading world producer of gas lift systems. Camco also is one of the world's two leading providers of subsurface safety valve systems, synthetic diamond drill bits and electric submersible pump systems, is the world's third leading provider of roller cone drill bits and also operates a large fleet of coiled tubing units in the United States. Schlumberger currently intends to continue such business activities of Camco. There were no material relationships between Schlumberger and Camco prior to the consummation of the Merger.</w:t>
      </w:r>
    </w:p>
    <w:p>
      <w:pPr>
        <w:spacing w:after="0" w:line="104" w:lineRule="exact"/>
        <w:rPr>
          <w:sz w:val="20"/>
          <w:szCs w:val="20"/>
          <w:color w:val="auto"/>
        </w:rPr>
      </w:pPr>
    </w:p>
    <w:p>
      <w:pPr>
        <w:ind w:right="1879" w:firstLine="527"/>
        <w:spacing w:after="0" w:line="402" w:lineRule="auto"/>
        <w:rPr>
          <w:sz w:val="20"/>
          <w:szCs w:val="20"/>
          <w:color w:val="auto"/>
        </w:rPr>
      </w:pPr>
      <w:r>
        <w:rPr>
          <w:rFonts w:ascii="Courier New" w:cs="Courier New" w:eastAsia="Courier New" w:hAnsi="Courier New"/>
          <w:sz w:val="16"/>
          <w:szCs w:val="16"/>
          <w:color w:val="auto"/>
        </w:rPr>
        <w:t>A copy of Schlumberger's August 31, 1998 press release that relates to the Merger is attached as Exhibit 99 hereto and incorporated herein by reference.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691"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w:t>
      </w:r>
    </w:p>
    <w:p>
      <w:pPr>
        <w:spacing w:after="0" w:line="201" w:lineRule="exact"/>
        <w:rPr>
          <w:sz w:val="20"/>
          <w:szCs w:val="20"/>
          <w:color w:val="auto"/>
        </w:rPr>
      </w:pPr>
    </w:p>
    <w:p>
      <w:pPr>
        <w:ind w:right="1999" w:firstLine="1053"/>
        <w:spacing w:after="0" w:line="344" w:lineRule="auto"/>
        <w:rPr>
          <w:sz w:val="20"/>
          <w:szCs w:val="20"/>
          <w:color w:val="auto"/>
        </w:rPr>
      </w:pPr>
      <w:r>
        <w:rPr>
          <w:rFonts w:ascii="Courier New" w:cs="Courier New" w:eastAsia="Courier New" w:hAnsi="Courier New"/>
          <w:sz w:val="16"/>
          <w:szCs w:val="16"/>
          <w:color w:val="auto"/>
        </w:rPr>
        <w:t>The following consolidated financial statements of Camco and independent auditors' report set forth in the Camco Annual Report on Form 10-K for the year ended December 31, 1997 are incorporated herein by reference:</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1" w:lineRule="exact"/>
        <w:rPr>
          <w:sz w:val="20"/>
          <w:szCs w:val="20"/>
          <w:color w:val="auto"/>
        </w:rPr>
      </w:pPr>
    </w:p>
    <w:p>
      <w:pPr>
        <w:ind w:left="1060" w:right="1999"/>
        <w:spacing w:after="0" w:line="347" w:lineRule="auto"/>
        <w:rPr>
          <w:sz w:val="20"/>
          <w:szCs w:val="20"/>
          <w:color w:val="auto"/>
        </w:rPr>
      </w:pPr>
      <w:r>
        <w:rPr>
          <w:rFonts w:ascii="Courier New" w:cs="Courier New" w:eastAsia="Courier New" w:hAnsi="Courier New"/>
          <w:sz w:val="18"/>
          <w:szCs w:val="18"/>
          <w:color w:val="auto"/>
        </w:rPr>
        <w:t>Consolidated Statements of Operations for each of the three years in the period ended December 31, 1997.</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Consolidated Balance Sheets as of December 31, 1997 and 1996.</w:t>
      </w:r>
    </w:p>
    <w:p>
      <w:pPr>
        <w:spacing w:after="0" w:line="201" w:lineRule="exact"/>
        <w:rPr>
          <w:sz w:val="20"/>
          <w:szCs w:val="20"/>
          <w:color w:val="auto"/>
        </w:rPr>
      </w:pPr>
    </w:p>
    <w:p>
      <w:pPr>
        <w:ind w:left="1060" w:right="1879"/>
        <w:spacing w:after="0" w:line="347" w:lineRule="auto"/>
        <w:rPr>
          <w:sz w:val="20"/>
          <w:szCs w:val="20"/>
          <w:color w:val="auto"/>
        </w:rPr>
      </w:pPr>
      <w:r>
        <w:rPr>
          <w:rFonts w:ascii="Courier New" w:cs="Courier New" w:eastAsia="Courier New" w:hAnsi="Courier New"/>
          <w:sz w:val="18"/>
          <w:szCs w:val="18"/>
          <w:color w:val="auto"/>
        </w:rPr>
        <w:t>Consolidated Statements of Stockholders' Equity for each of the three years in the period ended December 31, 1997.</w:t>
      </w:r>
    </w:p>
    <w:p>
      <w:pPr>
        <w:spacing w:after="0" w:line="18" w:lineRule="exact"/>
        <w:rPr>
          <w:sz w:val="20"/>
          <w:szCs w:val="20"/>
          <w:color w:val="auto"/>
        </w:rPr>
      </w:pPr>
    </w:p>
    <w:p>
      <w:pPr>
        <w:ind w:left="1060" w:right="1999"/>
        <w:spacing w:after="0" w:line="347" w:lineRule="auto"/>
        <w:rPr>
          <w:sz w:val="20"/>
          <w:szCs w:val="20"/>
          <w:color w:val="auto"/>
        </w:rPr>
      </w:pPr>
      <w:r>
        <w:rPr>
          <w:rFonts w:ascii="Courier New" w:cs="Courier New" w:eastAsia="Courier New" w:hAnsi="Courier New"/>
          <w:sz w:val="18"/>
          <w:szCs w:val="18"/>
          <w:color w:val="auto"/>
        </w:rPr>
        <w:t>Consolidated Statements of Cash Flows for each of the three years in the period ended December 31, 1997.</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The following unaudited consolidated condensed financial statements of Camco set forth in the Camco Form 10-Q for the quarterly period ended June 30, 1998 are incorporated herein by reference:</w:t>
      </w:r>
    </w:p>
    <w:p>
      <w:pPr>
        <w:spacing w:after="0" w:line="66" w:lineRule="exact"/>
        <w:rPr>
          <w:sz w:val="20"/>
          <w:szCs w:val="20"/>
          <w:color w:val="auto"/>
        </w:rPr>
      </w:pPr>
    </w:p>
    <w:p>
      <w:pPr>
        <w:ind w:left="1060" w:right="1999"/>
        <w:spacing w:after="0" w:line="347" w:lineRule="auto"/>
        <w:rPr>
          <w:sz w:val="20"/>
          <w:szCs w:val="20"/>
          <w:color w:val="auto"/>
        </w:rPr>
      </w:pPr>
      <w:r>
        <w:rPr>
          <w:rFonts w:ascii="Courier New" w:cs="Courier New" w:eastAsia="Courier New" w:hAnsi="Courier New"/>
          <w:sz w:val="18"/>
          <w:szCs w:val="18"/>
          <w:color w:val="auto"/>
        </w:rPr>
        <w:t>Consolidated Condensed Statements of Income for the three months and six months ended June 30, 1998 and 1997.</w:t>
      </w:r>
    </w:p>
    <w:p>
      <w:pPr>
        <w:spacing w:after="0" w:line="18" w:lineRule="exact"/>
        <w:rPr>
          <w:sz w:val="20"/>
          <w:szCs w:val="20"/>
          <w:color w:val="auto"/>
        </w:rPr>
      </w:pPr>
    </w:p>
    <w:p>
      <w:pPr>
        <w:ind w:left="1060" w:right="2739"/>
        <w:spacing w:after="0" w:line="347" w:lineRule="auto"/>
        <w:rPr>
          <w:sz w:val="20"/>
          <w:szCs w:val="20"/>
          <w:color w:val="auto"/>
        </w:rPr>
      </w:pPr>
      <w:r>
        <w:rPr>
          <w:rFonts w:ascii="Courier New" w:cs="Courier New" w:eastAsia="Courier New" w:hAnsi="Courier New"/>
          <w:sz w:val="18"/>
          <w:szCs w:val="18"/>
          <w:color w:val="auto"/>
        </w:rPr>
        <w:t>Consolidated Condensed Balance Sheets as of June 30, 1998 and December 31, 1997.</w:t>
      </w:r>
    </w:p>
    <w:p>
      <w:pPr>
        <w:spacing w:after="0" w:line="18" w:lineRule="exact"/>
        <w:rPr>
          <w:sz w:val="20"/>
          <w:szCs w:val="20"/>
          <w:color w:val="auto"/>
        </w:rPr>
      </w:pPr>
    </w:p>
    <w:p>
      <w:pPr>
        <w:ind w:left="1060" w:right="2199"/>
        <w:spacing w:after="0" w:line="347" w:lineRule="auto"/>
        <w:rPr>
          <w:sz w:val="20"/>
          <w:szCs w:val="20"/>
          <w:color w:val="auto"/>
        </w:rPr>
      </w:pPr>
      <w:r>
        <w:rPr>
          <w:rFonts w:ascii="Courier New" w:cs="Courier New" w:eastAsia="Courier New" w:hAnsi="Courier New"/>
          <w:sz w:val="18"/>
          <w:szCs w:val="18"/>
          <w:color w:val="auto"/>
        </w:rPr>
        <w:t>Consolidated Condensed Statements of Cash Flows for the six months ended June 30, 1998 and 1997.</w:t>
      </w:r>
    </w:p>
    <w:p>
      <w:pPr>
        <w:spacing w:after="0" w:line="18" w:lineRule="exact"/>
        <w:rPr>
          <w:sz w:val="20"/>
          <w:szCs w:val="20"/>
          <w:color w:val="auto"/>
        </w:rPr>
      </w:pPr>
    </w:p>
    <w:p>
      <w:pPr>
        <w:ind w:left="1060" w:right="2319"/>
        <w:spacing w:after="0" w:line="347" w:lineRule="auto"/>
        <w:rPr>
          <w:sz w:val="20"/>
          <w:szCs w:val="20"/>
          <w:color w:val="auto"/>
        </w:rPr>
      </w:pPr>
      <w:r>
        <w:rPr>
          <w:rFonts w:ascii="Courier New" w:cs="Courier New" w:eastAsia="Courier New" w:hAnsi="Courier New"/>
          <w:sz w:val="18"/>
          <w:szCs w:val="18"/>
          <w:color w:val="auto"/>
        </w:rPr>
        <w:t>Consolidated Condensed Statements of Comprehensive Income for the three months and six months ended June 30, 1998 and 1997.</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Consolidated Condensed Financial Statements.</w:t>
      </w:r>
    </w:p>
    <w:p>
      <w:pPr>
        <w:spacing w:after="0" w:line="201" w:lineRule="exact"/>
        <w:rPr>
          <w:sz w:val="20"/>
          <w:szCs w:val="20"/>
          <w:color w:val="auto"/>
        </w:rPr>
      </w:pPr>
    </w:p>
    <w:p>
      <w:pPr>
        <w:ind w:left="1060" w:right="5779" w:hanging="525"/>
        <w:spacing w:after="0" w:line="47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Not applicable.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691" w:right="1440" w:bottom="1440" w:gutter="0" w:footer="0" w:header="0"/>
        </w:sectPr>
      </w:pPr>
    </w:p>
    <w:bookmarkStart w:id="3" w:name="page4"/>
    <w:bookmarkEnd w:id="3"/>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1060" w:right="1879" w:hanging="947"/>
        <w:spacing w:after="0" w:line="260" w:lineRule="auto"/>
        <w:tabs>
          <w:tab w:leader="none" w:pos="1040" w:val="left"/>
        </w:tabs>
        <w:rPr>
          <w:sz w:val="20"/>
          <w:szCs w:val="20"/>
          <w:color w:val="auto"/>
        </w:rPr>
      </w:pPr>
      <w:r>
        <w:rPr>
          <w:rFonts w:ascii="Courier New" w:cs="Courier New" w:eastAsia="Courier New" w:hAnsi="Courier New"/>
          <w:sz w:val="18"/>
          <w:szCs w:val="18"/>
          <w:color w:val="auto"/>
        </w:rPr>
        <w:t>2.1</w:t>
        <w:tab/>
        <w:t>- Agreement and Plan of Merger among Schlumberger Technology Corporation, a Texas corporation, Schlumberger OFS, Inc., a Delaware corporation, and Camco International Inc., a Delaware corporation, dated as of June 18, 1998 (incorporated by reference to Exhibit 2.1 to Schlumberger's Form 8-K dated June 18, 1998, File 001-04601).</w:t>
      </w:r>
    </w:p>
    <w:p>
      <w:pPr>
        <w:spacing w:after="0" w:line="93" w:lineRule="exact"/>
        <w:rPr>
          <w:sz w:val="20"/>
          <w:szCs w:val="20"/>
          <w:color w:val="auto"/>
        </w:rPr>
      </w:pPr>
    </w:p>
    <w:p>
      <w:pPr>
        <w:ind w:left="1480" w:right="1879" w:hanging="947"/>
        <w:spacing w:after="0" w:line="274" w:lineRule="auto"/>
        <w:tabs>
          <w:tab w:leader="none" w:pos="1460" w:val="left"/>
        </w:tabs>
        <w:rPr>
          <w:sz w:val="20"/>
          <w:szCs w:val="20"/>
          <w:color w:val="auto"/>
        </w:rPr>
      </w:pPr>
      <w:r>
        <w:rPr>
          <w:rFonts w:ascii="Courier New" w:cs="Courier New" w:eastAsia="Courier New" w:hAnsi="Courier New"/>
          <w:sz w:val="18"/>
          <w:szCs w:val="18"/>
          <w:color w:val="auto"/>
        </w:rPr>
        <w:t>10.1 -</w:t>
      </w:r>
      <w:r>
        <w:rPr>
          <w:sz w:val="20"/>
          <w:szCs w:val="20"/>
          <w:color w:val="auto"/>
        </w:rPr>
        <w:tab/>
      </w:r>
      <w:r>
        <w:rPr>
          <w:rFonts w:ascii="Courier New" w:cs="Courier New" w:eastAsia="Courier New" w:hAnsi="Courier New"/>
          <w:sz w:val="18"/>
          <w:szCs w:val="18"/>
          <w:color w:val="auto"/>
        </w:rPr>
        <w:t>Transaction Agreement between Schlumberger Limited and Camco International Inc., a Delaware corporation, dated as of June 18, 1998 (incorporated by reference to Exhibit 10.1 to Schlumberger's Form 8-K dated June 18, 1998, File 001-04601).</w:t>
      </w:r>
    </w:p>
    <w:p>
      <w:pPr>
        <w:spacing w:after="0" w:line="82" w:lineRule="exact"/>
        <w:rPr>
          <w:sz w:val="20"/>
          <w:szCs w:val="20"/>
          <w:color w:val="auto"/>
        </w:rPr>
      </w:pP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*13.1 -</w:t>
      </w:r>
      <w:r>
        <w:rPr>
          <w:sz w:val="20"/>
          <w:szCs w:val="20"/>
          <w:color w:val="auto"/>
        </w:rPr>
        <w:tab/>
      </w:r>
      <w:r>
        <w:rPr>
          <w:rFonts w:ascii="Courier New" w:cs="Courier New" w:eastAsia="Courier New" w:hAnsi="Courier New"/>
          <w:sz w:val="16"/>
          <w:szCs w:val="16"/>
          <w:color w:val="auto"/>
        </w:rPr>
        <w:t>Portions of the Camco 1997 Annual Report to Shareholders.</w:t>
      </w:r>
    </w:p>
    <w:p>
      <w:pPr>
        <w:spacing w:after="0" w:line="201" w:lineRule="exact"/>
        <w:rPr>
          <w:sz w:val="20"/>
          <w:szCs w:val="20"/>
          <w:color w:val="auto"/>
        </w:rPr>
      </w:pPr>
    </w:p>
    <w:p>
      <w:pPr>
        <w:ind w:left="1480" w:right="2199" w:hanging="1052"/>
        <w:spacing w:after="0" w:line="347" w:lineRule="auto"/>
        <w:tabs>
          <w:tab w:leader="none" w:pos="1460" w:val="left"/>
        </w:tabs>
        <w:rPr>
          <w:sz w:val="20"/>
          <w:szCs w:val="20"/>
          <w:color w:val="auto"/>
        </w:rPr>
      </w:pPr>
      <w:r>
        <w:rPr>
          <w:rFonts w:ascii="Courier New" w:cs="Courier New" w:eastAsia="Courier New" w:hAnsi="Courier New"/>
          <w:sz w:val="18"/>
          <w:szCs w:val="18"/>
          <w:color w:val="auto"/>
        </w:rPr>
        <w:t>*13.2 -</w:t>
      </w:r>
      <w:r>
        <w:rPr>
          <w:sz w:val="20"/>
          <w:szCs w:val="20"/>
          <w:color w:val="auto"/>
        </w:rPr>
        <w:tab/>
      </w:r>
      <w:r>
        <w:rPr>
          <w:rFonts w:ascii="Courier New" w:cs="Courier New" w:eastAsia="Courier New" w:hAnsi="Courier New"/>
          <w:sz w:val="18"/>
          <w:szCs w:val="18"/>
          <w:color w:val="auto"/>
        </w:rPr>
        <w:t>Portions of the Camco Form 10-Q for the quarterly period ended June 30, 1998.</w:t>
      </w:r>
    </w:p>
    <w:p>
      <w:pPr>
        <w:spacing w:after="0" w:line="18"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23.1 -</w:t>
      </w:r>
      <w:r>
        <w:rPr>
          <w:sz w:val="20"/>
          <w:szCs w:val="20"/>
          <w:color w:val="auto"/>
        </w:rPr>
        <w:tab/>
      </w:r>
      <w:r>
        <w:rPr>
          <w:rFonts w:ascii="Courier New" w:cs="Courier New" w:eastAsia="Courier New" w:hAnsi="Courier New"/>
          <w:sz w:val="16"/>
          <w:szCs w:val="16"/>
          <w:color w:val="auto"/>
        </w:rPr>
        <w:t>Consent of Arthur Andersen LLP.</w:t>
      </w:r>
    </w:p>
    <w:p>
      <w:pPr>
        <w:spacing w:after="0" w:line="201" w:lineRule="exact"/>
        <w:rPr>
          <w:sz w:val="20"/>
          <w:szCs w:val="20"/>
          <w:color w:val="auto"/>
        </w:rPr>
      </w:pPr>
    </w:p>
    <w:p>
      <w:pPr>
        <w:ind w:left="1480" w:right="2199" w:hanging="1052"/>
        <w:spacing w:after="0" w:line="347" w:lineRule="auto"/>
        <w:tabs>
          <w:tab w:leader="none" w:pos="1460" w:val="left"/>
        </w:tabs>
        <w:rPr>
          <w:sz w:val="20"/>
          <w:szCs w:val="20"/>
          <w:color w:val="auto"/>
        </w:rPr>
      </w:pPr>
      <w:r>
        <w:rPr>
          <w:rFonts w:ascii="Courier New" w:cs="Courier New" w:eastAsia="Courier New" w:hAnsi="Courier New"/>
          <w:sz w:val="18"/>
          <w:szCs w:val="18"/>
          <w:color w:val="auto"/>
        </w:rPr>
        <w:t>*99.1 -</w:t>
      </w:r>
      <w:r>
        <w:rPr>
          <w:sz w:val="20"/>
          <w:szCs w:val="20"/>
          <w:color w:val="auto"/>
        </w:rPr>
        <w:tab/>
      </w:r>
      <w:r>
        <w:rPr>
          <w:rFonts w:ascii="Courier New" w:cs="Courier New" w:eastAsia="Courier New" w:hAnsi="Courier New"/>
          <w:sz w:val="18"/>
          <w:szCs w:val="18"/>
          <w:color w:val="auto"/>
        </w:rPr>
        <w:t>Press Release dated August 31, 1998, announcing the closing of the Merger.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Filed previously.</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691"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SCHLUMBERGER N.V.</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(SCHLUMBERGER LIMITED)</w:t>
      </w:r>
    </w:p>
    <w:p>
      <w:pPr>
        <w:spacing w:after="0" w:line="372" w:lineRule="exact"/>
        <w:rPr>
          <w:sz w:val="20"/>
          <w:szCs w:val="20"/>
          <w:color w:val="auto"/>
        </w:rPr>
      </w:pPr>
    </w:p>
    <w:p>
      <w:pPr>
        <w:spacing w:after="0"/>
        <w:tabs>
          <w:tab w:leader="none" w:pos="840" w:val="left"/>
          <w:tab w:leader="none" w:pos="4000" w:val="left"/>
        </w:tabs>
        <w:rPr>
          <w:sz w:val="20"/>
          <w:szCs w:val="20"/>
          <w:color w:val="auto"/>
        </w:rPr>
      </w:pPr>
      <w:r>
        <w:rPr>
          <w:rFonts w:ascii="Courier New" w:cs="Courier New" w:eastAsia="Courier New" w:hAnsi="Courier New"/>
          <w:sz w:val="18"/>
          <w:szCs w:val="18"/>
          <w:color w:val="auto"/>
        </w:rPr>
        <w:t>Dated:</w:t>
        <w:tab/>
        <w:t>October 23, 1998</w:t>
      </w:r>
      <w:r>
        <w:rPr>
          <w:sz w:val="20"/>
          <w:szCs w:val="20"/>
          <w:color w:val="auto"/>
        </w:rPr>
        <w:tab/>
      </w:r>
      <w:r>
        <w:rPr>
          <w:rFonts w:ascii="Courier New" w:cs="Courier New" w:eastAsia="Courier New" w:hAnsi="Courier New"/>
          <w:sz w:val="16"/>
          <w:szCs w:val="16"/>
          <w:color w:val="auto"/>
        </w:rPr>
        <w:t>/s/ Arthur Lindenauer</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4440"/>
        <w:spacing w:after="0" w:line="238" w:lineRule="auto"/>
        <w:rPr>
          <w:sz w:val="20"/>
          <w:szCs w:val="20"/>
          <w:color w:val="auto"/>
        </w:rPr>
      </w:pPr>
      <w:r>
        <w:rPr>
          <w:rFonts w:ascii="Courier New" w:cs="Courier New" w:eastAsia="Courier New" w:hAnsi="Courier New"/>
          <w:sz w:val="18"/>
          <w:szCs w:val="18"/>
          <w:color w:val="auto"/>
        </w:rPr>
        <w:t>Arthur Lindenauer</w:t>
      </w:r>
    </w:p>
    <w:p>
      <w:pPr>
        <w:ind w:left="4440"/>
        <w:spacing w:after="0"/>
        <w:rPr>
          <w:sz w:val="20"/>
          <w:szCs w:val="20"/>
          <w:color w:val="auto"/>
        </w:rPr>
      </w:pPr>
      <w:r>
        <w:rPr>
          <w:rFonts w:ascii="Courier New" w:cs="Courier New" w:eastAsia="Courier New" w:hAnsi="Courier New"/>
          <w:sz w:val="18"/>
          <w:szCs w:val="18"/>
          <w:color w:val="auto"/>
        </w:rPr>
        <w:t>Executive Vice President and</w:t>
      </w:r>
    </w:p>
    <w:p>
      <w:pPr>
        <w:ind w:left="4440"/>
        <w:spacing w:after="0"/>
        <w:rPr>
          <w:sz w:val="20"/>
          <w:szCs w:val="20"/>
          <w:color w:val="auto"/>
        </w:rPr>
      </w:pPr>
      <w:r>
        <w:rPr>
          <w:rFonts w:ascii="Courier New" w:cs="Courier New" w:eastAsia="Courier New" w:hAnsi="Courier New"/>
          <w:sz w:val="18"/>
          <w:szCs w:val="18"/>
          <w:color w:val="auto"/>
        </w:rPr>
        <w:t>Chief Financial Officer</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691" w:right="1440" w:bottom="1440" w:gutter="0" w:footer="0" w:header="0"/>
        </w:sectPr>
      </w:pPr>
    </w:p>
    <w:bookmarkStart w:id="5" w:name="page6"/>
    <w:bookmarkEnd w:id="5"/>
    <w:p>
      <w:pPr>
        <w:ind w:left="32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Consent of Arthur Andersen LLP.</w:t>
      </w:r>
    </w:p>
    <w:p>
      <w:pPr>
        <w:spacing w:after="0" w:line="222" w:lineRule="exact"/>
        <w:rPr>
          <w:sz w:val="20"/>
          <w:szCs w:val="20"/>
          <w:color w:val="auto"/>
        </w:rPr>
      </w:pPr>
    </w:p>
    <w:p>
      <w:pPr>
        <w:sectPr>
          <w:pgSz w:w="11900" w:h="16838" w:orient="portrait"/>
          <w:cols w:equalWidth="0" w:num="2">
            <w:col w:w="980" w:space="720"/>
            <w:col w:w="8519"/>
          </w:cols>
          <w:pgMar w:left="240" w:top="691" w:right="1440" w:bottom="1440" w:gutter="0" w:footer="0" w:header="0"/>
          <w:type w:val="continuous"/>
        </w:sectPr>
      </w:pPr>
    </w:p>
    <w:p>
      <w:pPr>
        <w:spacing w:after="0" w:line="37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19"/>
          </w:cols>
          <w:pgMar w:left="240" w:top="691" w:right="1440" w:bottom="1440" w:gutter="0" w:footer="0" w:header="0"/>
          <w:type w:val="continuous"/>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Current Report on Form 8-K/A, in Registration Statement No. 333-59961 on Form S-4, as amended by Registration Statement No. 333-62443 on Form S-4 filed pursuant to Rule 462(b) of the Securities Act of 1933, as amended, and in Registration Statement No. 333-62545 on Form S-8 of our report dated February 10, 1998 included in Camco International Inc.'s Form 10-K for the year ended December 31, 1997, and to all references to our Firm included in such documents.</w:t>
      </w:r>
    </w:p>
    <w:p>
      <w:pPr>
        <w:spacing w:after="0" w:line="1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29, 1998</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2019-12-13T06:43:08Z</dcterms:created>
  <dcterms:modified xsi:type="dcterms:W3CDTF">2019-12-13T06:43:08Z</dcterms:modified>
</cp:coreProperties>
</file>