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480"/>
        <w:spacing w:after="0"/>
        <w:tabs>
          <w:tab w:leader="none" w:pos="40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42"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10-Q</w:t>
      </w:r>
    </w:p>
    <w:p>
      <w:pPr>
        <w:spacing w:after="0" w:line="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 w:lineRule="exact"/>
        <w:rPr>
          <w:sz w:val="24"/>
          <w:szCs w:val="24"/>
          <w:color w:val="auto"/>
        </w:rPr>
      </w:pPr>
    </w:p>
    <w:p>
      <w:pPr>
        <w:ind w:left="1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71" w:right="1440" w:bottom="1440" w:gutter="0" w:footer="0" w:header="0"/>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March 31, 2000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1-4601</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360" w:space="720"/>
            <w:col w:w="6139"/>
          </w:cols>
          <w:pgMar w:left="240" w:top="571" w:right="1440" w:bottom="1440" w:gutter="0" w:footer="0" w:header="0"/>
          <w:type w:val="continuous"/>
        </w:sectPr>
      </w:pPr>
    </w:p>
    <w:p>
      <w:pPr>
        <w:spacing w:after="0" w:line="32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SCHLUMBERGER N.V.</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571" w:right="1440" w:bottom="1440" w:gutter="0" w:footer="0" w:header="0"/>
          <w:type w:val="continuous"/>
        </w:sectPr>
      </w:pPr>
    </w:p>
    <w:p>
      <w:pPr>
        <w:spacing w:after="0" w:line="200" w:lineRule="exact"/>
        <w:rPr>
          <w:sz w:val="24"/>
          <w:szCs w:val="24"/>
          <w:color w:val="auto"/>
        </w:rPr>
      </w:pPr>
    </w:p>
    <w:p>
      <w:pPr>
        <w:spacing w:after="0" w:line="32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NETHERLANDS ANTILLES</w:t>
      </w:r>
    </w:p>
    <w:p>
      <w:pPr>
        <w:spacing w:after="0" w:line="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52-0684746</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2">
            <w:col w:w="3360" w:space="720"/>
            <w:col w:w="6139"/>
          </w:cols>
          <w:pgMar w:left="240" w:top="571" w:right="1440" w:bottom="1440" w:gutter="0" w:footer="0" w:header="0"/>
          <w:type w:val="continuous"/>
        </w:sectPr>
      </w:pPr>
    </w:p>
    <w:p>
      <w:pPr>
        <w:spacing w:after="0" w:line="14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277 PARK AVENUE</w:t>
      </w:r>
    </w:p>
    <w:p>
      <w:pPr>
        <w:spacing w:after="0" w:line="3"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NEW YORK, NEW YORK, U.S.A.</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10172</w:t>
      </w:r>
    </w:p>
    <w:p>
      <w:pPr>
        <w:spacing w:after="0" w:line="183" w:lineRule="exact"/>
        <w:rPr>
          <w:sz w:val="24"/>
          <w:szCs w:val="24"/>
          <w:color w:val="auto"/>
        </w:rPr>
      </w:pPr>
    </w:p>
    <w:p>
      <w:pPr>
        <w:sectPr>
          <w:pgSz w:w="11900" w:h="16838" w:orient="portrait"/>
          <w:cols w:equalWidth="0" w:num="2">
            <w:col w:w="3800" w:space="720"/>
            <w:col w:w="5699"/>
          </w:cols>
          <w:pgMar w:left="240" w:top="571"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42 RUE SAINT-DOMINIQUE</w:t>
      </w:r>
    </w:p>
    <w:p>
      <w:pPr>
        <w:spacing w:after="0" w:line="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PARIS, FRANCE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75007</w:t>
      </w:r>
    </w:p>
    <w:p>
      <w:pPr>
        <w:spacing w:after="0" w:line="179" w:lineRule="exact"/>
        <w:rPr>
          <w:sz w:val="24"/>
          <w:szCs w:val="24"/>
          <w:color w:val="auto"/>
        </w:rPr>
      </w:pPr>
    </w:p>
    <w:p>
      <w:pPr>
        <w:sectPr>
          <w:pgSz w:w="11900" w:h="16838" w:orient="portrait"/>
          <w:cols w:equalWidth="0" w:num="2">
            <w:col w:w="3800" w:space="720"/>
            <w:col w:w="5699"/>
          </w:cols>
          <w:pgMar w:left="240" w:top="571"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PARKSTRAAT 83</w:t>
      </w:r>
    </w:p>
    <w:p>
      <w:pPr>
        <w:spacing w:after="0" w:line="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THE HAGUE,</w:t>
      </w:r>
    </w:p>
    <w:p>
      <w:pPr>
        <w:spacing w:after="0" w:line="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THE NETHERLANDS</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(Addresses of principal executive</w:t>
      </w:r>
    </w:p>
    <w:p>
      <w:pPr>
        <w:spacing w:after="0" w:line="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offices)</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jc w:val="center"/>
        <w:ind w:right="4819"/>
        <w:spacing w:after="0"/>
        <w:rPr>
          <w:sz w:val="20"/>
          <w:szCs w:val="20"/>
          <w:color w:val="auto"/>
        </w:rPr>
      </w:pPr>
      <w:r>
        <w:rPr>
          <w:rFonts w:ascii="Courier New" w:cs="Courier New" w:eastAsia="Courier New" w:hAnsi="Courier New"/>
          <w:sz w:val="15"/>
          <w:szCs w:val="15"/>
          <w:color w:val="auto"/>
        </w:rPr>
        <w:t>2514 JG</w:t>
      </w:r>
    </w:p>
    <w:p>
      <w:pPr>
        <w:spacing w:after="0" w:line="3" w:lineRule="exact"/>
        <w:rPr>
          <w:sz w:val="24"/>
          <w:szCs w:val="24"/>
          <w:color w:val="auto"/>
        </w:rPr>
      </w:pPr>
    </w:p>
    <w:p>
      <w:pPr>
        <w:jc w:val="center"/>
        <w:ind w:right="48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jc w:val="center"/>
        <w:ind w:right="4819"/>
        <w:spacing w:after="0"/>
        <w:rPr>
          <w:sz w:val="20"/>
          <w:szCs w:val="20"/>
          <w:color w:val="auto"/>
        </w:rPr>
      </w:pPr>
      <w:r>
        <w:rPr>
          <w:rFonts w:ascii="Courier New" w:cs="Courier New" w:eastAsia="Courier New" w:hAnsi="Courier New"/>
          <w:sz w:val="15"/>
          <w:szCs w:val="15"/>
          <w:color w:val="auto"/>
        </w:rPr>
        <w:t>(Zip Codes)</w:t>
      </w:r>
    </w:p>
    <w:p>
      <w:pPr>
        <w:spacing w:after="0" w:line="370" w:lineRule="exact"/>
        <w:rPr>
          <w:sz w:val="24"/>
          <w:szCs w:val="24"/>
          <w:color w:val="auto"/>
        </w:rPr>
      </w:pPr>
    </w:p>
    <w:p>
      <w:pPr>
        <w:sectPr>
          <w:pgSz w:w="11900" w:h="16838" w:orient="portrait"/>
          <w:cols w:equalWidth="0" w:num="2">
            <w:col w:w="3540" w:space="720"/>
            <w:col w:w="5959"/>
          </w:cols>
          <w:pgMar w:left="240" w:top="571" w:right="1440" w:bottom="1440" w:gutter="0" w:footer="0" w:header="0"/>
          <w:type w:val="continuous"/>
        </w:sectPr>
      </w:pP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174" w:lineRule="exact"/>
        <w:rPr>
          <w:sz w:val="24"/>
          <w:szCs w:val="24"/>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571" w:right="1440" w:bottom="1440" w:gutter="0" w:footer="0" w:header="0"/>
          <w:type w:val="continuous"/>
        </w:sectPr>
      </w:pPr>
    </w:p>
    <w:p>
      <w:pPr>
        <w:spacing w:after="0" w:line="174"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4"/>
          <w:szCs w:val="24"/>
          <w:color w:val="auto"/>
        </w:rPr>
      </w:pPr>
    </w:p>
    <w:p>
      <w:pPr>
        <w:sectPr>
          <w:pgSz w:w="11900" w:h="16838" w:orient="portrait"/>
          <w:cols w:equalWidth="0" w:num="3">
            <w:col w:w="1240" w:space="440"/>
            <w:col w:w="1760" w:space="720"/>
            <w:col w:w="6059"/>
          </w:cols>
          <w:pgMar w:left="240" w:top="571"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3800" w:space="720"/>
            <w:col w:w="5699"/>
          </w:cols>
          <w:pgMar w:left="240" w:top="571" w:right="1440" w:bottom="1440" w:gutter="0" w:footer="0" w:header="0"/>
          <w:type w:val="continuous"/>
        </w:sectPr>
      </w:pPr>
    </w:p>
    <w:p>
      <w:pPr>
        <w:ind w:right="347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571" w:right="1440" w:bottom="1440" w:gutter="0" w:footer="0" w:header="0"/>
          <w:type w:val="continuous"/>
        </w:sectPr>
      </w:pPr>
    </w:p>
    <w:p>
      <w:pPr>
        <w:spacing w:after="0" w:line="175"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Class</w:t>
      </w:r>
    </w:p>
    <w:p>
      <w:pPr>
        <w:spacing w:after="0" w:line="12"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April 30, 2000</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260" w:space="720"/>
            <w:col w:w="6239"/>
          </w:cols>
          <w:pgMar w:left="240" w:top="571" w:right="1440" w:bottom="1440" w:gutter="0" w:footer="0" w:header="0"/>
          <w:type w:val="continuous"/>
        </w:sectPr>
      </w:pPr>
    </w:p>
    <w:p>
      <w:pPr>
        <w:spacing w:after="0" w:line="3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569,059,240</w:t>
      </w:r>
    </w:p>
    <w:p>
      <w:pPr>
        <w:sectPr>
          <w:pgSz w:w="11900" w:h="16838" w:orient="portrait"/>
          <w:cols w:equalWidth="0" w:num="2">
            <w:col w:w="4060" w:space="720"/>
            <w:col w:w="5439"/>
          </w:cols>
          <w:pgMar w:left="240" w:top="57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PART I. FINANCIAL INFORMATION</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SCHLUMBERGER LIMITED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and Subsidiary Companies</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50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CONSOLIDATED STATEMENT OF INCOME</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0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040" w:type="dxa"/>
            <w:vAlign w:val="bottom"/>
            <w:gridSpan w:val="3"/>
          </w:tcPr>
          <w:p>
            <w:pPr>
              <w:jc w:val="right"/>
              <w:ind w:right="986"/>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5840" w:type="dxa"/>
            <w:vAlign w:val="bottom"/>
            <w:gridSpan w:val="5"/>
          </w:tcPr>
          <w:p>
            <w:pPr>
              <w:ind w:left="1580"/>
              <w:spacing w:after="0"/>
              <w:rPr>
                <w:sz w:val="20"/>
                <w:szCs w:val="20"/>
                <w:color w:val="auto"/>
              </w:rPr>
            </w:pPr>
            <w:r>
              <w:rPr>
                <w:rFonts w:ascii="Courier New" w:cs="Courier New" w:eastAsia="Courier New" w:hAnsi="Courier New"/>
                <w:sz w:val="15"/>
                <w:szCs w:val="15"/>
                <w:color w:val="auto"/>
              </w:rPr>
              <w:t>(Stated in thousands except per share amounts)</w:t>
            </w:r>
          </w:p>
        </w:tc>
        <w:tc>
          <w:tcPr>
            <w:tcW w:w="720" w:type="dxa"/>
            <w:vAlign w:val="bottom"/>
          </w:tcPr>
          <w:p>
            <w:pPr>
              <w:spacing w:after="0"/>
              <w:rPr>
                <w:sz w:val="24"/>
                <w:szCs w:val="24"/>
                <w:color w:val="auto"/>
              </w:rPr>
            </w:pPr>
          </w:p>
        </w:tc>
      </w:tr>
      <w:tr>
        <w:trPr>
          <w:trHeight w:val="341"/>
        </w:trPr>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w w:val="98"/>
              </w:rPr>
              <w:t>Three Months Ended March 31,</w:t>
            </w:r>
          </w:p>
        </w:tc>
      </w:tr>
      <w:tr>
        <w:trPr>
          <w:trHeight w:val="171"/>
        </w:trPr>
        <w:tc>
          <w:tcPr>
            <w:tcW w:w="3320" w:type="dxa"/>
            <w:vAlign w:val="bottom"/>
          </w:tcPr>
          <w:p>
            <w:pPr>
              <w:spacing w:after="0"/>
              <w:rPr>
                <w:sz w:val="14"/>
                <w:szCs w:val="14"/>
                <w:color w:val="auto"/>
              </w:rPr>
            </w:pPr>
          </w:p>
        </w:tc>
        <w:tc>
          <w:tcPr>
            <w:tcW w:w="3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2,137,442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2,117,304</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Interest &amp; other income</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76,110</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164,111</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2,213,552</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2,281,415</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Cost of goods sold and services</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1,633,623</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1,775,577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Research &amp; engineering</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131,042</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131,843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103,009</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103,283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104,234</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99,190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63,096</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44,954</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2,035,004</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2,154,847</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before taxes</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178,548</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126,568</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Taxes on income</w:t>
            </w:r>
          </w:p>
        </w:tc>
        <w:tc>
          <w:tcPr>
            <w:tcW w:w="480" w:type="dxa"/>
            <w:vAlign w:val="bottom"/>
          </w:tcPr>
          <w:p>
            <w:pPr>
              <w:spacing w:after="0"/>
              <w:rPr>
                <w:sz w:val="24"/>
                <w:szCs w:val="2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42,390</w:t>
            </w:r>
          </w:p>
        </w:tc>
        <w:tc>
          <w:tcPr>
            <w:tcW w:w="280" w:type="dxa"/>
            <w:vAlign w:val="bottom"/>
          </w:tcPr>
          <w:p>
            <w:pPr>
              <w:spacing w:after="0"/>
              <w:rPr>
                <w:sz w:val="24"/>
                <w:szCs w:val="2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57,525</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Income from continuing operations (1)</w:t>
            </w:r>
          </w:p>
        </w:tc>
        <w:tc>
          <w:tcPr>
            <w:tcW w:w="480" w:type="dxa"/>
            <w:vAlign w:val="bottom"/>
          </w:tcPr>
          <w:p>
            <w:pPr>
              <w:spacing w:after="0"/>
              <w:rPr>
                <w:sz w:val="24"/>
                <w:szCs w:val="2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136,158</w:t>
            </w:r>
          </w:p>
        </w:tc>
        <w:tc>
          <w:tcPr>
            <w:tcW w:w="280" w:type="dxa"/>
            <w:vAlign w:val="bottom"/>
          </w:tcPr>
          <w:p>
            <w:pPr>
              <w:spacing w:after="0"/>
              <w:rPr>
                <w:sz w:val="24"/>
                <w:szCs w:val="2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69,043</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of tax (2)</w:t>
            </w:r>
          </w:p>
        </w:tc>
        <w:tc>
          <w:tcPr>
            <w:tcW w:w="48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20,124</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136,158</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89,167</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0.12</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Discontinued Operations</w:t>
            </w:r>
          </w:p>
        </w:tc>
        <w:tc>
          <w:tcPr>
            <w:tcW w:w="48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0.04</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0.16</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 (1)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0.12</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Discontinued Operations (2)</w:t>
            </w:r>
          </w:p>
        </w:tc>
        <w:tc>
          <w:tcPr>
            <w:tcW w:w="48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0.04</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0.16</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480" w:type="dxa"/>
            <w:vAlign w:val="bottom"/>
          </w:tcPr>
          <w:p>
            <w:pPr>
              <w:spacing w:after="0"/>
              <w:rPr>
                <w:sz w:val="24"/>
                <w:szCs w:val="2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566,886</w:t>
            </w:r>
          </w:p>
        </w:tc>
        <w:tc>
          <w:tcPr>
            <w:tcW w:w="280" w:type="dxa"/>
            <w:vAlign w:val="bottom"/>
          </w:tcPr>
          <w:p>
            <w:pPr>
              <w:spacing w:after="0"/>
              <w:rPr>
                <w:sz w:val="24"/>
                <w:szCs w:val="2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546,377</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assuming dilution</w:t>
            </w:r>
          </w:p>
        </w:tc>
        <w:tc>
          <w:tcPr>
            <w:tcW w:w="4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576,541</w:t>
            </w:r>
          </w:p>
        </w:tc>
        <w:tc>
          <w:tcPr>
            <w:tcW w:w="28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559,914</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included in expenses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254,290</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252,008</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0.1875</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0.1875</w:t>
            </w:r>
          </w:p>
        </w:tc>
      </w:tr>
      <w:tr>
        <w:trPr>
          <w:trHeight w:val="171"/>
        </w:trPr>
        <w:tc>
          <w:tcPr>
            <w:tcW w:w="3320" w:type="dxa"/>
            <w:vAlign w:val="bottom"/>
          </w:tcPr>
          <w:p>
            <w:pPr>
              <w:spacing w:after="0"/>
              <w:rPr>
                <w:sz w:val="14"/>
                <w:szCs w:val="14"/>
                <w:color w:val="auto"/>
              </w:rPr>
            </w:pPr>
          </w:p>
        </w:tc>
        <w:tc>
          <w:tcPr>
            <w:tcW w:w="17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3320" w:type="dxa"/>
            <w:vAlign w:val="bottom"/>
          </w:tcPr>
          <w:p>
            <w:pPr>
              <w:spacing w:after="0"/>
              <w:rPr>
                <w:sz w:val="24"/>
                <w:szCs w:val="24"/>
                <w:color w:val="auto"/>
              </w:rPr>
            </w:pP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 w:name="page3"/>
    <w:bookmarkEnd w:id="2"/>
    <w:p>
      <w:pPr>
        <w:ind w:left="349" w:right="3299" w:hanging="349"/>
        <w:spacing w:after="0" w:line="239"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month 1999 results from Continuing Operations include a pretax charge of $147 million partially offset by a pretax gain of $103 million (net -$58 million after tax, $0.10 per share - diluted), consisting of the following:</w:t>
      </w:r>
    </w:p>
    <w:p>
      <w:pPr>
        <w:spacing w:after="0" w:line="176" w:lineRule="exact"/>
        <w:rPr>
          <w:sz w:val="20"/>
          <w:szCs w:val="20"/>
          <w:color w:val="auto"/>
        </w:rPr>
      </w:pPr>
    </w:p>
    <w:p>
      <w:pPr>
        <w:ind w:left="269" w:right="3119" w:hanging="269"/>
        <w:spacing w:after="0" w:line="239"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$118 million ($118 million after tax) related to the downsizing of its global Oilfield Services activities, including $108 million of severance cost and $10 million for asset impairments.</w:t>
      </w:r>
    </w:p>
    <w:p>
      <w:pPr>
        <w:spacing w:after="0" w:line="175" w:lineRule="exact"/>
        <w:rPr>
          <w:rFonts w:ascii="Courier New" w:cs="Courier New" w:eastAsia="Courier New" w:hAnsi="Courier New"/>
          <w:sz w:val="15"/>
          <w:szCs w:val="15"/>
          <w:color w:val="auto"/>
        </w:rPr>
      </w:pPr>
    </w:p>
    <w:p>
      <w:pPr>
        <w:ind w:left="269" w:right="3299" w:hanging="269"/>
        <w:spacing w:after="0" w:line="239"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$29 million ($20 million after tax) related to RMS and Test &amp; Transactions, consisting principally of $16 million of severance cost at several RMS facilities resulting from a downturn in business and $5 million of asset write-downs.</w:t>
      </w:r>
    </w:p>
    <w:p>
      <w:pPr>
        <w:spacing w:after="0" w:line="176" w:lineRule="exact"/>
        <w:rPr>
          <w:rFonts w:ascii="Courier New" w:cs="Courier New" w:eastAsia="Courier New" w:hAnsi="Courier New"/>
          <w:sz w:val="15"/>
          <w:szCs w:val="15"/>
          <w:color w:val="auto"/>
        </w:rPr>
      </w:pPr>
    </w:p>
    <w:p>
      <w:pPr>
        <w:ind w:left="269" w:right="2959" w:hanging="269"/>
        <w:spacing w:after="0" w:line="238"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credit of $103 million ($80 million after tax) from the gain on the sale of financial instruments received in connection with the 1998 sale of RPS.</w:t>
      </w:r>
    </w:p>
    <w:p>
      <w:pPr>
        <w:spacing w:after="0" w:line="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w:t>
      </w:r>
    </w:p>
    <w:p>
      <w:pPr>
        <w:spacing w:after="0" w:line="4"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pretax charge of $147 million is classified in Cost of goods sold and services.</w:t>
      </w:r>
    </w:p>
    <w:p>
      <w:pPr>
        <w:spacing w:after="0" w:line="175" w:lineRule="exact"/>
        <w:rPr>
          <w:sz w:val="20"/>
          <w:szCs w:val="20"/>
          <w:color w:val="auto"/>
        </w:rPr>
      </w:pPr>
    </w:p>
    <w:p>
      <w:pPr>
        <w:jc w:val="both"/>
        <w:ind w:left="349" w:right="3299" w:hanging="349"/>
        <w:spacing w:after="0" w:line="264" w:lineRule="auto"/>
        <w:tabs>
          <w:tab w:leader="none" w:pos="34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 in 1999 include the operating results of the spun-off Sedco Forex business and an after-tax charge of $33 million ($0.06 per share- diluted) for severance costs ($13 million) and legal claims.</w:t>
      </w:r>
    </w:p>
    <w:p>
      <w:pPr>
        <w:spacing w:after="0" w:line="156"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comparative purposes.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631" w:right="1440" w:bottom="1440" w:gutter="0" w:footer="0" w:header="0"/>
        </w:sectPr>
      </w:pPr>
    </w:p>
    <w:bookmarkStart w:id="3" w:name="page4"/>
    <w:bookmarkEnd w:id="3"/>
    <w:p>
      <w:pPr>
        <w:ind w:left="2660"/>
        <w:spacing w:after="0"/>
        <w:rPr>
          <w:sz w:val="20"/>
          <w:szCs w:val="20"/>
          <w:color w:val="auto"/>
        </w:rPr>
      </w:pPr>
      <w:r>
        <w:rPr>
          <w:rFonts w:ascii="Courier New" w:cs="Courier New" w:eastAsia="Courier New" w:hAnsi="Courier New"/>
          <w:sz w:val="15"/>
          <w:szCs w:val="15"/>
          <w:color w:val="auto"/>
        </w:rPr>
        <w:t>SCHLUMBERGER LIMITED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Subsidiary Companies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ind w:left="3000"/>
              <w:spacing w:after="0"/>
              <w:rPr>
                <w:sz w:val="20"/>
                <w:szCs w:val="20"/>
                <w:color w:val="auto"/>
              </w:rPr>
            </w:pPr>
            <w:r>
              <w:rPr>
                <w:rFonts w:ascii="Courier New" w:cs="Courier New" w:eastAsia="Courier New" w:hAnsi="Courier New"/>
                <w:sz w:val="15"/>
                <w:szCs w:val="15"/>
                <w:color w:val="auto"/>
              </w:rPr>
              <w:t>(Unaudited)</w:t>
            </w:r>
          </w:p>
        </w:tc>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853"/>
        </w:trPr>
        <w:tc>
          <w:tcPr>
            <w:tcW w:w="4420" w:type="dxa"/>
            <w:vAlign w:val="bottom"/>
          </w:tcPr>
          <w:p>
            <w:pPr>
              <w:spacing w:after="0"/>
              <w:rPr>
                <w:sz w:val="24"/>
                <w:szCs w:val="24"/>
                <w:color w:val="auto"/>
              </w:rPr>
            </w:pPr>
          </w:p>
        </w:tc>
        <w:tc>
          <w:tcPr>
            <w:tcW w:w="3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(Dollars in thousands)</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Mar. 31,</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Dec. 31,</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512"/>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$ 4,299,436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$ 4,389,837</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(2000 - $88,542; 1999 - $89,030)</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2,542,726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2,429,842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1,306,558</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1,268,500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289,636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259,257</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273,538</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258,532</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8,711,894</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8,605,968</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733,491</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726,496</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INVESTMENTS IN AFFILIATED COMPANIES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549,833</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535,434</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9,683,266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9,639,274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(6,187,818)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(6,078,534)</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3,495,448</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3,560,740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COMPANIES PURCHASED less amortization</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1,352,945</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1,333,681</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193,818</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209,597</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135,052</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109,276</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420" w:type="dxa"/>
            <w:vAlign w:val="bottom"/>
          </w:tcPr>
          <w:p>
            <w:pPr>
              <w:spacing w:after="0"/>
              <w:rPr>
                <w:sz w:val="24"/>
                <w:szCs w:val="2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$ 15,172,481</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$ 15,081,192</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$ 2,216,185</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$ 2,282,884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Estimated liability for taxes on income</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406,107</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383,159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Bank loans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437,238</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444,221</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Dividend payable</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106,796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106,653</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debt due within one year</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164,260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257,571</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3,330,586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3,474,488</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3,281,077</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3,183,174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458,760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451,466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262,222</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251,036</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7,332,645</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7,360,164</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1,850,160</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1,820,186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retained for use in the business</w:t>
            </w: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7,946,514</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7,916,612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(1,824,636)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(1,878,612)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(132,202)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(137,158)</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20" w:type="dxa"/>
            <w:vAlign w:val="bottom"/>
          </w:tcPr>
          <w:p>
            <w:pPr>
              <w:spacing w:after="0"/>
              <w:rPr>
                <w:sz w:val="14"/>
                <w:szCs w:val="1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7,839,836</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7,721,028</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420" w:type="dxa"/>
            <w:vAlign w:val="bottom"/>
          </w:tcPr>
          <w:p>
            <w:pPr>
              <w:spacing w:after="0"/>
              <w:rPr>
                <w:sz w:val="24"/>
                <w:szCs w:val="24"/>
                <w:color w:val="auto"/>
              </w:rPr>
            </w:pPr>
          </w:p>
        </w:tc>
        <w:tc>
          <w:tcPr>
            <w:tcW w:w="1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$ 15,172,481</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$ 15,081,192</w:t>
            </w:r>
          </w:p>
        </w:tc>
      </w:tr>
      <w:tr>
        <w:trPr>
          <w:trHeight w:val="171"/>
        </w:trPr>
        <w:tc>
          <w:tcPr>
            <w:tcW w:w="4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ind w:left="2660"/>
        <w:spacing w:after="0"/>
        <w:rPr>
          <w:sz w:val="20"/>
          <w:szCs w:val="20"/>
          <w:color w:val="auto"/>
        </w:rPr>
      </w:pPr>
      <w:r>
        <w:rPr>
          <w:rFonts w:ascii="Courier New" w:cs="Courier New" w:eastAsia="Courier New" w:hAnsi="Courier New"/>
          <w:sz w:val="15"/>
          <w:szCs w:val="15"/>
          <w:color w:val="auto"/>
        </w:rPr>
        <w:t>SCHLUMBERGER LIMITED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Subsidiary Companies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(Unaudited)</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(Dollars in thousands)</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spacing w:after="0"/>
              <w:rPr>
                <w:sz w:val="14"/>
                <w:szCs w:val="14"/>
                <w:color w:val="auto"/>
              </w:rPr>
            </w:pPr>
          </w:p>
        </w:tc>
      </w:tr>
      <w:tr>
        <w:trPr>
          <w:trHeight w:val="17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56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 from continuing operations</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$ 136,158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69,043</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 to reconcile net income to cash</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254,290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252,008</w:t>
            </w: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Earnings of companies carried at equity,</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less dividends received (Dividends:</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2000 - $0; 1999 - $455)</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(3,601)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(2,476)</w:t>
            </w: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10,768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10,976</w:t>
            </w: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in receivables</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(145,558)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94,468</w:t>
            </w: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(Increase) in inventories</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(49,811)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(29,533)</w:t>
            </w: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(Increase) decrease in deferred taxes on income</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(30,379)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4,529</w:t>
            </w:r>
          </w:p>
        </w:tc>
      </w:tr>
      <w:tr>
        <w:trPr>
          <w:trHeight w:val="171"/>
        </w:trPr>
        <w:tc>
          <w:tcPr>
            <w:tcW w:w="56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(Decrease) in accounts payable and accrued</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80" w:type="dxa"/>
            <w:vAlign w:val="bottom"/>
          </w:tcPr>
          <w:p>
            <w:pPr>
              <w:ind w:left="780"/>
              <w:spacing w:after="0"/>
              <w:rPr>
                <w:sz w:val="20"/>
                <w:szCs w:val="20"/>
                <w:color w:val="auto"/>
              </w:rPr>
            </w:pPr>
            <w:r>
              <w:rPr>
                <w:rFonts w:ascii="Courier New" w:cs="Courier New" w:eastAsia="Courier New" w:hAnsi="Courier New"/>
                <w:sz w:val="15"/>
                <w:szCs w:val="15"/>
                <w:color w:val="auto"/>
              </w:rPr>
              <w:t>liabilities</w:t>
            </w:r>
          </w:p>
        </w:tc>
        <w:tc>
          <w:tcPr>
            <w:tcW w:w="3200" w:type="dxa"/>
            <w:vAlign w:val="bottom"/>
          </w:tcPr>
          <w:p>
            <w:pPr>
              <w:spacing w:after="0"/>
              <w:rPr>
                <w:sz w:val="14"/>
                <w:szCs w:val="14"/>
                <w:color w:val="auto"/>
              </w:rPr>
            </w:pP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(42,949)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(166,399)</w:t>
            </w:r>
          </w:p>
        </w:tc>
      </w:tr>
      <w:tr>
        <w:trPr>
          <w:trHeight w:val="171"/>
        </w:trPr>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in estimated liability</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80" w:type="dxa"/>
            <w:vAlign w:val="bottom"/>
          </w:tcPr>
          <w:p>
            <w:pPr>
              <w:ind w:left="780"/>
              <w:spacing w:after="0"/>
              <w:rPr>
                <w:sz w:val="20"/>
                <w:szCs w:val="20"/>
                <w:color w:val="auto"/>
              </w:rPr>
            </w:pPr>
            <w:r>
              <w:rPr>
                <w:rFonts w:ascii="Courier New" w:cs="Courier New" w:eastAsia="Courier New" w:hAnsi="Courier New"/>
                <w:sz w:val="15"/>
                <w:szCs w:val="15"/>
                <w:color w:val="auto"/>
                <w:w w:val="98"/>
              </w:rPr>
              <w:t>for taxes on income</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24,584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(9,204)</w:t>
            </w:r>
          </w:p>
        </w:tc>
      </w:tr>
      <w:tr>
        <w:trPr>
          <w:trHeight w:val="171"/>
        </w:trPr>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Charge</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57,568</w:t>
            </w:r>
          </w:p>
        </w:tc>
      </w:tr>
      <w:tr>
        <w:trPr>
          <w:trHeight w:val="171"/>
        </w:trPr>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Other - net</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496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31,097</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153,998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312,077</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Purchase of fixed assets</w:t>
            </w:r>
          </w:p>
        </w:tc>
        <w:tc>
          <w:tcPr>
            <w:tcW w:w="3200" w:type="dxa"/>
            <w:vAlign w:val="bottom"/>
          </w:tcPr>
          <w:p>
            <w:pPr>
              <w:spacing w:after="0"/>
              <w:rPr>
                <w:sz w:val="14"/>
                <w:szCs w:val="14"/>
                <w:color w:val="auto"/>
              </w:rPr>
            </w:pP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(210,612)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(225,109)</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Sales/retirements of fixed assets</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28,794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(12,702)</w:t>
            </w: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Decrease in investments</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94,393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72,596</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Sale of financial instruments</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203,572</w:t>
            </w: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Business acquired</w:t>
            </w:r>
          </w:p>
        </w:tc>
        <w:tc>
          <w:tcPr>
            <w:tcW w:w="3200" w:type="dxa"/>
            <w:vAlign w:val="bottom"/>
          </w:tcPr>
          <w:p>
            <w:pPr>
              <w:spacing w:after="0"/>
              <w:rPr>
                <w:sz w:val="14"/>
                <w:szCs w:val="14"/>
                <w:color w:val="auto"/>
              </w:rPr>
            </w:pP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(27,728)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(Increase) decrease in other assets</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(31,414)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2,831</w:t>
            </w: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w w:val="97"/>
              </w:rPr>
              <w:t>Discontinued operations</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(78,176)</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used in investing activities</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(146,567)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(36,988)</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3200" w:type="dxa"/>
            <w:vAlign w:val="bottom"/>
          </w:tcPr>
          <w:p>
            <w:pPr>
              <w:spacing w:after="0"/>
              <w:rPr>
                <w:sz w:val="14"/>
                <w:szCs w:val="14"/>
                <w:color w:val="auto"/>
              </w:rPr>
            </w:pP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(106,112)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(102,396)</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exercise of stock options</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83,950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21,185</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issuance of long-term debt</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385,461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556,983</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Payments of principal on long-term debt</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(353,374)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(600,077)</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(decrease) in short-term debt</w:t>
            </w:r>
          </w:p>
        </w:tc>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(4,354)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(123,355)</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5,571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(247,660)</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13,002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27,429</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132,589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105,321</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$ 145,591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$ 132,750</w:t>
            </w:r>
          </w:p>
        </w:tc>
      </w:tr>
      <w:tr>
        <w:trPr>
          <w:trHeight w:val="171"/>
        </w:trPr>
        <w:tc>
          <w:tcPr>
            <w:tcW w:w="2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5" w:name="page6"/>
    <w:bookmarkEnd w:id="5"/>
    <w:p>
      <w:pPr>
        <w:ind w:left="2660"/>
        <w:spacing w:after="0"/>
        <w:rPr>
          <w:sz w:val="20"/>
          <w:szCs w:val="20"/>
          <w:color w:val="auto"/>
        </w:rPr>
      </w:pPr>
      <w:r>
        <w:rPr>
          <w:rFonts w:ascii="Courier New" w:cs="Courier New" w:eastAsia="Courier New" w:hAnsi="Courier New"/>
          <w:sz w:val="15"/>
          <w:szCs w:val="15"/>
          <w:color w:val="auto"/>
        </w:rPr>
        <w:t>SCHLUMBERGER LIMITED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Subsidiary Companies</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STOCKHOLDERS' EQUITY</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5"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(Dollars in thousands)</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Common Stock</w:t>
      </w:r>
    </w:p>
    <w:p>
      <w:pPr>
        <w:sectPr>
          <w:pgSz w:w="11900" w:h="16838" w:orient="portrait"/>
          <w:cols w:equalWidth="0" w:num="1">
            <w:col w:w="10219"/>
          </w:cols>
          <w:pgMar w:left="240" w:top="628" w:right="1440" w:bottom="1440" w:gutter="0" w:footer="0" w:header="0"/>
        </w:sectPr>
      </w:pP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000"/>
        <w:spacing w:after="0"/>
        <w:tabs>
          <w:tab w:leader="none" w:pos="406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Retained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Translation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Comprehensive</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5320" w:space="180"/>
            <w:col w:w="1060" w:space="180"/>
            <w:col w:w="1140" w:space="180"/>
            <w:col w:w="2159"/>
          </w:cols>
          <w:pgMar w:left="240" w:top="62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$1,820,186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(1,878,612)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$7,916,612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(137,158)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7">
            <w:col w:w="2200" w:space="720"/>
            <w:col w:w="880" w:space="360"/>
            <w:col w:w="1160" w:space="260"/>
            <w:col w:w="880" w:space="460"/>
            <w:col w:w="960" w:space="180"/>
            <w:col w:w="100" w:space="520"/>
            <w:col w:w="1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136,158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136,158</w:t>
      </w:r>
    </w:p>
    <w:p>
      <w:pPr>
        <w:spacing w:after="0" w:line="183" w:lineRule="exact"/>
        <w:rPr>
          <w:sz w:val="20"/>
          <w:szCs w:val="20"/>
          <w:color w:val="auto"/>
        </w:rPr>
      </w:pPr>
    </w:p>
    <w:p>
      <w:pPr>
        <w:sectPr>
          <w:pgSz w:w="11900" w:h="16838" w:orient="portrait"/>
          <w:cols w:equalWidth="0" w:num="3">
            <w:col w:w="5120" w:space="720"/>
            <w:col w:w="2040" w:space="720"/>
            <w:col w:w="161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4,956</w:t>
      </w:r>
    </w:p>
    <w:p>
      <w:pPr>
        <w:spacing w:after="0" w:line="20" w:lineRule="exact"/>
        <w:rPr>
          <w:sz w:val="20"/>
          <w:szCs w:val="20"/>
          <w:color w:val="auto"/>
        </w:rPr>
      </w:pPr>
      <w:r>
        <w:rPr>
          <w:sz w:val="20"/>
          <w:szCs w:val="20"/>
          <w:color w:val="auto"/>
        </w:rPr>
        <w:br w:type="column"/>
      </w:r>
    </w:p>
    <w:p>
      <w:pPr>
        <w:jc w:val="center"/>
        <w:ind w:right="999"/>
        <w:spacing w:after="0"/>
        <w:rPr>
          <w:sz w:val="20"/>
          <w:szCs w:val="20"/>
          <w:color w:val="auto"/>
        </w:rPr>
      </w:pPr>
      <w:r>
        <w:rPr>
          <w:rFonts w:ascii="Courier New" w:cs="Courier New" w:eastAsia="Courier New" w:hAnsi="Courier New"/>
          <w:sz w:val="14"/>
          <w:szCs w:val="14"/>
          <w:color w:val="auto"/>
        </w:rPr>
        <w:t>4,956</w:t>
      </w:r>
    </w:p>
    <w:p>
      <w:pPr>
        <w:spacing w:after="0" w:line="183" w:lineRule="exact"/>
        <w:rPr>
          <w:sz w:val="20"/>
          <w:szCs w:val="20"/>
          <w:color w:val="auto"/>
        </w:rPr>
      </w:pPr>
    </w:p>
    <w:p>
      <w:pPr>
        <w:sectPr>
          <w:pgSz w:w="11900" w:h="16838" w:orient="portrait"/>
          <w:cols w:equalWidth="0" w:num="3">
            <w:col w:w="6640" w:space="720"/>
            <w:col w:w="700" w:space="720"/>
            <w:col w:w="14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(106,256)</w:t>
      </w:r>
    </w:p>
    <w:p>
      <w:pPr>
        <w:spacing w:after="0" w:line="183" w:lineRule="exact"/>
        <w:rPr>
          <w:sz w:val="20"/>
          <w:szCs w:val="20"/>
          <w:color w:val="auto"/>
        </w:rPr>
      </w:pPr>
    </w:p>
    <w:p>
      <w:pPr>
        <w:sectPr>
          <w:pgSz w:w="11900" w:h="16838" w:orient="portrait"/>
          <w:cols w:equalWidth="0" w:num="2">
            <w:col w:w="5040" w:space="720"/>
            <w:col w:w="44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29,974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53,976</w:t>
      </w:r>
    </w:p>
    <w:p>
      <w:pPr>
        <w:spacing w:after="0" w:line="183" w:lineRule="exact"/>
        <w:rPr>
          <w:sz w:val="20"/>
          <w:szCs w:val="20"/>
          <w:color w:val="auto"/>
        </w:rPr>
      </w:pPr>
    </w:p>
    <w:p>
      <w:pPr>
        <w:sectPr>
          <w:pgSz w:w="11900" w:h="16838" w:orient="portrait"/>
          <w:cols w:equalWidth="0" w:num="3">
            <w:col w:w="2560" w:space="720"/>
            <w:col w:w="700" w:space="720"/>
            <w:col w:w="5519"/>
          </w:cols>
          <w:pgMar w:left="240" w:top="628"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March 31, 2000</w:t>
      </w:r>
    </w:p>
    <w:p>
      <w:pPr>
        <w:spacing w:after="0" w:line="20" w:lineRule="exact"/>
        <w:rPr>
          <w:sz w:val="20"/>
          <w:szCs w:val="20"/>
          <w:color w:val="auto"/>
        </w:rPr>
      </w:pPr>
      <w:r>
        <w:rPr>
          <w:sz w:val="20"/>
          <w:szCs w:val="20"/>
          <w:color w:val="auto"/>
        </w:rPr>
        <w:br w:type="column"/>
      </w:r>
    </w:p>
    <w:p>
      <w:pPr>
        <w:jc w:val="right"/>
        <w:spacing w:after="0" w:line="264" w:lineRule="auto"/>
        <w:rPr>
          <w:sz w:val="20"/>
          <w:szCs w:val="20"/>
          <w:color w:val="auto"/>
        </w:rPr>
      </w:pPr>
      <w:r>
        <w:rPr>
          <w:rFonts w:ascii="Courier New" w:cs="Courier New" w:eastAsia="Courier New" w:hAnsi="Courier New"/>
          <w:sz w:val="14"/>
          <w:szCs w:val="14"/>
          <w:color w:val="auto"/>
        </w:rPr>
        <w:t>------------ --------------- $1,850,160    $ (1,824,636) ============ ===============</w:t>
      </w:r>
    </w:p>
    <w:p>
      <w:pPr>
        <w:spacing w:after="0" w:line="20" w:lineRule="exact"/>
        <w:rPr>
          <w:sz w:val="20"/>
          <w:szCs w:val="20"/>
          <w:color w:val="auto"/>
        </w:rPr>
      </w:pPr>
      <w:r>
        <w:rPr>
          <w:sz w:val="20"/>
          <w:szCs w:val="20"/>
          <w:color w:val="auto"/>
        </w:rPr>
        <w:br w:type="column"/>
      </w:r>
    </w:p>
    <w:p>
      <w:pPr>
        <w:jc w:val="center"/>
        <w:spacing w:after="0" w:line="264" w:lineRule="auto"/>
        <w:rPr>
          <w:sz w:val="20"/>
          <w:szCs w:val="20"/>
          <w:color w:val="auto"/>
        </w:rPr>
      </w:pPr>
      <w:r>
        <w:rPr>
          <w:rFonts w:ascii="Courier New" w:cs="Courier New" w:eastAsia="Courier New" w:hAnsi="Courier New"/>
          <w:sz w:val="14"/>
          <w:szCs w:val="14"/>
          <w:color w:val="auto"/>
        </w:rPr>
        <w:t>------------ $7,946,514 ============</w:t>
      </w:r>
    </w:p>
    <w:p>
      <w:pPr>
        <w:spacing w:after="0" w:line="20" w:lineRule="exact"/>
        <w:rPr>
          <w:sz w:val="20"/>
          <w:szCs w:val="20"/>
          <w:color w:val="auto"/>
        </w:rPr>
      </w:pPr>
      <w:r>
        <w:rPr>
          <w:sz w:val="20"/>
          <w:szCs w:val="20"/>
          <w:color w:val="auto"/>
        </w:rPr>
        <w:br w:type="column"/>
      </w:r>
    </w:p>
    <w:p>
      <w:pPr>
        <w:jc w:val="right"/>
        <w:spacing w:after="0" w:line="264" w:lineRule="auto"/>
        <w:rPr>
          <w:sz w:val="20"/>
          <w:szCs w:val="20"/>
          <w:color w:val="auto"/>
        </w:rPr>
      </w:pPr>
      <w:r>
        <w:rPr>
          <w:rFonts w:ascii="Courier New" w:cs="Courier New" w:eastAsia="Courier New" w:hAnsi="Courier New"/>
          <w:sz w:val="14"/>
          <w:szCs w:val="14"/>
          <w:color w:val="auto"/>
        </w:rPr>
        <w:t>------------- $ (132,202) =============</w:t>
      </w:r>
    </w:p>
    <w:p>
      <w:pPr>
        <w:spacing w:after="0" w:line="20" w:lineRule="exact"/>
        <w:rPr>
          <w:sz w:val="20"/>
          <w:szCs w:val="20"/>
          <w:color w:val="auto"/>
        </w:rPr>
      </w:pPr>
      <w:r>
        <w:rPr>
          <w:sz w:val="20"/>
          <w:szCs w:val="20"/>
          <w:color w:val="auto"/>
        </w:rPr>
        <w:br w:type="column"/>
      </w:r>
    </w:p>
    <w:p>
      <w:pPr>
        <w:ind w:right="919"/>
        <w:spacing w:after="0" w:line="264" w:lineRule="auto"/>
        <w:rPr>
          <w:sz w:val="20"/>
          <w:szCs w:val="20"/>
          <w:color w:val="auto"/>
        </w:rPr>
      </w:pPr>
      <w:r>
        <w:rPr>
          <w:rFonts w:ascii="Courier New" w:cs="Courier New" w:eastAsia="Courier New" w:hAnsi="Courier New"/>
          <w:sz w:val="14"/>
          <w:szCs w:val="14"/>
          <w:color w:val="auto"/>
        </w:rPr>
        <w:t>-------------- $ 141,114 ==============</w:t>
      </w:r>
    </w:p>
    <w:p>
      <w:pPr>
        <w:spacing w:after="0" w:line="200" w:lineRule="exact"/>
        <w:rPr>
          <w:sz w:val="20"/>
          <w:szCs w:val="20"/>
          <w:color w:val="auto"/>
        </w:rPr>
      </w:pPr>
    </w:p>
    <w:p>
      <w:pPr>
        <w:sectPr>
          <w:pgSz w:w="11900" w:h="16838" w:orient="portrait"/>
          <w:cols w:equalWidth="0" w:num="5">
            <w:col w:w="2120" w:space="720"/>
            <w:col w:w="2480" w:space="180"/>
            <w:col w:w="1060" w:space="180"/>
            <w:col w:w="1140" w:space="180"/>
            <w:col w:w="2159"/>
          </w:cols>
          <w:pgMar w:left="240" w:top="628" w:right="1440" w:bottom="1440" w:gutter="0" w:footer="0" w:header="0"/>
          <w:type w:val="continuous"/>
        </w:sectPr>
      </w:pPr>
    </w:p>
    <w:p>
      <w:pPr>
        <w:spacing w:after="0" w:line="3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type w:val="continuous"/>
        </w:sectPr>
      </w:pPr>
    </w:p>
    <w:bookmarkStart w:id="6" w:name="page7"/>
    <w:bookmarkEnd w:id="6"/>
    <w:p>
      <w:pPr>
        <w:ind w:left="2660"/>
        <w:spacing w:after="0"/>
        <w:rPr>
          <w:sz w:val="20"/>
          <w:szCs w:val="20"/>
          <w:color w:val="auto"/>
        </w:rPr>
      </w:pPr>
      <w:r>
        <w:rPr>
          <w:rFonts w:ascii="Courier New" w:cs="Courier New" w:eastAsia="Courier New" w:hAnsi="Courier New"/>
          <w:sz w:val="15"/>
          <w:szCs w:val="15"/>
          <w:color w:val="auto"/>
        </w:rPr>
        <w:t>SCHLUMBERGER LIMITED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and Subsidiary Companies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1999 Annual Report. These policies have been consistently applied during the interim period presented in this report. The results of operations for the three month period ended March 31, 2000 are not necessarily indicative of the results of operations that may be expected for the entire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 following is a reconciliation from basic earnings per share to diluted earnings per share for the first quarter of 2000:</w:t>
      </w:r>
    </w:p>
    <w:p>
      <w:pPr>
        <w:spacing w:after="0" w:line="17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(Stated in thousands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2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5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Net</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Earnings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Income</w:t>
            </w:r>
          </w:p>
        </w:tc>
        <w:tc>
          <w:tcPr>
            <w:tcW w:w="15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Outstanding</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 Share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$136,158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566,886</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dilution:</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spacing w:after="0"/>
              <w:rPr>
                <w:sz w:val="14"/>
                <w:szCs w:val="14"/>
                <w:color w:val="auto"/>
              </w:rPr>
            </w:pP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9,655</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$136,158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576,541</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1940" w:type="dxa"/>
            <w:vAlign w:val="bottom"/>
          </w:tcPr>
          <w:p>
            <w:pPr>
              <w:spacing w:after="0"/>
              <w:rPr>
                <w:sz w:val="14"/>
                <w:szCs w:val="14"/>
                <w:color w:val="auto"/>
              </w:rPr>
            </w:pP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FOURTH QUARTER CHARGE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December 1999, Schlumberger recorded a pretax charge of $77 million related to the asset impairments ($56 million) and severance costs ($13 million - 300 people) for reductions in the marine seismic fleet and restructuring of its land drilling activity.</w:t>
      </w:r>
    </w:p>
    <w:p>
      <w:pPr>
        <w:spacing w:after="0" w:line="176"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At March 31, 2000, $8 million of the severance costs (200 people) and substantially all charges related to the asset impairments had been incurred.</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DISCONTINUED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Discontinued operations, in 1999, reflect the net operating results after taxes of Schlumberger's offshore contract drilling business, Sedco Forex, which was spun-off in December 1999.</w:t>
      </w:r>
    </w:p>
    <w:p>
      <w:pPr>
        <w:spacing w:after="0" w:line="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Summarized financial information for the discontinued operations for the three months ended March 31, 1999 is as follows: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71"/>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before taxes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71"/>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after taxes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Investments in affiliated companies include Schlumberger's 40% investment of $417 million in the MI Drilling Fluids joint venture.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8" w:name="page9"/>
    <w:bookmarkEnd w:id="8"/>
    <w:p>
      <w:pPr>
        <w:ind w:left="9"/>
        <w:spacing w:after="0"/>
        <w:rPr>
          <w:sz w:val="20"/>
          <w:szCs w:val="20"/>
          <w:color w:val="auto"/>
        </w:rPr>
      </w:pPr>
      <w:r>
        <w:rPr>
          <w:rFonts w:ascii="Courier New" w:cs="Courier New" w:eastAsia="Courier New" w:hAnsi="Courier New"/>
          <w:sz w:val="15"/>
          <w:szCs w:val="15"/>
          <w:color w:val="auto"/>
        </w:rPr>
        <w:t>SEGMENT INFORMATION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(Stated in millions)</w:t>
            </w:r>
          </w:p>
        </w:tc>
      </w:tr>
      <w:tr>
        <w:trPr>
          <w:trHeight w:val="171"/>
        </w:trPr>
        <w:tc>
          <w:tcPr>
            <w:tcW w:w="21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North</w:t>
            </w: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Latin</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Europe</w:t>
            </w:r>
          </w:p>
        </w:tc>
        <w:tc>
          <w:tcPr>
            <w:tcW w:w="9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Other</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Elims/</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Elims/</w:t>
            </w:r>
          </w:p>
        </w:tc>
        <w:tc>
          <w:tcPr>
            <w:tcW w:w="14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First Quarter 2000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America</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America</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CIS/W. Afr.</w:t>
            </w:r>
          </w:p>
        </w:tc>
        <w:tc>
          <w:tcPr>
            <w:tcW w:w="9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Eastern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OFS</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RMS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T&amp;T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$511</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$249</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$338</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$380</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$1,528</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$324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$2,137</w:t>
            </w:r>
          </w:p>
        </w:tc>
      </w:tr>
      <w:tr>
        <w:trPr>
          <w:trHeight w:val="171"/>
        </w:trPr>
        <w:tc>
          <w:tcPr>
            <w:tcW w:w="2120" w:type="dxa"/>
            <w:vAlign w:val="bottom"/>
          </w:tcPr>
          <w:p>
            <w:pPr>
              <w:spacing w:after="0"/>
              <w:rPr>
                <w:sz w:val="14"/>
                <w:szCs w:val="14"/>
                <w:color w:val="auto"/>
              </w:rPr>
            </w:pPr>
          </w:p>
        </w:tc>
        <w:tc>
          <w:tcPr>
            <w:tcW w:w="9400" w:type="dxa"/>
            <w:vAlign w:val="bottom"/>
            <w:gridSpan w:val="10"/>
          </w:tcPr>
          <w:p>
            <w:pPr>
              <w:jc w:val="right"/>
              <w:ind w:righ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$116</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$128</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42</w:t>
            </w:r>
          </w:p>
        </w:tc>
      </w:tr>
      <w:tr>
        <w:trPr>
          <w:trHeight w:val="171"/>
        </w:trPr>
        <w:tc>
          <w:tcPr>
            <w:tcW w:w="2120" w:type="dxa"/>
            <w:vAlign w:val="bottom"/>
          </w:tcPr>
          <w:p>
            <w:pPr>
              <w:spacing w:after="0"/>
              <w:rPr>
                <w:sz w:val="14"/>
                <w:szCs w:val="14"/>
                <w:color w:val="auto"/>
              </w:rPr>
            </w:pPr>
          </w:p>
        </w:tc>
        <w:tc>
          <w:tcPr>
            <w:tcW w:w="9400" w:type="dxa"/>
            <w:vAlign w:val="bottom"/>
            <w:gridSpan w:val="10"/>
          </w:tcPr>
          <w:p>
            <w:pPr>
              <w:jc w:val="right"/>
              <w:ind w:righ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Pretax Segment Income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$64</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$172</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$170</w:t>
            </w:r>
          </w:p>
        </w:tc>
      </w:tr>
      <w:tr>
        <w:trPr>
          <w:trHeight w:val="171"/>
        </w:trPr>
        <w:tc>
          <w:tcPr>
            <w:tcW w:w="2120" w:type="dxa"/>
            <w:vAlign w:val="bottom"/>
          </w:tcPr>
          <w:p>
            <w:pPr>
              <w:spacing w:after="0"/>
              <w:rPr>
                <w:sz w:val="14"/>
                <w:szCs w:val="14"/>
                <w:color w:val="auto"/>
              </w:rPr>
            </w:pPr>
          </w:p>
        </w:tc>
        <w:tc>
          <w:tcPr>
            <w:tcW w:w="7980" w:type="dxa"/>
            <w:vAlign w:val="bottom"/>
            <w:gridSpan w:val="9"/>
          </w:tcPr>
          <w:p>
            <w:pPr>
              <w:jc w:val="right"/>
              <w:ind w:right="8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71</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2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(62)</w:t>
            </w:r>
          </w:p>
        </w:tc>
      </w:tr>
      <w:tr>
        <w:trPr>
          <w:trHeight w:val="171"/>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$179</w:t>
            </w:r>
          </w:p>
        </w:tc>
      </w:tr>
      <w:tr>
        <w:trPr>
          <w:trHeight w:val="171"/>
        </w:trPr>
        <w:tc>
          <w:tcPr>
            <w:tcW w:w="2120" w:type="dxa"/>
            <w:vAlign w:val="bottom"/>
          </w:tcPr>
          <w:p>
            <w:pPr>
              <w:spacing w:after="0"/>
              <w:rPr>
                <w:sz w:val="14"/>
                <w:szCs w:val="14"/>
                <w:color w:val="auto"/>
              </w:rPr>
            </w:pPr>
          </w:p>
        </w:tc>
        <w:tc>
          <w:tcPr>
            <w:tcW w:w="9400" w:type="dxa"/>
            <w:vAlign w:val="bottom"/>
            <w:gridSpan w:val="10"/>
          </w:tcPr>
          <w:p>
            <w:pPr>
              <w:jc w:val="right"/>
              <w:ind w:right="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12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North</w:t>
            </w: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Latin</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Europe</w:t>
            </w:r>
          </w:p>
        </w:tc>
        <w:tc>
          <w:tcPr>
            <w:tcW w:w="9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Other</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Elims/</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Elims/</w:t>
            </w:r>
          </w:p>
        </w:tc>
        <w:tc>
          <w:tcPr>
            <w:tcW w:w="1420" w:type="dxa"/>
            <w:vAlign w:val="bottom"/>
          </w:tcPr>
          <w:p>
            <w:pPr>
              <w:spacing w:after="0"/>
              <w:rPr>
                <w:sz w:val="24"/>
                <w:szCs w:val="2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First Quarter 1999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America</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America</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CIS/W. Afr.</w:t>
            </w:r>
          </w:p>
        </w:tc>
        <w:tc>
          <w:tcPr>
            <w:tcW w:w="9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Eastern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OFS</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RMS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T&amp;T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$388</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$214</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$432</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$430</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$39</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$1,503</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$345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$2,117</w:t>
            </w:r>
          </w:p>
        </w:tc>
      </w:tr>
      <w:tr>
        <w:trPr>
          <w:trHeight w:val="171"/>
        </w:trPr>
        <w:tc>
          <w:tcPr>
            <w:tcW w:w="2120" w:type="dxa"/>
            <w:vAlign w:val="bottom"/>
          </w:tcPr>
          <w:p>
            <w:pPr>
              <w:spacing w:after="0"/>
              <w:rPr>
                <w:sz w:val="14"/>
                <w:szCs w:val="14"/>
                <w:color w:val="auto"/>
              </w:rPr>
            </w:pPr>
          </w:p>
        </w:tc>
        <w:tc>
          <w:tcPr>
            <w:tcW w:w="9400" w:type="dxa"/>
            <w:vAlign w:val="bottom"/>
            <w:gridSpan w:val="10"/>
          </w:tcPr>
          <w:p>
            <w:pPr>
              <w:jc w:val="right"/>
              <w:ind w:righ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$70</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$114</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43</w:t>
            </w:r>
          </w:p>
        </w:tc>
      </w:tr>
      <w:tr>
        <w:trPr>
          <w:trHeight w:val="171"/>
        </w:trPr>
        <w:tc>
          <w:tcPr>
            <w:tcW w:w="2120" w:type="dxa"/>
            <w:vAlign w:val="bottom"/>
          </w:tcPr>
          <w:p>
            <w:pPr>
              <w:spacing w:after="0"/>
              <w:rPr>
                <w:sz w:val="14"/>
                <w:szCs w:val="14"/>
                <w:color w:val="auto"/>
              </w:rPr>
            </w:pPr>
          </w:p>
        </w:tc>
        <w:tc>
          <w:tcPr>
            <w:tcW w:w="9400" w:type="dxa"/>
            <w:vAlign w:val="bottom"/>
            <w:gridSpan w:val="10"/>
          </w:tcPr>
          <w:p>
            <w:pPr>
              <w:jc w:val="right"/>
              <w:ind w:righ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Pretax Segment Income</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$88</w:t>
            </w: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w:t>
            </w: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$157</w:t>
            </w:r>
          </w:p>
        </w:tc>
      </w:tr>
      <w:tr>
        <w:trPr>
          <w:trHeight w:val="171"/>
        </w:trPr>
        <w:tc>
          <w:tcPr>
            <w:tcW w:w="2120" w:type="dxa"/>
            <w:vAlign w:val="bottom"/>
          </w:tcPr>
          <w:p>
            <w:pPr>
              <w:spacing w:after="0"/>
              <w:rPr>
                <w:sz w:val="14"/>
                <w:szCs w:val="14"/>
                <w:color w:val="auto"/>
              </w:rPr>
            </w:pPr>
          </w:p>
        </w:tc>
        <w:tc>
          <w:tcPr>
            <w:tcW w:w="7980" w:type="dxa"/>
            <w:vAlign w:val="bottom"/>
            <w:gridSpan w:val="9"/>
          </w:tcPr>
          <w:p>
            <w:pPr>
              <w:jc w:val="right"/>
              <w:ind w:right="8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55</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2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(42)</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Sale of Financial Inst.</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Charge &amp; Other</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2120" w:type="dxa"/>
            <w:vAlign w:val="bottom"/>
          </w:tcPr>
          <w:p>
            <w:pPr>
              <w:spacing w:after="0"/>
              <w:rPr>
                <w:sz w:val="14"/>
                <w:szCs w:val="14"/>
                <w:color w:val="auto"/>
              </w:rPr>
            </w:pPr>
          </w:p>
        </w:tc>
        <w:tc>
          <w:tcPr>
            <w:tcW w:w="9400" w:type="dxa"/>
            <w:vAlign w:val="bottom"/>
            <w:gridSpan w:val="10"/>
          </w:tcPr>
          <w:p>
            <w:pPr>
              <w:jc w:val="right"/>
              <w:ind w:right="86"/>
              <w:spacing w:after="0"/>
              <w:rPr>
                <w:sz w:val="20"/>
                <w:szCs w:val="20"/>
                <w:color w:val="auto"/>
              </w:rPr>
            </w:pPr>
            <w:r>
              <w:rPr>
                <w:rFonts w:ascii="Courier New" w:cs="Courier New" w:eastAsia="Courier New" w:hAnsi="Courier New"/>
                <w:sz w:val="15"/>
                <w:szCs w:val="15"/>
                <w:color w:val="auto"/>
                <w:w w:val="99"/>
              </w:rPr>
              <w:t>-------------------------------------------------------------------------------------------------------</w:t>
            </w:r>
          </w:p>
        </w:tc>
      </w:tr>
    </w:tbl>
    <w:p>
      <w:pPr>
        <w:spacing w:after="0" w:line="345" w:lineRule="exact"/>
        <w:rPr>
          <w:sz w:val="20"/>
          <w:szCs w:val="20"/>
          <w:color w:val="auto"/>
        </w:rPr>
      </w:pPr>
    </w:p>
    <w:p>
      <w:pPr>
        <w:ind w:left="9" w:right="4960" w:hanging="9"/>
        <w:spacing w:after="0" w:line="238" w:lineRule="auto"/>
        <w:tabs>
          <w:tab w:leader="none" w:pos="3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excludes a net charge of $14 million related to the charge.</w:t>
      </w:r>
    </w:p>
    <w:p>
      <w:pPr>
        <w:spacing w:after="0" w:line="175" w:lineRule="exact"/>
        <w:rPr>
          <w:sz w:val="20"/>
          <w:szCs w:val="20"/>
          <w:color w:val="auto"/>
        </w:rPr>
      </w:pPr>
    </w:p>
    <w:p>
      <w:pPr>
        <w:ind w:left="9" w:right="4420"/>
        <w:spacing w:after="0" w:line="238" w:lineRule="auto"/>
        <w:rPr>
          <w:sz w:val="20"/>
          <w:szCs w:val="20"/>
          <w:color w:val="auto"/>
        </w:rPr>
      </w:pPr>
      <w:r>
        <w:rPr>
          <w:rFonts w:ascii="Courier New" w:cs="Courier New" w:eastAsia="Courier New" w:hAnsi="Courier New"/>
          <w:sz w:val="15"/>
          <w:szCs w:val="15"/>
          <w:color w:val="auto"/>
        </w:rPr>
        <w:t>Nonoperating expenses, such as certain intersegment charges and interest expense (except as shown above), are not included in segment operating income.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9"/>
          </w:cols>
          <w:pgMar w:left="231" w:top="628" w:right="139" w:bottom="1440" w:gutter="0" w:footer="0" w:header="0"/>
        </w:sectPr>
      </w:pPr>
    </w:p>
    <w:bookmarkStart w:id="9" w:name="page10"/>
    <w:bookmarkEnd w:id="9"/>
    <w:p>
      <w:pPr>
        <w:ind w:left="9"/>
        <w:spacing w:after="0"/>
        <w:rPr>
          <w:sz w:val="20"/>
          <w:szCs w:val="20"/>
          <w:color w:val="auto"/>
        </w:rPr>
      </w:pPr>
      <w:r>
        <w:rPr>
          <w:rFonts w:ascii="Courier New" w:cs="Courier New" w:eastAsia="Courier New" w:hAnsi="Courier New"/>
          <w:sz w:val="15"/>
          <w:szCs w:val="15"/>
          <w:color w:val="auto"/>
        </w:rPr>
        <w:t>BUSINESS REVIEW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7989"/>
        <w:spacing w:after="0"/>
        <w:rPr>
          <w:sz w:val="20"/>
          <w:szCs w:val="20"/>
          <w:color w:val="auto"/>
        </w:rPr>
      </w:pPr>
      <w:r>
        <w:rPr>
          <w:rFonts w:ascii="Courier New" w:cs="Courier New" w:eastAsia="Courier New" w:hAnsi="Courier New"/>
          <w:sz w:val="15"/>
          <w:szCs w:val="15"/>
          <w:color w:val="auto"/>
        </w:rPr>
        <w:t>(Stated in millions)</w:t>
      </w:r>
    </w:p>
    <w:p>
      <w:pPr>
        <w:spacing w:after="0" w:line="1" w:lineRule="exact"/>
        <w:rPr>
          <w:sz w:val="20"/>
          <w:szCs w:val="20"/>
          <w:color w:val="auto"/>
        </w:rPr>
      </w:pPr>
    </w:p>
    <w:p>
      <w:pPr>
        <w:ind w:left="5689"/>
        <w:spacing w:after="0"/>
        <w:rPr>
          <w:sz w:val="20"/>
          <w:szCs w:val="20"/>
          <w:color w:val="auto"/>
        </w:rPr>
      </w:pPr>
      <w:r>
        <w:rPr>
          <w:rFonts w:ascii="Courier New" w:cs="Courier New" w:eastAsia="Courier New" w:hAnsi="Courier New"/>
          <w:sz w:val="15"/>
          <w:szCs w:val="15"/>
          <w:color w:val="auto"/>
        </w:rPr>
        <w:t>Resource</w:t>
      </w:r>
    </w:p>
    <w:p>
      <w:pPr>
        <w:spacing w:after="0" w:line="1" w:lineRule="exact"/>
        <w:rPr>
          <w:sz w:val="20"/>
          <w:szCs w:val="20"/>
          <w:color w:val="auto"/>
        </w:rPr>
      </w:pPr>
    </w:p>
    <w:p>
      <w:pPr>
        <w:ind w:left="2929"/>
        <w:spacing w:after="0"/>
        <w:tabs>
          <w:tab w:leader="none" w:pos="5569" w:val="left"/>
          <w:tab w:leader="none" w:pos="8589" w:val="left"/>
        </w:tabs>
        <w:rPr>
          <w:sz w:val="20"/>
          <w:szCs w:val="20"/>
          <w:color w:val="auto"/>
        </w:rPr>
      </w:pPr>
      <w:r>
        <w:rPr>
          <w:rFonts w:ascii="Courier New" w:cs="Courier New" w:eastAsia="Courier New" w:hAnsi="Courier New"/>
          <w:sz w:val="15"/>
          <w:szCs w:val="15"/>
          <w:color w:val="auto"/>
        </w:rPr>
        <w:t>Oilfield</w:t>
      </w:r>
      <w:r>
        <w:rPr>
          <w:sz w:val="20"/>
          <w:szCs w:val="20"/>
          <w:color w:val="auto"/>
        </w:rPr>
        <w:tab/>
      </w: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4"/>
          <w:szCs w:val="14"/>
          <w:color w:val="auto"/>
        </w:rPr>
        <w:t>Test &amp;</w:t>
      </w:r>
    </w:p>
    <w:p>
      <w:pPr>
        <w:spacing w:after="0" w:line="1" w:lineRule="exact"/>
        <w:rPr>
          <w:sz w:val="20"/>
          <w:szCs w:val="20"/>
          <w:color w:val="auto"/>
        </w:rPr>
      </w:pPr>
    </w:p>
    <w:p>
      <w:pPr>
        <w:ind w:left="2929"/>
        <w:spacing w:after="0"/>
        <w:tabs>
          <w:tab w:leader="none" w:pos="5669" w:val="left"/>
          <w:tab w:leader="none" w:pos="8329" w:val="left"/>
        </w:tabs>
        <w:rPr>
          <w:sz w:val="20"/>
          <w:szCs w:val="20"/>
          <w:color w:val="auto"/>
        </w:rPr>
      </w:pPr>
      <w:r>
        <w:rPr>
          <w:rFonts w:ascii="Courier New" w:cs="Courier New" w:eastAsia="Courier New" w:hAnsi="Courier New"/>
          <w:sz w:val="15"/>
          <w:szCs w:val="15"/>
          <w:color w:val="auto"/>
        </w:rPr>
        <w:t>Services</w:t>
      </w:r>
      <w:r>
        <w:rPr>
          <w:sz w:val="20"/>
          <w:szCs w:val="20"/>
          <w:color w:val="auto"/>
        </w:rPr>
        <w:tab/>
      </w:r>
      <w:r>
        <w:rPr>
          <w:rFonts w:ascii="Courier New" w:cs="Courier New" w:eastAsia="Courier New" w:hAnsi="Courier New"/>
          <w:sz w:val="15"/>
          <w:szCs w:val="15"/>
          <w:color w:val="auto"/>
        </w:rPr>
        <w:t>Services</w:t>
      </w:r>
      <w:r>
        <w:rPr>
          <w:sz w:val="20"/>
          <w:szCs w:val="20"/>
          <w:color w:val="auto"/>
        </w:rPr>
        <w:tab/>
      </w:r>
      <w:r>
        <w:rPr>
          <w:rFonts w:ascii="Courier New" w:cs="Courier New" w:eastAsia="Courier New" w:hAnsi="Courier New"/>
          <w:sz w:val="14"/>
          <w:szCs w:val="14"/>
          <w:color w:val="auto"/>
        </w:rPr>
        <w:t>Transactions (2)</w:t>
      </w:r>
    </w:p>
    <w:p>
      <w:pPr>
        <w:spacing w:after="0" w:line="3" w:lineRule="exact"/>
        <w:rPr>
          <w:sz w:val="20"/>
          <w:szCs w:val="20"/>
          <w:color w:val="auto"/>
        </w:rPr>
      </w:pPr>
    </w:p>
    <w:p>
      <w:pPr>
        <w:ind w:left="256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628" w:right="1440" w:bottom="1440" w:gutter="0" w:footer="0" w:header="0"/>
        </w:sectPr>
      </w:pPr>
    </w:p>
    <w:p>
      <w:pPr>
        <w:spacing w:after="0" w:line="183" w:lineRule="exact"/>
        <w:rPr>
          <w:sz w:val="20"/>
          <w:szCs w:val="20"/>
          <w:color w:val="auto"/>
        </w:rPr>
      </w:pPr>
    </w:p>
    <w:p>
      <w:pPr>
        <w:ind w:left="9" w:right="340"/>
        <w:spacing w:after="0" w:line="387" w:lineRule="auto"/>
        <w:rPr>
          <w:sz w:val="20"/>
          <w:szCs w:val="20"/>
          <w:color w:val="auto"/>
        </w:rPr>
      </w:pPr>
      <w:r>
        <w:rPr>
          <w:rFonts w:ascii="Courier New" w:cs="Courier New" w:eastAsia="Courier New" w:hAnsi="Courier New"/>
          <w:sz w:val="14"/>
          <w:szCs w:val="14"/>
          <w:color w:val="auto"/>
        </w:rPr>
        <w:t>First Quarter Operating Revenue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firstLine="178"/>
        <w:spacing w:after="0" w:line="239" w:lineRule="auto"/>
        <w:rPr>
          <w:sz w:val="20"/>
          <w:szCs w:val="20"/>
          <w:color w:val="auto"/>
        </w:rPr>
      </w:pPr>
      <w:r>
        <w:rPr>
          <w:rFonts w:ascii="Courier New" w:cs="Courier New" w:eastAsia="Courier New" w:hAnsi="Courier New"/>
          <w:sz w:val="15"/>
          <w:szCs w:val="15"/>
          <w:color w:val="auto"/>
        </w:rPr>
        <w:t>2000 1999 % chg -------- -------- ------ $1,528 $1,503 2%</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$324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$345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chg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$307</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 chg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0"/>
        <w:spacing w:after="0"/>
        <w:tabs>
          <w:tab w:leader="none" w:pos="780" w:val="left"/>
        </w:tabs>
        <w:rPr>
          <w:sz w:val="20"/>
          <w:szCs w:val="20"/>
          <w:color w:val="auto"/>
        </w:rPr>
      </w:pPr>
      <w:r>
        <w:rPr>
          <w:rFonts w:ascii="Courier New" w:cs="Courier New" w:eastAsia="Courier New" w:hAnsi="Courier New"/>
          <w:sz w:val="15"/>
          <w:szCs w:val="15"/>
          <w:color w:val="auto"/>
        </w:rPr>
        <w:t>$270</w:t>
      </w:r>
      <w:r>
        <w:rPr>
          <w:sz w:val="20"/>
          <w:szCs w:val="20"/>
          <w:color w:val="auto"/>
        </w:rPr>
        <w:tab/>
      </w:r>
      <w:r>
        <w:rPr>
          <w:rFonts w:ascii="Courier New" w:cs="Courier New" w:eastAsia="Courier New" w:hAnsi="Courier New"/>
          <w:sz w:val="14"/>
          <w:szCs w:val="14"/>
          <w:color w:val="auto"/>
        </w:rPr>
        <w:t>14%</w:t>
      </w:r>
    </w:p>
    <w:p>
      <w:pPr>
        <w:spacing w:after="0" w:line="3" w:lineRule="exact"/>
        <w:rPr>
          <w:sz w:val="20"/>
          <w:szCs w:val="20"/>
          <w:color w:val="auto"/>
        </w:rPr>
      </w:pPr>
    </w:p>
    <w:p>
      <w:pPr>
        <w:sectPr>
          <w:pgSz w:w="11900" w:h="16838" w:orient="portrait"/>
          <w:cols w:equalWidth="0" w:num="7">
            <w:col w:w="1849" w:space="720"/>
            <w:col w:w="2140" w:space="620"/>
            <w:col w:w="520" w:space="360"/>
            <w:col w:w="440" w:space="180"/>
            <w:col w:w="540" w:space="440"/>
            <w:col w:w="440" w:space="360"/>
            <w:col w:w="161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Pretax Operating</w:t>
      </w:r>
    </w:p>
    <w:p>
      <w:pPr>
        <w:sectPr>
          <w:pgSz w:w="11900" w:h="16838" w:orient="portrait"/>
          <w:cols w:equalWidth="0" w:num="1">
            <w:col w:w="10228"/>
          </w:cols>
          <w:pgMar w:left="231" w:top="628" w:right="1440" w:bottom="1440" w:gutter="0" w:footer="0" w:header="0"/>
          <w:type w:val="continuous"/>
        </w:sectPr>
      </w:pP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Income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10">
            <w:col w:w="2029" w:space="720"/>
            <w:col w:w="360" w:space="520"/>
            <w:col w:w="460" w:space="180"/>
            <w:col w:w="520" w:space="720"/>
            <w:col w:w="260" w:space="700"/>
            <w:col w:w="180" w:space="180"/>
            <w:col w:w="440" w:space="720"/>
            <w:col w:w="260" w:space="540"/>
            <w:col w:w="260" w:space="440"/>
            <w:col w:w="739"/>
          </w:cols>
          <w:pgMar w:left="231" w:top="628" w:right="1440" w:bottom="1440" w:gutter="0" w:footer="0" w:header="0"/>
          <w:type w:val="continuous"/>
        </w:sectPr>
      </w:pPr>
    </w:p>
    <w:p>
      <w:pPr>
        <w:spacing w:after="0" w:line="315" w:lineRule="exact"/>
        <w:rPr>
          <w:sz w:val="20"/>
          <w:szCs w:val="20"/>
          <w:color w:val="auto"/>
        </w:rPr>
      </w:pPr>
    </w:p>
    <w:p>
      <w:pPr>
        <w:ind w:left="9" w:right="3839" w:hanging="9"/>
        <w:spacing w:after="0" w:line="258" w:lineRule="auto"/>
        <w:tabs>
          <w:tab w:leader="none" w:pos="36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operating income represents income before taxes, excluding interest expense, interest income and the first quarter 1999 net charge.</w:t>
      </w:r>
    </w:p>
    <w:p>
      <w:pPr>
        <w:ind w:left="9" w:right="3479" w:hanging="9"/>
        <w:spacing w:after="0" w:line="238" w:lineRule="auto"/>
        <w:tabs>
          <w:tab w:leader="none" w:pos="3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results include Schlumberger Omnes, formerly a joint venture, which was 100% acquired during the third quarter of 1999.</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Operations.</w:t>
      </w:r>
    </w:p>
    <w:p>
      <w:pPr>
        <w:ind w:left="169" w:hanging="169"/>
        <w:spacing w:after="0"/>
        <w:tabs>
          <w:tab w:leader="none" w:pos="16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First Quarter 2000 Compared to First Quarter 1999</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First quarter operating revenue of $2.14 billion was 1% higher versus last year.</w:t>
      </w:r>
    </w:p>
    <w:p>
      <w:pPr>
        <w:spacing w:after="0" w:line="183" w:lineRule="exact"/>
        <w:rPr>
          <w:sz w:val="20"/>
          <w:szCs w:val="20"/>
          <w:color w:val="auto"/>
        </w:rPr>
      </w:pPr>
    </w:p>
    <w:p>
      <w:pPr>
        <w:jc w:val="both"/>
        <w:ind w:left="9" w:right="4819"/>
        <w:spacing w:after="0" w:line="264" w:lineRule="auto"/>
        <w:rPr>
          <w:sz w:val="20"/>
          <w:szCs w:val="20"/>
          <w:color w:val="auto"/>
        </w:rPr>
      </w:pPr>
      <w:r>
        <w:rPr>
          <w:rFonts w:ascii="Courier New" w:cs="Courier New" w:eastAsia="Courier New" w:hAnsi="Courier New"/>
          <w:sz w:val="14"/>
          <w:szCs w:val="14"/>
          <w:color w:val="auto"/>
        </w:rPr>
        <w:t>Income from continuing operations was $136 million ($0.24 per share-diluted) compared with $127 million ($0.23 per share - diluted) last year, before the 1999 first quarter net charge.</w:t>
      </w:r>
    </w:p>
    <w:p>
      <w:pPr>
        <w:spacing w:after="0" w:line="159" w:lineRule="exact"/>
        <w:rPr>
          <w:sz w:val="20"/>
          <w:szCs w:val="20"/>
          <w:color w:val="auto"/>
        </w:rPr>
      </w:pPr>
    </w:p>
    <w:p>
      <w:pPr>
        <w:ind w:left="9" w:right="4099"/>
        <w:spacing w:after="0" w:line="239" w:lineRule="auto"/>
        <w:rPr>
          <w:sz w:val="20"/>
          <w:szCs w:val="20"/>
          <w:color w:val="auto"/>
        </w:rPr>
      </w:pPr>
      <w:r>
        <w:rPr>
          <w:rFonts w:ascii="Courier New" w:cs="Courier New" w:eastAsia="Courier New" w:hAnsi="Courier New"/>
          <w:sz w:val="15"/>
          <w:szCs w:val="15"/>
          <w:color w:val="auto"/>
        </w:rPr>
        <w:t>Earnings per share, excluding goodwill amortization was $0.27 per share (diluted) compared with $0.26 per share (diluted and before the 1999 first quarter net charge) for the same period last year.</w:t>
      </w:r>
    </w:p>
    <w:p>
      <w:pPr>
        <w:spacing w:after="0" w:line="175" w:lineRule="exact"/>
        <w:rPr>
          <w:sz w:val="20"/>
          <w:szCs w:val="20"/>
          <w:color w:val="auto"/>
        </w:rPr>
      </w:pPr>
    </w:p>
    <w:p>
      <w:pPr>
        <w:ind w:left="9" w:right="4379"/>
        <w:spacing w:after="0" w:line="239" w:lineRule="auto"/>
        <w:rPr>
          <w:sz w:val="20"/>
          <w:szCs w:val="20"/>
          <w:color w:val="auto"/>
        </w:rPr>
      </w:pPr>
      <w:r>
        <w:rPr>
          <w:rFonts w:ascii="Courier New" w:cs="Courier New" w:eastAsia="Courier New" w:hAnsi="Courier New"/>
          <w:sz w:val="15"/>
          <w:szCs w:val="15"/>
          <w:color w:val="auto"/>
        </w:rPr>
        <w:t>Oilfield Services revenue increased 2% versus the first quarter of 1999 as the worldwide M-I rig count grew 25%. Compared with the fourth quarter of 1999, revenue increased 1%.</w:t>
      </w:r>
    </w:p>
    <w:p>
      <w:pPr>
        <w:spacing w:after="0" w:line="175" w:lineRule="exact"/>
        <w:rPr>
          <w:sz w:val="20"/>
          <w:szCs w:val="20"/>
          <w:color w:val="auto"/>
        </w:rPr>
      </w:pPr>
    </w:p>
    <w:p>
      <w:pPr>
        <w:ind w:left="9" w:right="4199"/>
        <w:spacing w:after="0" w:line="239" w:lineRule="auto"/>
        <w:rPr>
          <w:sz w:val="20"/>
          <w:szCs w:val="20"/>
          <w:color w:val="auto"/>
        </w:rPr>
      </w:pPr>
      <w:r>
        <w:rPr>
          <w:rFonts w:ascii="Courier New" w:cs="Courier New" w:eastAsia="Courier New" w:hAnsi="Courier New"/>
          <w:sz w:val="15"/>
          <w:szCs w:val="15"/>
          <w:color w:val="auto"/>
        </w:rPr>
        <w:t>Resource Management Services revenue was 6% lower than in the first quarter last year. Excluding the adverse effect of currency exchange rates, revenue increased 2%.</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Test &amp; Transactions revenue increased 14% versus the same period last year.</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OILFIELD SERVICES</w:t>
      </w:r>
    </w:p>
    <w:p>
      <w:pPr>
        <w:spacing w:after="0" w:line="174" w:lineRule="exact"/>
        <w:rPr>
          <w:sz w:val="20"/>
          <w:szCs w:val="20"/>
          <w:color w:val="auto"/>
        </w:rPr>
      </w:pPr>
    </w:p>
    <w:p>
      <w:pPr>
        <w:ind w:left="9" w:right="4099"/>
        <w:spacing w:after="0" w:line="239" w:lineRule="auto"/>
        <w:rPr>
          <w:sz w:val="20"/>
          <w:szCs w:val="20"/>
          <w:color w:val="auto"/>
        </w:rPr>
      </w:pPr>
      <w:r>
        <w:rPr>
          <w:rFonts w:ascii="Courier New" w:cs="Courier New" w:eastAsia="Courier New" w:hAnsi="Courier New"/>
          <w:sz w:val="15"/>
          <w:szCs w:val="15"/>
          <w:color w:val="auto"/>
        </w:rPr>
        <w:t>Oilfield Services operating revenue in the first quarter increased 1% sequentially and 2% versus the same period last year, mainly due to the improved activity levels in North America. The worldwide M-I rig count increased 5% sequentially and 25% year over year.</w:t>
      </w:r>
    </w:p>
    <w:p>
      <w:pPr>
        <w:spacing w:after="0" w:line="176" w:lineRule="exact"/>
        <w:rPr>
          <w:sz w:val="20"/>
          <w:szCs w:val="20"/>
          <w:color w:val="auto"/>
        </w:rPr>
      </w:pPr>
    </w:p>
    <w:p>
      <w:pPr>
        <w:ind w:left="9" w:right="4099"/>
        <w:spacing w:after="0" w:line="260" w:lineRule="auto"/>
        <w:rPr>
          <w:sz w:val="20"/>
          <w:szCs w:val="20"/>
          <w:color w:val="auto"/>
        </w:rPr>
      </w:pPr>
      <w:r>
        <w:rPr>
          <w:rFonts w:ascii="Courier New" w:cs="Courier New" w:eastAsia="Courier New" w:hAnsi="Courier New"/>
          <w:sz w:val="14"/>
          <w:szCs w:val="14"/>
          <w:color w:val="auto"/>
        </w:rPr>
        <w:t>Pretax operating income in the first quarter increased 11% versus the same period last year, despite a substantial loss from Reservoir Evaluation Seismic activity as compared with last year. Pretax operating income grew 4% versus the prior quarter. Compared with the same period last year, revenue increased in North and South America and decreased in all other major geographical regions. Oilfield</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Services geographical results include Camco activity.</w:t>
      </w:r>
    </w:p>
    <w:p>
      <w:pPr>
        <w:spacing w:after="0" w:line="174" w:lineRule="exact"/>
        <w:rPr>
          <w:sz w:val="20"/>
          <w:szCs w:val="20"/>
          <w:color w:val="auto"/>
        </w:rPr>
      </w:pPr>
    </w:p>
    <w:p>
      <w:pPr>
        <w:ind w:right="4279"/>
        <w:spacing w:after="0"/>
        <w:rPr>
          <w:sz w:val="20"/>
          <w:szCs w:val="20"/>
          <w:color w:val="auto"/>
        </w:rPr>
      </w:pPr>
      <w:r>
        <w:rPr>
          <w:rFonts w:ascii="Courier New" w:cs="Courier New" w:eastAsia="Courier New" w:hAnsi="Courier New"/>
          <w:sz w:val="15"/>
          <w:szCs w:val="15"/>
          <w:color w:val="auto"/>
        </w:rPr>
        <w:t>In January, Schlumberger launched a new energy business-to-business e-commerce portal, www.IndigoPool.com, offering the first Internet-based global service for acquisitions and divestitures of oil and gas properties. Through IndigoPool.com, oil and gas companies, regulatory agencies and brokers are able to market their properties on-line to a worldwide audience, with secure access to commercial and proprietary data sets, scaleable property marketing services and virtual data interpretation centers. In addition, customers will have access to evaluation tools, consulting services and industry-related news.</w:t>
      </w:r>
    </w:p>
    <w:p>
      <w:pPr>
        <w:spacing w:after="0" w:line="178"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The Merak division of GeoQuest and Wood Mackenzie, a division of Deutsche Bank AG, formed a strategic alliance to jointly develop economic analysis and data mapping software for the oil and gas industry, providing customers with a common set of advanced tools and expert information for a range of activities from scoping and planning of exploration opportunities to the planning of commercial projects and financial appraisals.</w:t>
      </w:r>
    </w:p>
    <w:p>
      <w:pPr>
        <w:spacing w:after="0" w:line="176"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In late March, Schlumberger introduced the land component of the revolutionary Q* seismic data acquisition and processing system at a special event in Bahrain. The new Q-Land* digital land seismic system offers significant improvements in the imaging of reservoirs to show details that are not visible using conventional technology.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4019"/>
        <w:spacing w:after="0"/>
        <w:rPr>
          <w:sz w:val="20"/>
          <w:szCs w:val="20"/>
          <w:color w:val="auto"/>
        </w:rPr>
      </w:pPr>
      <w:r>
        <w:rPr>
          <w:rFonts w:ascii="Courier New" w:cs="Courier New" w:eastAsia="Courier New" w:hAnsi="Courier New"/>
          <w:sz w:val="15"/>
          <w:szCs w:val="15"/>
          <w:color w:val="auto"/>
        </w:rPr>
        <w:t>In North America, first quarter revenue of $511 million increased 5% sequentially and 32% compared with the first quarter of 1999 as the M-I rig count increased 49% year over year. Pretax operating income increased 14% sequentially and 275% year over year. Compared with last year, revenue increased across all oilfield services with Reservoir Evaluation Wireline and pressure pumping services posting the highest levels of growth. The continued shift toward natural gas drilling led to increased activity in all areas except Alaska, with both the lower 48 states and Canada up substantially versus the same quarter last year. Positive pricing trends continued throughout the region due to the introduction of new value-added technology and to increasing demand. First quarter revenue for well productivity-related services showed improvement over the prior as a result of pricing changes and the launch of the new PowerSTIM* well optimization service in the US.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4099"/>
        <w:spacing w:after="0" w:line="260" w:lineRule="auto"/>
        <w:rPr>
          <w:sz w:val="20"/>
          <w:szCs w:val="20"/>
          <w:color w:val="auto"/>
        </w:rPr>
      </w:pPr>
      <w:r>
        <w:rPr>
          <w:rFonts w:ascii="Courier New" w:cs="Courier New" w:eastAsia="Courier New" w:hAnsi="Courier New"/>
          <w:sz w:val="14"/>
          <w:szCs w:val="14"/>
          <w:color w:val="auto"/>
        </w:rPr>
        <w:t>In Latin America, first quarter revenue of $249 million decreased 3% sequentially but increased 17% year over year as the M-I rig count increased 15% versus the same period last year. Pretax operating income showed strong improvement sequentially and increased 30% year over year. Revenue in all geographic regions increased by double digits versus last year, with Venezuela posting the largest increase. Marine seismic revenue showed a second straight quarter of improvement, with significant sales of Brazilian multiclient surveys.</w:t>
      </w:r>
    </w:p>
    <w:p>
      <w:pPr>
        <w:spacing w:after="0" w:line="161" w:lineRule="exact"/>
        <w:rPr>
          <w:sz w:val="20"/>
          <w:szCs w:val="20"/>
          <w:color w:val="auto"/>
        </w:rPr>
      </w:pPr>
    </w:p>
    <w:p>
      <w:pPr>
        <w:ind w:right="4279"/>
        <w:spacing w:after="0" w:line="261" w:lineRule="auto"/>
        <w:rPr>
          <w:sz w:val="20"/>
          <w:szCs w:val="20"/>
          <w:color w:val="auto"/>
        </w:rPr>
      </w:pPr>
      <w:r>
        <w:rPr>
          <w:rFonts w:ascii="Courier New" w:cs="Courier New" w:eastAsia="Courier New" w:hAnsi="Courier New"/>
          <w:sz w:val="14"/>
          <w:szCs w:val="14"/>
          <w:color w:val="auto"/>
        </w:rPr>
        <w:t>The Schlumberger Electrical Hydraulic Deepwater Control System (E/H DWCS* system) was used in conjunction with a SenTREE*-3 subsea test tree system to perform a 114-hour "full package" exploration test campaign in 5896 feet (1797 meters) of water offshore Brazil. This second successful job for the E/H DWCS system highlighted the</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11" w:name="page12"/>
    <w:bookmarkEnd w:id="11"/>
    <w:p>
      <w:pPr>
        <w:ind w:right="4279"/>
        <w:spacing w:after="0" w:line="239" w:lineRule="auto"/>
        <w:rPr>
          <w:sz w:val="20"/>
          <w:szCs w:val="20"/>
          <w:color w:val="auto"/>
        </w:rPr>
      </w:pPr>
      <w:r>
        <w:rPr>
          <w:rFonts w:ascii="Courier New" w:cs="Courier New" w:eastAsia="Courier New" w:hAnsi="Courier New"/>
          <w:sz w:val="15"/>
          <w:szCs w:val="15"/>
          <w:color w:val="auto"/>
        </w:rPr>
        <w:t>advances in deepwater subsea technology and equipment reliability that continue to bring benefits to the industry and permit testing operations to be safely performed in water depths up to 10,000 feet [3048 meters].</w:t>
      </w:r>
    </w:p>
    <w:p>
      <w:pPr>
        <w:spacing w:after="0" w:line="176"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The Burgos Alliance Project, focusing on the optimization of drilling and completion techniques for gas in northern Mexico, continued to reduce the cycle time required to drill and complete wells. The techniques and technologies developed in this project can be successfully employed in the expanding gas drilling activity in other geographic markets as well.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Quarterly revenue of $338 million increased 3% sequentially but declined 22% year over year. The M-I rig count was up 10% versus the fourth quarter of 1999, and down 1% over the same period last year, excluding the CIS. Pretax operating income decreased 12% sequentially and 42% year over year. Geographically, the CIS was the only area reporting a revenue increase year over year, driven primarily by well productivity related services. All other areas were down versus last year, with Reservoir Evaluation Seismic services posting the largest decline.</w:t>
      </w:r>
    </w:p>
    <w:p>
      <w:pPr>
        <w:spacing w:after="0" w:line="177"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The successful use of 3D multicomponent seismic data to significantly reduce well construction costs was demonstrated in a value sharing drilling project in the North Sea. The superior quality of the 3D/4C seismic data resulted in a much clearer image of the subsurface, enabling a joint team to accurately identify and plan around potential drilling hazards between the surface and the target reservoir. The well was subsequently drilled and completed successfully, without the costly adverse drilling events that had plagued previous wells in the field.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4199"/>
        <w:spacing w:after="0" w:line="261" w:lineRule="auto"/>
        <w:rPr>
          <w:sz w:val="20"/>
          <w:szCs w:val="20"/>
          <w:color w:val="auto"/>
        </w:rPr>
      </w:pPr>
      <w:r>
        <w:rPr>
          <w:rFonts w:ascii="Courier New" w:cs="Courier New" w:eastAsia="Courier New" w:hAnsi="Courier New"/>
          <w:sz w:val="14"/>
          <w:szCs w:val="14"/>
          <w:color w:val="auto"/>
        </w:rPr>
        <w:t>Quarterly revenue of $380 million was flat sequentially and down 12% year over year, while the M-I rig count declined 8% year over year. Pretax operating income declined 16% sequentially and 27% year over year. Compared with the same period last year, well intervention services and data and consulting services showed appreciable growth.</w:t>
      </w:r>
    </w:p>
    <w:p>
      <w:pPr>
        <w:spacing w:after="0" w:line="162"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Activity related to maximizing well productivity continued to increase throughout the region, highlighted by the successful introduction of CoilFRAC* stimulation technology in Indonesia -- the first application outside North America. CoilFRAC technology provides cost-effective service using coiled tubing to access new or bypassed productive zones for hydraulic fracturing.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174" w:lineRule="exact"/>
        <w:rPr>
          <w:sz w:val="20"/>
          <w:szCs w:val="20"/>
          <w:color w:val="auto"/>
        </w:rPr>
      </w:pPr>
    </w:p>
    <w:p>
      <w:pPr>
        <w:ind w:right="4379"/>
        <w:spacing w:after="0"/>
        <w:rPr>
          <w:sz w:val="20"/>
          <w:szCs w:val="20"/>
          <w:color w:val="auto"/>
        </w:rPr>
      </w:pPr>
      <w:r>
        <w:rPr>
          <w:rFonts w:ascii="Courier New" w:cs="Courier New" w:eastAsia="Courier New" w:hAnsi="Courier New"/>
          <w:sz w:val="15"/>
          <w:szCs w:val="15"/>
          <w:color w:val="auto"/>
        </w:rPr>
        <w:t>Resource Management Services (RMS) revenue and orders decreased 6% versus the first quarter of 1999. Excluding the adverse effect of currency exchange rates, revenue and orders increased 2%. Pretax operating income in the first quarter rose, mainly due to gains in the UK, the US and South America.</w:t>
      </w:r>
    </w:p>
    <w:p>
      <w:pPr>
        <w:spacing w:after="0" w:line="174" w:lineRule="exact"/>
        <w:rPr>
          <w:sz w:val="20"/>
          <w:szCs w:val="20"/>
          <w:color w:val="auto"/>
        </w:rPr>
      </w:pPr>
    </w:p>
    <w:p>
      <w:pPr>
        <w:ind w:right="4099"/>
        <w:spacing w:after="0" w:line="262" w:lineRule="auto"/>
        <w:rPr>
          <w:sz w:val="20"/>
          <w:szCs w:val="20"/>
          <w:color w:val="auto"/>
        </w:rPr>
      </w:pPr>
      <w:r>
        <w:rPr>
          <w:rFonts w:ascii="Courier New" w:cs="Courier New" w:eastAsia="Courier New" w:hAnsi="Courier New"/>
          <w:sz w:val="14"/>
          <w:szCs w:val="14"/>
          <w:color w:val="auto"/>
        </w:rPr>
        <w:t>In North America, revenue grew 3% compared with the first quarter of 1999, while orders rose 12%, spurred by the increased interest in the Centron* static electricity meter with built-in communication and networking capabilities. Increased shipments of the Protectus* large</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2" w:name="page13"/>
    <w:bookmarkEnd w:id="12"/>
    <w:p>
      <w:pPr>
        <w:ind w:right="4099"/>
        <w:spacing w:after="0"/>
        <w:rPr>
          <w:sz w:val="20"/>
          <w:szCs w:val="20"/>
          <w:color w:val="auto"/>
        </w:rPr>
      </w:pPr>
      <w:r>
        <w:rPr>
          <w:rFonts w:ascii="Courier New" w:cs="Courier New" w:eastAsia="Courier New" w:hAnsi="Courier New"/>
          <w:sz w:val="15"/>
          <w:szCs w:val="15"/>
          <w:color w:val="auto"/>
        </w:rPr>
        <w:t>industrial meter and of radio-frequency (RF) remote-read R900* and R300* meter interface units also helped the increase in revenue for the quarter. In February, Schlumberger agreed to acquire the assets of CellNet Data Systems, Inc., a market-leading provider of telemetry services for the development and deployment of large-scale automatic meter reading systems. The acquisition is being handled through a Chapter 11 procedure and is subject to final approval by the bankruptcy court. Schlumberger also acquired an exclusive utility industry license to Metricom Inc.'s UtiliNet RF technology to enhance the ability of RMS to provide a broader array of high-end data collection and control systems solutions to its electric, water and gas clients.</w:t>
      </w:r>
    </w:p>
    <w:p>
      <w:pPr>
        <w:spacing w:after="0" w:line="180"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In Europe, revenue in the first quarter declined 14% versus the first quarter of 1999, with orders down 20% over the same period. In continental Europe, the devaluation of the Euro against the dollar accounted for most of the revenue decline. While electricity business revenue was generally weaker due to continued pressure on prices, the gas business in the UK was up significantly.</w:t>
      </w:r>
    </w:p>
    <w:p>
      <w:pPr>
        <w:spacing w:after="0" w:line="175" w:lineRule="exact"/>
        <w:rPr>
          <w:sz w:val="20"/>
          <w:szCs w:val="20"/>
          <w:color w:val="auto"/>
        </w:rPr>
      </w:pPr>
    </w:p>
    <w:p>
      <w:pPr>
        <w:ind w:right="4199"/>
        <w:spacing w:after="0"/>
        <w:rPr>
          <w:sz w:val="20"/>
          <w:szCs w:val="20"/>
          <w:color w:val="auto"/>
        </w:rPr>
      </w:pPr>
      <w:r>
        <w:rPr>
          <w:rFonts w:ascii="Courier New" w:cs="Courier New" w:eastAsia="Courier New" w:hAnsi="Courier New"/>
          <w:sz w:val="15"/>
          <w:szCs w:val="15"/>
          <w:color w:val="auto"/>
        </w:rPr>
        <w:t>In South America, revenue grew 16% versus last year led by a significant increase in Brazil, where the January 1999 currency devaluation adversely impacted activity in the first half of last year. Orders in South America were up by 33%. In Asia, revenue rose 27% compared with the same period last year, while improved economic conditions helped orders increase by 61%.</w:t>
      </w:r>
    </w:p>
    <w:p>
      <w:pPr>
        <w:spacing w:after="0" w:line="175" w:lineRule="exact"/>
        <w:rPr>
          <w:sz w:val="20"/>
          <w:szCs w:val="20"/>
          <w:color w:val="auto"/>
        </w:rPr>
      </w:pPr>
    </w:p>
    <w:p>
      <w:pPr>
        <w:ind w:right="4199"/>
        <w:spacing w:after="0"/>
        <w:rPr>
          <w:sz w:val="20"/>
          <w:szCs w:val="20"/>
          <w:color w:val="auto"/>
        </w:rPr>
      </w:pPr>
      <w:r>
        <w:rPr>
          <w:rFonts w:ascii="Courier New" w:cs="Courier New" w:eastAsia="Courier New" w:hAnsi="Courier New"/>
          <w:sz w:val="15"/>
          <w:szCs w:val="15"/>
          <w:color w:val="auto"/>
        </w:rPr>
        <w:t>Revenue from the RMS integrated solutions business grew 10% during the quarter compared with last year, with increased momentum seen across all regions. The RMS integrated solutions activities include packaged meter, data and revenue management services for energy suppliers, network operators and consumers, in addition to consulting, project design, implementation, management, maintenance, operation and financial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174" w:lineRule="exact"/>
        <w:rPr>
          <w:sz w:val="20"/>
          <w:szCs w:val="20"/>
          <w:color w:val="auto"/>
        </w:rPr>
      </w:pPr>
    </w:p>
    <w:p>
      <w:pPr>
        <w:ind w:right="4199"/>
        <w:spacing w:after="0"/>
        <w:rPr>
          <w:sz w:val="20"/>
          <w:szCs w:val="20"/>
          <w:color w:val="auto"/>
        </w:rPr>
      </w:pPr>
      <w:r>
        <w:rPr>
          <w:rFonts w:ascii="Courier New" w:cs="Courier New" w:eastAsia="Courier New" w:hAnsi="Courier New"/>
          <w:sz w:val="15"/>
          <w:szCs w:val="15"/>
          <w:color w:val="auto"/>
        </w:rPr>
        <w:t>Test &amp; Transactions first quarter orders increased 51% compared with the same quarter last year and 51% versus last quarter. The increase in orders includes a major contribution from the Omnes contract to manage the Schlumberger global network. Revenue, including Omnes, increased 14% compared with the same quarter last year and fell 6% compared with the prior quarter.</w:t>
      </w:r>
    </w:p>
    <w:p>
      <w:pPr>
        <w:spacing w:after="0" w:line="175" w:lineRule="exact"/>
        <w:rPr>
          <w:sz w:val="20"/>
          <w:szCs w:val="20"/>
          <w:color w:val="auto"/>
        </w:rPr>
      </w:pPr>
    </w:p>
    <w:p>
      <w:pPr>
        <w:ind w:right="4099"/>
        <w:spacing w:after="0"/>
        <w:rPr>
          <w:sz w:val="20"/>
          <w:szCs w:val="20"/>
          <w:color w:val="auto"/>
        </w:rPr>
      </w:pPr>
      <w:r>
        <w:rPr>
          <w:rFonts w:ascii="Courier New" w:cs="Courier New" w:eastAsia="Courier New" w:hAnsi="Courier New"/>
          <w:sz w:val="15"/>
          <w:szCs w:val="15"/>
          <w:color w:val="auto"/>
        </w:rPr>
        <w:t>Smart Cards &amp; Terminals orders increased 31% year over year and 25% compared with the fourth quarter of 1999. Revenue increased 13% versus the same quarter of last year but was off 8% versus a seasonally strong prior quarter. For the third consecutive quarter, sales and orders for smart cards were led by strong demand from the Global System for Mobile (GSM) communications market in both Asia and Europe. The recent introduction of the Simera card (open Java* programmable SIM card) has resulted in market share gains in all regions. European SIM (subscriber identity module) card sales for the quarter doubled over last year. Asian SIM card activity showed continued strong growth, with significant orders and revenue from China. Payphone activity improved in both the Middle East and Asia.</w:t>
      </w:r>
    </w:p>
    <w:p>
      <w:pPr>
        <w:spacing w:after="0" w:line="180" w:lineRule="exact"/>
        <w:rPr>
          <w:sz w:val="20"/>
          <w:szCs w:val="20"/>
          <w:color w:val="auto"/>
        </w:rPr>
      </w:pPr>
    </w:p>
    <w:p>
      <w:pPr>
        <w:ind w:right="4899"/>
        <w:spacing w:after="0" w:line="271" w:lineRule="auto"/>
        <w:rPr>
          <w:sz w:val="20"/>
          <w:szCs w:val="20"/>
          <w:color w:val="auto"/>
        </w:rPr>
      </w:pPr>
      <w:r>
        <w:rPr>
          <w:rFonts w:ascii="Courier New" w:cs="Courier New" w:eastAsia="Courier New" w:hAnsi="Courier New"/>
          <w:sz w:val="14"/>
          <w:szCs w:val="14"/>
          <w:color w:val="auto"/>
        </w:rPr>
        <w:t>Automated Test Equipment (ATE) orders for the first quarter, including SABER* (Schlumberger Advanced Business Engineering</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3" w:name="page14"/>
    <w:bookmarkEnd w:id="13"/>
    <w:p>
      <w:pPr>
        <w:ind w:right="4099"/>
        <w:spacing w:after="0"/>
        <w:rPr>
          <w:sz w:val="20"/>
          <w:szCs w:val="20"/>
          <w:color w:val="auto"/>
        </w:rPr>
      </w:pPr>
      <w:r>
        <w:rPr>
          <w:rFonts w:ascii="Courier New" w:cs="Courier New" w:eastAsia="Courier New" w:hAnsi="Courier New"/>
          <w:sz w:val="15"/>
          <w:szCs w:val="15"/>
          <w:color w:val="auto"/>
        </w:rPr>
        <w:t>Resources) and service activities, improved 24% versus the same quarter last year and 61% compared with last quarter. The growth in orders over last quarter is attributable to the strong demand from Europe and Taiwan for SOC (system on a chip) test systems, initial orders for Rambus** production test systems and entry into the front-end wafer inspection market. Revenue for the first quarter decreased 18% versus the same quarter last year and 12% compared with the prior quarter. The revenue decline is primarily due to reduced demand for high-end logic systems. SABER continued to report record revenue and orders. SABER orders were strongest in North America due to the regional density of fabless design companies engaging its services.</w:t>
      </w:r>
    </w:p>
    <w:p>
      <w:pPr>
        <w:spacing w:after="0" w:line="180" w:lineRule="exact"/>
        <w:rPr>
          <w:sz w:val="20"/>
          <w:szCs w:val="20"/>
          <w:color w:val="auto"/>
        </w:rPr>
      </w:pPr>
    </w:p>
    <w:p>
      <w:pPr>
        <w:ind w:right="4279"/>
        <w:spacing w:after="0"/>
        <w:rPr>
          <w:sz w:val="20"/>
          <w:szCs w:val="20"/>
          <w:color w:val="auto"/>
        </w:rPr>
      </w:pPr>
      <w:r>
        <w:rPr>
          <w:rFonts w:ascii="Courier New" w:cs="Courier New" w:eastAsia="Courier New" w:hAnsi="Courier New"/>
          <w:sz w:val="15"/>
          <w:szCs w:val="15"/>
          <w:color w:val="auto"/>
        </w:rPr>
        <w:t>Omnes orders in the first quarter were characterized by strong activity in North America, South America and Asia and reflected growing requirements for services related to local and wide area network (LAN and WAN) activity and firewall security. Omnes revenue for the quarter increased 12% versus last quarter.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and other income decreased by $88 million from the same period last year as a $15 million increase in interest income, resulting from higher average investment balances and investment returns, was offset by the first quarter 1999 gain of $103 million on the sale of financial instruments relating to the sale of Retail Petroleum Systems. Gross margin increased from 16% to 24% as 1999 included $147 million of charges. Excluding these charges, gross margin in 1999 was 23%. Research and engineering and Marketing expenses remained flat over last year. General expense, expressed as a percentage of operating revenue, increased from 4.6% to 4.9%. Interest expense increased $18 million as an increase in average borrowing rates offset the effect of slightly lower average debt balances. Effective tax rate of 24% decreased two percentage points from last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January 2000, Schlumberger acquired Telweb, Inc., an Internet access company based in Quebec, Canada. The acquisition was accounted for using the purchase method of accounting and costs in excess of net assets acquired were $28 million, which is being amortized on a straight-line basis over 10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June 1998, the Financial Accounting Standards Board (FASB) issued SFAS 133, "Accounting for Derivative Instruments and Hedging Activities," which requires that Schlumberger recognize all derivative instruments as either assets or liabilities in the statement of financial position and measure those instruments at fair value. The standard is effective in the year 2001 for Schlumberger.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Schlumberger does not anticipate that the implementation of the new standard in 2001 will have a material effect on the consolidated financial position and results of operations.</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 w:name="page15"/>
    <w:bookmarkEnd w:id="14"/>
    <w:p>
      <w:pPr>
        <w:ind w:left="9"/>
        <w:spacing w:after="0"/>
        <w:rPr>
          <w:sz w:val="20"/>
          <w:szCs w:val="20"/>
          <w:color w:val="auto"/>
        </w:rPr>
      </w:pPr>
      <w:r>
        <w:rPr>
          <w:rFonts w:ascii="Courier New" w:cs="Courier New" w:eastAsia="Courier New" w:hAnsi="Courier New"/>
          <w:sz w:val="15"/>
          <w:szCs w:val="15"/>
          <w:color w:val="auto"/>
        </w:rPr>
        <w:t>FORWARD-LOOKING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Schlumberger cautions that, except for historical information, statements in this Form 10-Q report and elsewhere may constitute forward-looking statements. These include statements as to expectations, beliefs and future financial performance, such as statements regarding business prospects in the key industries in which Schlumberger operates and growth opportunities for Schlumberger in those industries. These statements involve a number of risks, uncertainties, assumptions and other factors that could cause actual results to differ materially from those in the forward-looking statements. Such factors include: the extent and duration of the recovery in oil prices; continuing customer commitment to certain key oilfield projects; changes in E&amp;P spending by major oil companies; the extent and timing of utilities' investment in integrated solutions to utility management; noncancellation of key long-term services and solutions contracts; growth in demand for smart cards in e-commerce and Internet-enabled solutions and for RDRAM memory devices and high-end logic devices produced by Schlumberger test equipment customers; general economic and business conditions in key regions of the world; and changes in business strategy or development plans relating to targeted Schlumberger growth opportunities.</w:t>
      </w:r>
    </w:p>
    <w:p>
      <w:pPr>
        <w:spacing w:after="0" w:line="200" w:lineRule="exact"/>
        <w:rPr>
          <w:sz w:val="20"/>
          <w:szCs w:val="20"/>
          <w:color w:val="auto"/>
        </w:rPr>
      </w:pPr>
    </w:p>
    <w:p>
      <w:pPr>
        <w:spacing w:after="0" w:line="32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Schlumberger does not believe it has a material exposure to financial market risk. Schlumberger manages the exposure to interest rate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200" w:lineRule="exact"/>
        <w:rPr>
          <w:sz w:val="20"/>
          <w:szCs w:val="20"/>
          <w:color w:val="auto"/>
        </w:rPr>
      </w:pPr>
    </w:p>
    <w:p>
      <w:pPr>
        <w:spacing w:after="0" w:line="300" w:lineRule="exact"/>
        <w:rPr>
          <w:sz w:val="20"/>
          <w:szCs w:val="20"/>
          <w:color w:val="auto"/>
        </w:rPr>
      </w:pPr>
    </w:p>
    <w:p>
      <w:pPr>
        <w:ind w:left="629" w:hanging="629"/>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spacing w:after="0" w:line="1" w:lineRule="exact"/>
        <w:rPr>
          <w:sz w:val="20"/>
          <w:szCs w:val="20"/>
          <w:color w:val="auto"/>
        </w:rPr>
      </w:pPr>
    </w:p>
    <w:p>
      <w:pPr>
        <w:ind w:left="629" w:hanging="629"/>
        <w:spacing w:after="0"/>
        <w:tabs>
          <w:tab w:leader="none" w:pos="6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Rambus is a registered trademark of Rambus,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309"/>
        <w:spacing w:after="0"/>
        <w:tabs>
          <w:tab w:leader="none" w:pos="316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33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28" w:right="1440" w:bottom="1440" w:gutter="0" w:footer="0" w:header="0"/>
        </w:sectPr>
      </w:pPr>
    </w:p>
    <w:bookmarkStart w:id="15" w:name="page16"/>
    <w:bookmarkEnd w:id="15"/>
    <w:p>
      <w:pPr>
        <w:ind w:left="80" w:right="4199" w:hanging="177"/>
        <w:spacing w:after="0" w:line="238" w:lineRule="auto"/>
        <w:rPr>
          <w:sz w:val="20"/>
          <w:szCs w:val="20"/>
          <w:color w:val="auto"/>
        </w:rPr>
      </w:pPr>
      <w:r>
        <w:rPr>
          <w:rFonts w:ascii="Courier New" w:cs="Courier New" w:eastAsia="Courier New" w:hAnsi="Courier New"/>
          <w:sz w:val="15"/>
          <w:szCs w:val="15"/>
          <w:color w:val="auto"/>
        </w:rPr>
        <w:t>a)The Annual General Meeting of Stockholders of the Registrant ("the Meeting") was held on April 12, 2000.</w:t>
      </w:r>
    </w:p>
    <w:p>
      <w:pPr>
        <w:spacing w:after="0" w:line="346" w:lineRule="exact"/>
        <w:rPr>
          <w:sz w:val="20"/>
          <w:szCs w:val="20"/>
          <w:color w:val="auto"/>
        </w:rPr>
      </w:pPr>
    </w:p>
    <w:p>
      <w:pPr>
        <w:ind w:left="80" w:right="3119" w:hanging="177"/>
        <w:spacing w:after="0"/>
        <w:rPr>
          <w:sz w:val="20"/>
          <w:szCs w:val="20"/>
          <w:color w:val="auto"/>
        </w:rPr>
      </w:pPr>
      <w:r>
        <w:rPr>
          <w:rFonts w:ascii="Courier New" w:cs="Courier New" w:eastAsia="Courier New" w:hAnsi="Courier New"/>
          <w:sz w:val="15"/>
          <w:szCs w:val="15"/>
          <w:color w:val="auto"/>
        </w:rPr>
        <w:t>b)At the Meeting, the number of Directors was fixed at 12 and the following-named 12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were directors who were previously elected by the stockholders.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Denys Henderson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Gillespie Stuntz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345" w:lineRule="exact"/>
        <w:rPr>
          <w:sz w:val="20"/>
          <w:szCs w:val="20"/>
          <w:color w:val="auto"/>
        </w:rPr>
      </w:pPr>
    </w:p>
    <w:p>
      <w:pPr>
        <w:ind w:left="80" w:right="3119" w:hanging="177"/>
        <w:spacing w:after="0"/>
        <w:rPr>
          <w:sz w:val="20"/>
          <w:szCs w:val="20"/>
          <w:color w:val="auto"/>
        </w:rPr>
      </w:pPr>
      <w:r>
        <w:rPr>
          <w:rFonts w:ascii="Courier New" w:cs="Courier New" w:eastAsia="Courier New" w:hAnsi="Courier New"/>
          <w:sz w:val="15"/>
          <w:szCs w:val="15"/>
          <w:color w:val="auto"/>
        </w:rPr>
        <w:t>c)The Meeting also voted (i) to approve the Company's Consolidated Balance Sheet as at December 31, 1999, its Consolidated Statement of Income for the year ended December 31, 1999, and the declaration of dividends reflected in the Company's 1999 Annual Report to Stockholders; and (ii) to approve the appointment of PricewaterhouseCoopers LLP as independent public accountants to audit the accounts of the Company for the year 2000.</w:t>
      </w:r>
    </w:p>
    <w:p>
      <w:pPr>
        <w:spacing w:after="0" w:line="346"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votes cast for the election of directors, for the approval of financial statements and dividends and for the approval of the appointment of PricewaterhouseCoopers LLP were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For</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Withheld</w:t>
            </w:r>
          </w:p>
        </w:tc>
      </w:tr>
      <w:tr>
        <w:trPr>
          <w:trHeight w:val="171"/>
        </w:trPr>
        <w:tc>
          <w:tcPr>
            <w:tcW w:w="24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0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451,697,104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1,942,633</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451,829,074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1,810,663</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John Deutch</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451,624,079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2,015,658</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451,828,323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1,811,414</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Denys Henderson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435,716,427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17,923,310</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451,764,138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1,875,599</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William T. McCormick, Jr.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451,845,903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1,793,834</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Didier Primat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451,834,352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1,805,385</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Nicolas Seydoux</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451,775,662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1,864,075</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Linda Gillespie Stuntz</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451,850,931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1,788,806</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Sven Ullring</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451,821,755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1,817,982</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Yoshihiko Wakumoto</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451,749,822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1,889,915</w:t>
            </w:r>
          </w:p>
        </w:tc>
      </w:tr>
      <w:tr>
        <w:trPr>
          <w:trHeight w:val="683"/>
        </w:trPr>
        <w:tc>
          <w:tcPr>
            <w:tcW w:w="2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940" w:type="dxa"/>
            <w:vAlign w:val="bottom"/>
          </w:tcPr>
          <w:p>
            <w:pPr>
              <w:spacing w:after="0"/>
              <w:rPr>
                <w:sz w:val="24"/>
                <w:szCs w:val="24"/>
                <w:color w:val="auto"/>
              </w:rPr>
            </w:pPr>
          </w:p>
        </w:tc>
      </w:tr>
    </w:tbl>
    <w:p>
      <w:pPr>
        <w:sectPr>
          <w:pgSz w:w="11900" w:h="16838" w:orient="portrait"/>
          <w:cols w:equalWidth="0" w:num="1">
            <w:col w:w="10139"/>
          </w:cols>
          <w:pgMar w:left="320" w:top="631" w:right="1440" w:bottom="1440" w:gutter="0" w:footer="0" w:header="0"/>
        </w:sectPr>
      </w:pPr>
    </w:p>
    <w:bookmarkStart w:id="16" w:name="page17"/>
    <w:bookmarkEnd w:id="16"/>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Against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Abstain</w:t>
            </w:r>
          </w:p>
        </w:tc>
      </w:tr>
      <w:tr>
        <w:trPr>
          <w:trHeight w:val="171"/>
        </w:trPr>
        <w:tc>
          <w:tcPr>
            <w:tcW w:w="2340" w:type="dxa"/>
            <w:vAlign w:val="bottom"/>
          </w:tcPr>
          <w:p>
            <w:pPr>
              <w:spacing w:after="0"/>
              <w:rPr>
                <w:sz w:val="14"/>
                <w:szCs w:val="14"/>
                <w:color w:val="auto"/>
              </w:rPr>
            </w:pP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Financials:</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438,061,676</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486,751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15,091,310</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2340" w:type="dxa"/>
            <w:vAlign w:val="bottom"/>
          </w:tcPr>
          <w:p>
            <w:pPr>
              <w:spacing w:after="0"/>
              <w:rPr>
                <w:sz w:val="20"/>
                <w:szCs w:val="20"/>
                <w:color w:val="auto"/>
              </w:rPr>
            </w:pPr>
            <w:r>
              <w:rPr>
                <w:rFonts w:ascii="Courier New" w:cs="Courier New" w:eastAsia="Courier New" w:hAnsi="Courier New"/>
                <w:sz w:val="15"/>
                <w:szCs w:val="15"/>
                <w:color w:val="auto"/>
              </w:rPr>
              <w:t>PricewaterhouseCoopers:</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451,219,969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563,264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1,856,504</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529" w:hanging="529"/>
        <w:spacing w:after="0"/>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None</w:t>
      </w:r>
    </w:p>
    <w:p>
      <w:pPr>
        <w:spacing w:after="0" w:line="171"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628" w:right="1440" w:bottom="1440" w:gutter="0" w:footer="0" w:header="0"/>
        </w:sectPr>
      </w:pPr>
    </w:p>
    <w:bookmarkStart w:id="17" w:name="page18"/>
    <w:bookmarkEnd w:id="17"/>
    <w:p>
      <w:pPr>
        <w:ind w:left="3100"/>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 w:right="3219" w:firstLine="533"/>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Schlumberger Limited</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right"/>
        <w:ind w:right="1420"/>
        <w:spacing w:after="0"/>
        <w:rPr>
          <w:sz w:val="20"/>
          <w:szCs w:val="20"/>
          <w:color w:val="auto"/>
        </w:rPr>
      </w:pPr>
      <w:r>
        <w:rPr>
          <w:rFonts w:ascii="Courier New" w:cs="Courier New" w:eastAsia="Courier New" w:hAnsi="Courier New"/>
          <w:sz w:val="14"/>
          <w:szCs w:val="14"/>
          <w:color w:val="auto"/>
        </w:rPr>
        <w:t>Date: May 10, 2000</w:t>
      </w:r>
    </w:p>
    <w:p>
      <w:pPr>
        <w:spacing w:after="0" w:line="9" w:lineRule="exact"/>
        <w:rPr>
          <w:sz w:val="20"/>
          <w:szCs w:val="20"/>
          <w:color w:val="auto"/>
        </w:rPr>
      </w:pPr>
    </w:p>
    <w:p>
      <w:pPr>
        <w:jc w:val="right"/>
        <w:ind w:right="14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Jack Liu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2">
            <w:col w:w="3000" w:space="720"/>
            <w:col w:w="6499"/>
          </w:cols>
          <w:pgMar w:left="240" w:top="628"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5"/>
          <w:szCs w:val="15"/>
          <w:color w:val="auto"/>
        </w:rPr>
        <w:t>Jack Liu</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Executive Vice President,</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Financial Officer and</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Chief Accounting Officer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type w:val="continuous"/>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51"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DEC-31-2000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JAN-01-2000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MAR-31-2000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4,299,436</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2,542,726</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(88,542)</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1,306,558</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8,711,894</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9,683,266</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(6,187,818)</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15,172,481</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3,330,586</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1,850,160</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5,989,676</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15,172,481</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997,984</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2,137,442</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596,762</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1,633,623</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401,381</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10,768</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63,096</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178,548</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42,390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136,158</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136,158</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0.24</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0.24</w:t>
      </w:r>
    </w:p>
    <w:sectPr>
      <w:pgSz w:w="11900" w:h="16838" w:orient="portrait"/>
      <w:cols w:equalWidth="0" w:num="1">
        <w:col w:w="10199"/>
      </w:cols>
      <w:pgMar w:left="2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2019-12-13T06:37:27Z</dcterms:created>
  <dcterms:modified xsi:type="dcterms:W3CDTF">2019-12-13T06:37:27Z</dcterms:modified>
</cp:coreProperties>
</file>