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203835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4, 2019</w:t>
      </w:r>
    </w:p>
    <w:p>
      <w:pPr>
        <w:spacing w:after="0" w:line="271" w:lineRule="exact"/>
        <w:rPr>
          <w:sz w:val="24"/>
          <w:szCs w:val="24"/>
          <w:color w:val="auto"/>
        </w:rPr>
      </w:pPr>
    </w:p>
    <w:p>
      <w:pPr>
        <w:jc w:val="center"/>
        <w:ind w:right="340"/>
        <w:spacing w:after="0"/>
        <w:rPr>
          <w:sz w:val="20"/>
          <w:szCs w:val="20"/>
          <w:color w:val="auto"/>
        </w:rPr>
      </w:pPr>
      <w:r>
        <w:rPr>
          <w:rFonts w:ascii="Arial" w:cs="Arial" w:eastAsia="Arial" w:hAnsi="Arial"/>
          <w:sz w:val="43"/>
          <w:szCs w:val="43"/>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-294640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193675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192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2"/>
              </w:rPr>
              <w:t>1-4601</w:t>
            </w:r>
          </w:p>
        </w:tc>
        <w:tc>
          <w:tcPr>
            <w:tcW w:w="1560" w:type="dxa"/>
            <w:vAlign w:val="bottom"/>
          </w:tcPr>
          <w:p>
            <w:pPr>
              <w:jc w:val="center"/>
              <w:ind w:left="362"/>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19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56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1920" w:type="dxa"/>
            <w:vAlign w:val="bottom"/>
          </w:tcPr>
          <w:p>
            <w:pPr>
              <w:spacing w:after="0"/>
              <w:rPr>
                <w:sz w:val="24"/>
                <w:szCs w:val="24"/>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6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60" w:type="dxa"/>
            <w:vAlign w:val="bottom"/>
          </w:tcPr>
          <w:p>
            <w:pPr>
              <w:spacing w:after="0"/>
              <w:rPr>
                <w:sz w:val="18"/>
                <w:szCs w:val="18"/>
                <w:color w:val="auto"/>
              </w:rPr>
            </w:pPr>
          </w:p>
        </w:tc>
      </w:tr>
      <w:tr>
        <w:trPr>
          <w:trHeight w:val="212"/>
        </w:trPr>
        <w:tc>
          <w:tcPr>
            <w:tcW w:w="192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60" w:type="dxa"/>
            <w:vAlign w:val="bottom"/>
          </w:tcPr>
          <w:p>
            <w:pPr>
              <w:spacing w:after="0"/>
              <w:rPr>
                <w:sz w:val="18"/>
                <w:szCs w:val="18"/>
                <w:color w:val="auto"/>
              </w:rPr>
            </w:pPr>
          </w:p>
        </w:tc>
      </w:tr>
      <w:tr>
        <w:trPr>
          <w:trHeight w:val="186"/>
        </w:trPr>
        <w:tc>
          <w:tcPr>
            <w:tcW w:w="1920" w:type="dxa"/>
            <w:vAlign w:val="bottom"/>
          </w:tcPr>
          <w:p>
            <w:pPr>
              <w:spacing w:after="0"/>
              <w:rPr>
                <w:sz w:val="16"/>
                <w:szCs w:val="16"/>
                <w:color w:val="auto"/>
              </w:rPr>
            </w:pPr>
          </w:p>
        </w:tc>
        <w:tc>
          <w:tcPr>
            <w:tcW w:w="5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60" w:type="dxa"/>
            <w:vAlign w:val="bottom"/>
          </w:tcPr>
          <w:p>
            <w:pPr>
              <w:spacing w:after="0"/>
              <w:rPr>
                <w:sz w:val="16"/>
                <w:szCs w:val="16"/>
                <w:color w:val="auto"/>
              </w:rPr>
            </w:pPr>
          </w:p>
        </w:tc>
      </w:tr>
    </w:tbl>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197485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2.06</w:t>
      </w:r>
      <w:r>
        <w:rPr>
          <w:sz w:val="20"/>
          <w:szCs w:val="20"/>
          <w:color w:val="auto"/>
        </w:rPr>
        <w:tab/>
      </w:r>
      <w:r>
        <w:rPr>
          <w:rFonts w:ascii="Arial" w:cs="Arial" w:eastAsia="Arial" w:hAnsi="Arial"/>
          <w:sz w:val="17"/>
          <w:szCs w:val="17"/>
          <w:b w:val="1"/>
          <w:bCs w:val="1"/>
          <w:color w:val="auto"/>
        </w:rPr>
        <w:t>Material Impairments.</w:t>
      </w:r>
    </w:p>
    <w:p>
      <w:pPr>
        <w:spacing w:after="0" w:line="12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As a result of the effects of current market valuations as well as various strategic decisions, Schlumberger Limited (“Schlumberger”) expects that it will, during the third quarter of 2019, record material non-cash impairment charges relating to goodwill, intangible assets and fixed assets. At the time of the filing of this Current Report on Form 8-K, Schlumberger is unable, in good faith, to make a determination of the amount or range of amounts of such impairment charges.</w:t>
      </w:r>
    </w:p>
    <w:p>
      <w:pPr>
        <w:spacing w:after="0" w:line="29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On September 4, 2019, Olivier Le Peuch, Chief Executive Officer of Schlumberger, presented at the Barclays CEO Energy-Power Conference in New York, New York, and provided, among other things, a financial and operational update. The presentation and slides are available on the Schlumberger Investor Relations website at http://www.slb.com/news/presentations.aspx and http://investorcenter.slb.com/phoenix.zhtml? c=97513&amp;p=irol-presentations.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This Form 8-K and 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financial and performance targets and other forecasts or expectations regarding, or dependent on, our business outlook; our expectations regarding the estimated amount of any impairment charge; our expectations regarding the amount of cash expenditures estimated to be incurred as a result of any impairment charge; the growth for Schlumberger as a whole and for each of our product lines (and for specified products or geographic areas within each product line); oil and natural gas demand and production growth; oil and natural gas prices; pricing; access to raw materials; improvements in operating procedures and technology; capital expenditures by Schlumberger, as well as by the oil and gas industry; the business strategies of Schlumberger’s customers; Schlumberger’s acquisitions, joint ventures and alliances, as well as divestitures;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our inability to sufficiently monetize assets; general economic, political and business conditions in key regions of the world; foreign currency risk; pricing pressure; weather and seasonal factors; availability and cost of raw materials; our inability to meet our financial and performance targets and other forecasts or expectations; operational modifications, delays or cancellations; production declines; changes in government regulations and regulatory requirements,</w:t>
      </w:r>
    </w:p>
    <w:p>
      <w:pPr>
        <w:sectPr>
          <w:pgSz w:w="11900" w:h="16838" w:orient="portrait"/>
          <w:cols w:equalWidth="0" w:num="1">
            <w:col w:w="11020"/>
          </w:cols>
          <w:pgMar w:left="440" w:top="297" w:right="439" w:bottom="1440" w:gutter="0" w:footer="0" w:header="0"/>
        </w:sectPr>
      </w:pPr>
    </w:p>
    <w:bookmarkStart w:id="2" w:name="page3"/>
    <w:bookmarkEnd w:id="2"/>
    <w:p>
      <w:pPr>
        <w:ind w:right="12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w:t>
      </w:r>
    </w:p>
    <w:p>
      <w:pPr>
        <w:spacing w:after="0" w:line="295" w:lineRule="auto"/>
        <w:rPr>
          <w:sz w:val="20"/>
          <w:szCs w:val="20"/>
          <w:color w:val="auto"/>
        </w:rPr>
      </w:pPr>
      <w:r>
        <w:rPr>
          <w:rFonts w:ascii="Arial" w:cs="Arial" w:eastAsia="Arial" w:hAnsi="Arial"/>
          <w:sz w:val="16"/>
          <w:szCs w:val="16"/>
          <w:color w:val="auto"/>
        </w:rPr>
        <w:t>Forms 10-K, 10-Q, and 8-K filed with or furnished to the SEC.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referred to above,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301" w:right="4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2019</w:t>
      </w:r>
    </w:p>
    <w:sectPr>
      <w:pgSz w:w="11900" w:h="16838" w:orient="portrait"/>
      <w:cols w:equalWidth="0" w:num="1">
        <w:col w:w="10960"/>
      </w:cols>
      <w:pgMar w:left="440" w:top="29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2019-11-29T12:20:36Z</dcterms:created>
  <dcterms:modified xsi:type="dcterms:W3CDTF">2019-11-29T12:20:36Z</dcterms:modified>
</cp:coreProperties>
</file>