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200" w:right="1840" w:hanging="3746"/>
        <w:spacing w:after="0" w:line="329" w:lineRule="auto"/>
        <w:tabs>
          <w:tab w:leader="none" w:pos="90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fiscal year ended December 31, 2006</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4"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177800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36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1-4601</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8"/>
              </w:rPr>
              <w:t>Netherlands Antilles</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52-0684746</w:t>
            </w:r>
          </w:p>
        </w:tc>
      </w:tr>
      <w:tr>
        <w:trPr>
          <w:trHeight w:val="216"/>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9"/>
              </w:rPr>
              <w:t>(State or other jurisdiction of</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91"/>
              </w:rPr>
              <w:t>(IRS Employer Identification No.)</w:t>
            </w:r>
          </w:p>
        </w:tc>
      </w:tr>
      <w:tr>
        <w:trPr>
          <w:trHeight w:val="228"/>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incorporation or organization)</w:t>
            </w:r>
          </w:p>
        </w:tc>
        <w:tc>
          <w:tcPr>
            <w:tcW w:w="4040" w:type="dxa"/>
            <w:vAlign w:val="bottom"/>
          </w:tcPr>
          <w:p>
            <w:pPr>
              <w:spacing w:after="0"/>
              <w:rPr>
                <w:sz w:val="19"/>
                <w:szCs w:val="19"/>
                <w:color w:val="auto"/>
              </w:rPr>
            </w:pPr>
          </w:p>
        </w:tc>
      </w:tr>
      <w:tr>
        <w:trPr>
          <w:trHeight w:val="325"/>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8"/>
              </w:rPr>
              <w:t>5599 San Felipe, 17th Floor</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77056</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7"/>
              </w:rPr>
              <w:t>Houston, Texas, United States of America</w:t>
            </w:r>
          </w:p>
        </w:tc>
        <w:tc>
          <w:tcPr>
            <w:tcW w:w="4040" w:type="dxa"/>
            <w:vAlign w:val="bottom"/>
          </w:tcPr>
          <w:p>
            <w:pPr>
              <w:spacing w:after="0"/>
              <w:rPr>
                <w:sz w:val="19"/>
                <w:szCs w:val="19"/>
                <w:color w:val="auto"/>
              </w:rPr>
            </w:pPr>
          </w:p>
        </w:tc>
      </w:tr>
      <w:tr>
        <w:trPr>
          <w:trHeight w:val="325"/>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9"/>
              </w:rPr>
              <w:t>42, rue Saint-Dominique</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75007</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8"/>
              </w:rPr>
              <w:t>Paris, France</w:t>
            </w:r>
          </w:p>
        </w:tc>
        <w:tc>
          <w:tcPr>
            <w:tcW w:w="4040" w:type="dxa"/>
            <w:vAlign w:val="bottom"/>
          </w:tcPr>
          <w:p>
            <w:pPr>
              <w:spacing w:after="0"/>
              <w:rPr>
                <w:sz w:val="19"/>
                <w:szCs w:val="19"/>
                <w:color w:val="auto"/>
              </w:rPr>
            </w:pPr>
          </w:p>
        </w:tc>
      </w:tr>
      <w:tr>
        <w:trPr>
          <w:trHeight w:val="325"/>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Parkstraat 83, The Hague,</w:t>
            </w:r>
          </w:p>
        </w:tc>
        <w:tc>
          <w:tcPr>
            <w:tcW w:w="4040" w:type="dxa"/>
            <w:vAlign w:val="bottom"/>
          </w:tcPr>
          <w:p>
            <w:pPr>
              <w:spacing w:after="0"/>
              <w:rPr>
                <w:sz w:val="24"/>
                <w:szCs w:val="24"/>
                <w:color w:val="auto"/>
              </w:rPr>
            </w:pPr>
          </w:p>
        </w:tc>
      </w:tr>
      <w:tr>
        <w:trPr>
          <w:trHeight w:val="230"/>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The Netherlands</w:t>
            </w:r>
          </w:p>
        </w:tc>
        <w:tc>
          <w:tcPr>
            <w:tcW w:w="4040" w:type="dxa"/>
            <w:vAlign w:val="bottom"/>
          </w:tcPr>
          <w:p>
            <w:pPr>
              <w:jc w:val="center"/>
              <w:ind w:left="1412"/>
              <w:spacing w:after="0"/>
              <w:rPr>
                <w:sz w:val="20"/>
                <w:szCs w:val="20"/>
                <w:color w:val="auto"/>
              </w:rPr>
            </w:pPr>
            <w:r>
              <w:rPr>
                <w:rFonts w:ascii="Arial" w:cs="Arial" w:eastAsia="Arial" w:hAnsi="Arial"/>
                <w:sz w:val="18"/>
                <w:szCs w:val="18"/>
                <w:b w:val="1"/>
                <w:bCs w:val="1"/>
                <w:color w:val="auto"/>
                <w:w w:val="89"/>
              </w:rPr>
              <w:t>2514 JG</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5"/>
              </w:rPr>
              <w:t>(Addresses of principal executive offices)</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8"/>
              </w:rPr>
              <w:t>(Zip Codes)</w:t>
            </w:r>
          </w:p>
        </w:tc>
      </w:tr>
    </w:tbl>
    <w:p>
      <w:pPr>
        <w:spacing w:after="0" w:line="6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 the United States, including area code, is:</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(713) 513-2000</w:t>
      </w:r>
    </w:p>
    <w:p>
      <w:pPr>
        <w:spacing w:after="0" w:line="7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144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3740" w:type="dxa"/>
            <w:vAlign w:val="bottom"/>
            <w:gridSpan w:val="2"/>
          </w:tcPr>
          <w:p>
            <w:pPr>
              <w:jc w:val="center"/>
              <w:ind w:right="2540"/>
              <w:spacing w:after="0"/>
              <w:rPr>
                <w:sz w:val="20"/>
                <w:szCs w:val="20"/>
                <w:color w:val="auto"/>
              </w:rPr>
            </w:pPr>
            <w:r>
              <w:rPr>
                <w:rFonts w:ascii="Arial" w:cs="Arial" w:eastAsia="Arial" w:hAnsi="Arial"/>
                <w:sz w:val="14"/>
                <w:szCs w:val="14"/>
                <w:b w:val="1"/>
                <w:bCs w:val="1"/>
                <w:color w:val="auto"/>
                <w:w w:val="82"/>
              </w:rPr>
              <w:t>Title of each class</w:t>
            </w:r>
          </w:p>
        </w:tc>
        <w:tc>
          <w:tcPr>
            <w:tcW w:w="2960" w:type="dxa"/>
            <w:vAlign w:val="bottom"/>
          </w:tcPr>
          <w:p>
            <w:pPr>
              <w:spacing w:after="0"/>
              <w:rPr>
                <w:sz w:val="20"/>
                <w:szCs w:val="20"/>
                <w:color w:val="auto"/>
              </w:rPr>
            </w:pPr>
            <w:r>
              <w:rPr>
                <w:rFonts w:ascii="Arial" w:cs="Arial" w:eastAsia="Arial" w:hAnsi="Arial"/>
                <w:sz w:val="14"/>
                <w:szCs w:val="14"/>
                <w:b w:val="1"/>
                <w:bCs w:val="1"/>
                <w:color w:val="auto"/>
                <w:w w:val="99"/>
              </w:rPr>
              <w:t>Name of each exchange on which registered</w:t>
            </w:r>
          </w:p>
        </w:tc>
      </w:tr>
      <w:tr>
        <w:trPr>
          <w:trHeight w:val="95"/>
        </w:trPr>
        <w:tc>
          <w:tcPr>
            <w:tcW w:w="8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r>
      <w:tr>
        <w:trPr>
          <w:trHeight w:val="309"/>
        </w:trPr>
        <w:tc>
          <w:tcPr>
            <w:tcW w:w="4620" w:type="dxa"/>
            <w:vAlign w:val="bottom"/>
            <w:gridSpan w:val="3"/>
          </w:tcPr>
          <w:p>
            <w:pPr>
              <w:jc w:val="center"/>
              <w:ind w:right="1660"/>
              <w:spacing w:after="0"/>
              <w:rPr>
                <w:sz w:val="20"/>
                <w:szCs w:val="20"/>
                <w:color w:val="auto"/>
              </w:rPr>
            </w:pPr>
            <w:r>
              <w:rPr>
                <w:rFonts w:ascii="Arial" w:cs="Arial" w:eastAsia="Arial" w:hAnsi="Arial"/>
                <w:sz w:val="18"/>
                <w:szCs w:val="18"/>
                <w:color w:val="auto"/>
                <w:w w:val="87"/>
              </w:rPr>
              <w:t>Common Stock, par value $0.01 per share</w:t>
            </w:r>
          </w:p>
        </w:tc>
        <w:tc>
          <w:tcPr>
            <w:tcW w:w="296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Euronext Paris</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Euronext Amsterdam</w:t>
            </w:r>
          </w:p>
        </w:tc>
      </w:tr>
      <w:tr>
        <w:trPr>
          <w:trHeight w:val="216"/>
        </w:trPr>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The London Stock Exchange</w:t>
            </w:r>
          </w:p>
        </w:tc>
      </w:tr>
      <w:tr>
        <w:trPr>
          <w:trHeight w:val="222"/>
        </w:trPr>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SWX Swiss Exchange</w:t>
            </w: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pacing w:after="0" w:line="44" w:lineRule="exact"/>
        <w:rPr>
          <w:sz w:val="24"/>
          <w:szCs w:val="24"/>
          <w:color w:val="auto"/>
        </w:rPr>
      </w:pPr>
    </w:p>
    <w:p>
      <w:pPr>
        <w:ind w:right="1820"/>
        <w:spacing w:after="0" w:line="34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40"/>
        <w:spacing w:after="0" w:line="295" w:lineRule="auto"/>
        <w:rPr>
          <w:sz w:val="20"/>
          <w:szCs w:val="20"/>
          <w:color w:val="auto"/>
        </w:rPr>
      </w:pPr>
      <w:r>
        <w:rPr>
          <w:rFonts w:ascii="Arial" w:cs="Arial" w:eastAsia="Arial" w:hAnsi="Arial"/>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333" w:lineRule="exact"/>
        <w:rPr>
          <w:sz w:val="20"/>
          <w:szCs w:val="20"/>
          <w:color w:val="auto"/>
        </w:rPr>
      </w:pPr>
      <w:r>
        <w:rPr>
          <w:rFonts w:ascii="Arial" w:cs="Arial" w:eastAsia="Arial" w:hAnsi="Arial"/>
          <w:sz w:val="18"/>
          <w:szCs w:val="18"/>
          <w:color w:val="auto"/>
        </w:rPr>
        <w:t xml:space="preserve">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27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60" w:hanging="252"/>
        <w:spacing w:after="0" w:line="291"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29"/>
          <w:szCs w:val="29"/>
          <w:color w:val="auto"/>
          <w:vertAlign w:val="superscript"/>
        </w:rPr>
        <w:t>☐</w:t>
      </w:r>
    </w:p>
    <w:p>
      <w:pPr>
        <w:spacing w:after="0" w:line="42" w:lineRule="exact"/>
        <w:rPr>
          <w:sz w:val="24"/>
          <w:szCs w:val="24"/>
          <w:color w:val="auto"/>
        </w:rPr>
      </w:pPr>
    </w:p>
    <w:p>
      <w:pPr>
        <w:ind w:right="200"/>
        <w:spacing w:after="0" w:line="267"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See definition of “accelerated filer and large accelerated filer”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26"/>
          <w:szCs w:val="26"/>
          <w:color w:val="auto"/>
          <w:vertAlign w:val="superscript"/>
        </w:rPr>
        <w:t>☐</w:t>
      </w:r>
      <w:r>
        <w:rPr>
          <w:rFonts w:ascii="Arial" w:cs="Arial" w:eastAsia="Arial" w:hAnsi="Arial"/>
          <w:sz w:val="16"/>
          <w:szCs w:val="16"/>
          <w:color w:val="auto"/>
        </w:rPr>
        <w:t xml:space="preserve"> Non-accelerated filer </w:t>
      </w:r>
      <w:r>
        <w:rPr>
          <w:rFonts w:ascii="MS PGothic" w:cs="MS PGothic" w:eastAsia="MS PGothic" w:hAnsi="MS PGothic"/>
          <w:sz w:val="26"/>
          <w:szCs w:val="26"/>
          <w:color w:val="auto"/>
          <w:vertAlign w:val="superscript"/>
        </w:rPr>
        <w:t>☐</w:t>
      </w:r>
    </w:p>
    <w:p>
      <w:pPr>
        <w:spacing w:after="0" w:line="33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6"/>
          <w:szCs w:val="16"/>
          <w:color w:val="auto"/>
        </w:rPr>
        <w:t>As of June 30, 2006, the aggregate market value of the common stock of the registrant held by non-affiliates of the registrant was approximately $74.9 billion.</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2007, Number of Shares of Common Stock Outstanding: 1,178,543,838.</w:t>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Portions of the following document have been incorporated herein by reference into Part III of this Form 10-K: Definitive Proxy Statement for the 2007 Annual General Meeting of Stockholders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40" w:type="dxa"/>
            <w:vAlign w:val="bottom"/>
            <w:gridSpan w:val="12"/>
          </w:tcPr>
          <w:p>
            <w:pPr>
              <w:jc w:val="center"/>
              <w:ind w:right="3620"/>
              <w:spacing w:after="0"/>
              <w:rPr>
                <w:sz w:val="20"/>
                <w:szCs w:val="20"/>
                <w:color w:val="auto"/>
              </w:rPr>
            </w:pPr>
            <w:r>
              <w:rPr>
                <w:rFonts w:ascii="Arial" w:cs="Arial" w:eastAsia="Arial" w:hAnsi="Arial"/>
                <w:sz w:val="18"/>
                <w:szCs w:val="18"/>
                <w:color w:val="auto"/>
                <w:w w:val="95"/>
              </w:rPr>
              <w:t>SCHLUMBERGER LIMITED</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60" w:type="dxa"/>
            <w:vAlign w:val="bottom"/>
            <w:gridSpan w:val="10"/>
          </w:tcPr>
          <w:p>
            <w:pPr>
              <w:jc w:val="center"/>
              <w:ind w:right="4680"/>
              <w:spacing w:after="0"/>
              <w:rPr>
                <w:sz w:val="20"/>
                <w:szCs w:val="20"/>
                <w:color w:val="auto"/>
              </w:rPr>
            </w:pPr>
            <w:r>
              <w:rPr>
                <w:rFonts w:ascii="Arial" w:cs="Arial" w:eastAsia="Arial" w:hAnsi="Arial"/>
                <w:sz w:val="18"/>
                <w:szCs w:val="18"/>
                <w:color w:val="auto"/>
                <w:w w:val="87"/>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60" w:type="dxa"/>
            <w:vAlign w:val="bottom"/>
            <w:gridSpan w:val="10"/>
          </w:tcPr>
          <w:p>
            <w:pPr>
              <w:jc w:val="center"/>
              <w:ind w:right="4680"/>
              <w:spacing w:after="0"/>
              <w:rPr>
                <w:sz w:val="20"/>
                <w:szCs w:val="20"/>
                <w:color w:val="auto"/>
              </w:rPr>
            </w:pPr>
            <w:r>
              <w:rPr>
                <w:rFonts w:ascii="Arial" w:cs="Arial" w:eastAsia="Arial" w:hAnsi="Arial"/>
                <w:sz w:val="24"/>
                <w:szCs w:val="24"/>
                <w:b w:val="1"/>
                <w:bCs w:val="1"/>
                <w:color w:val="auto"/>
                <w:w w:val="97"/>
              </w:rPr>
              <w:t>Form 10-K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9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9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9240" w:type="dxa"/>
            <w:vAlign w:val="bottom"/>
            <w:gridSpan w:val="22"/>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4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Unresolved Staff Comments</w:t>
              </w:r>
            </w:hyperlink>
          </w:p>
        </w:tc>
        <w:tc>
          <w:tcPr>
            <w:tcW w:w="72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Properties</w:t>
              </w:r>
            </w:hyperlink>
          </w:p>
        </w:tc>
        <w:tc>
          <w:tcPr>
            <w:tcW w:w="85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2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Legal Proceedings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Submission of Matters to a Vote of Security 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44"/>
        </w:trPr>
        <w:tc>
          <w:tcPr>
            <w:tcW w:w="1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9240" w:type="dxa"/>
            <w:vAlign w:val="bottom"/>
            <w:gridSpan w:val="22"/>
          </w:tcPr>
          <w:p>
            <w:pPr>
              <w:spacing w:after="0" w:line="184" w:lineRule="exact"/>
              <w:rPr>
                <w:rFonts w:ascii="Arial" w:cs="Arial" w:eastAsia="Arial" w:hAnsi="Arial"/>
                <w:sz w:val="18"/>
                <w:szCs w:val="18"/>
                <w:color w:val="0000EE"/>
              </w:rPr>
            </w:pPr>
            <w:hyperlink w:anchor="page11">
              <w:r>
                <w:rPr>
                  <w:rFonts w:ascii="Arial" w:cs="Arial" w:eastAsia="Arial" w:hAnsi="Arial"/>
                  <w:sz w:val="18"/>
                  <w:szCs w:val="18"/>
                  <w:color w:val="0000EE"/>
                </w:rPr>
                <w:t>Market for Schlumberger’s Common Stock, Related Stockholder Matters and Issuer Purchases of Equity Securities</w:t>
              </w:r>
            </w:hyperlink>
          </w:p>
        </w:tc>
        <w:tc>
          <w:tcPr>
            <w:tcW w:w="3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Selected Financial Data</w:t>
              </w:r>
            </w:hyperlink>
          </w:p>
        </w:tc>
        <w:tc>
          <w:tcPr>
            <w:tcW w:w="11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Management’s Discussion and Analysis of Financial Condition and Results of Operations</w:t>
              </w:r>
            </w:hyperlink>
          </w:p>
        </w:tc>
        <w:tc>
          <w:tcPr>
            <w:tcW w:w="29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Quantitative and Qualitative Disclosures About Market Risk</w:t>
              </w:r>
            </w:hyperlink>
          </w:p>
        </w:tc>
        <w:tc>
          <w:tcPr>
            <w:tcW w:w="498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240" w:type="dxa"/>
            <w:vAlign w:val="bottom"/>
            <w:gridSpan w:val="2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Financial Statements and Supplementary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240" w:type="dxa"/>
            <w:vAlign w:val="bottom"/>
            <w:gridSpan w:val="2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Changes in and Disagreements With Accountants on Accounting and Financial Disclosure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3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p>
        </w:tc>
        <w:tc>
          <w:tcPr>
            <w:tcW w:w="29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752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44"/>
        </w:trPr>
        <w:tc>
          <w:tcPr>
            <w:tcW w:w="19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9240" w:type="dxa"/>
            <w:vAlign w:val="bottom"/>
            <w:gridSpan w:val="22"/>
          </w:tcPr>
          <w:p>
            <w:pPr>
              <w:spacing w:after="0" w:line="184" w:lineRule="exact"/>
              <w:rPr>
                <w:rFonts w:ascii="Arial" w:cs="Arial" w:eastAsia="Arial" w:hAnsi="Arial"/>
                <w:sz w:val="18"/>
                <w:szCs w:val="18"/>
                <w:color w:val="0000EE"/>
              </w:rPr>
            </w:pPr>
            <w:hyperlink w:anchor="page77">
              <w:r>
                <w:rPr>
                  <w:rFonts w:ascii="Arial" w:cs="Arial" w:eastAsia="Arial" w:hAnsi="Arial"/>
                  <w:sz w:val="18"/>
                  <w:szCs w:val="18"/>
                  <w:color w:val="0000EE"/>
                </w:rPr>
                <w:t>Directors and Executive Officers of Schlumberger</w:t>
              </w:r>
            </w:hyperlink>
          </w:p>
        </w:tc>
        <w:tc>
          <w:tcPr>
            <w:tcW w:w="3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6"/>
          </w:tcPr>
          <w:p>
            <w:pPr>
              <w:spacing w:after="0"/>
              <w:rPr>
                <w:sz w:val="17"/>
                <w:szCs w:val="17"/>
                <w:color w:val="auto"/>
              </w:rPr>
            </w:pPr>
          </w:p>
        </w:tc>
        <w:tc>
          <w:tcPr>
            <w:tcW w:w="57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240" w:type="dxa"/>
            <w:vAlign w:val="bottom"/>
            <w:gridSpan w:val="2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Security Ownership of Certain Beneficial Owners and 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47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Transactions</w:t>
              </w:r>
            </w:hyperlink>
          </w:p>
        </w:tc>
        <w:tc>
          <w:tcPr>
            <w:tcW w:w="44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Accountant Fees and Services</w:t>
              </w:r>
            </w:hyperlink>
          </w:p>
        </w:tc>
        <w:tc>
          <w:tcPr>
            <w:tcW w:w="59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44"/>
        </w:trPr>
        <w:tc>
          <w:tcPr>
            <w:tcW w:w="19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90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9240" w:type="dxa"/>
            <w:vAlign w:val="bottom"/>
            <w:gridSpan w:val="22"/>
          </w:tcPr>
          <w:p>
            <w:pPr>
              <w:spacing w:after="0" w:line="184" w:lineRule="exact"/>
              <w:rPr>
                <w:rFonts w:ascii="Arial" w:cs="Arial" w:eastAsia="Arial" w:hAnsi="Arial"/>
                <w:sz w:val="18"/>
                <w:szCs w:val="18"/>
                <w:color w:val="0000EE"/>
              </w:rPr>
            </w:pPr>
            <w:hyperlink w:anchor="page79">
              <w:r>
                <w:rPr>
                  <w:rFonts w:ascii="Arial" w:cs="Arial" w:eastAsia="Arial" w:hAnsi="Arial"/>
                  <w:sz w:val="18"/>
                  <w:szCs w:val="18"/>
                  <w:color w:val="0000EE"/>
                </w:rPr>
                <w:t>Exhibits and Financial Statement Schedules</w:t>
              </w:r>
            </w:hyperlink>
          </w:p>
        </w:tc>
        <w:tc>
          <w:tcPr>
            <w:tcW w:w="30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w:anchor="page81">
              <w:r>
                <w:rPr>
                  <w:rFonts w:ascii="Arial" w:cs="Arial" w:eastAsia="Arial" w:hAnsi="Arial"/>
                  <w:sz w:val="18"/>
                  <w:szCs w:val="18"/>
                  <w:color w:val="0000EE"/>
                  <w:w w:val="83"/>
                </w:rPr>
                <w:t>Signatures</w:t>
              </w:r>
            </w:hyperlink>
          </w:p>
        </w:tc>
        <w:tc>
          <w:tcPr>
            <w:tcW w:w="2340" w:type="dxa"/>
            <w:vAlign w:val="bottom"/>
            <w:tcBorders>
              <w:top w:val="single" w:sz="8" w:color="0000EE"/>
            </w:tcBorders>
            <w:gridSpan w:val="9"/>
          </w:tcPr>
          <w:p>
            <w:pPr>
              <w:spacing w:after="0"/>
              <w:rPr>
                <w:sz w:val="17"/>
                <w:szCs w:val="17"/>
                <w:color w:val="auto"/>
              </w:rPr>
            </w:pPr>
          </w:p>
        </w:tc>
        <w:tc>
          <w:tcPr>
            <w:tcW w:w="61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9240" w:type="dxa"/>
            <w:vAlign w:val="bottom"/>
            <w:gridSpan w:val="22"/>
          </w:tcPr>
          <w:p>
            <w:pPr>
              <w:spacing w:after="0" w:line="196" w:lineRule="exact"/>
              <w:rPr>
                <w:sz w:val="20"/>
                <w:szCs w:val="20"/>
                <w:color w:val="auto"/>
              </w:rPr>
            </w:pPr>
            <w:r>
              <w:rPr>
                <w:rFonts w:ascii="Arial" w:cs="Arial" w:eastAsia="Arial" w:hAnsi="Arial"/>
                <w:sz w:val="18"/>
                <w:szCs w:val="18"/>
                <w:color w:val="0000EE"/>
              </w:rPr>
              <w:t>Certifications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190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herein to “Registrant”, “Company” and “Schlumberger” refer to Schlumberger Limited and its consolidated subsidiaries.</w:t>
      </w:r>
    </w:p>
    <w:p>
      <w:pPr>
        <w:spacing w:after="0" w:line="15" w:lineRule="exact"/>
        <w:rPr>
          <w:sz w:val="20"/>
          <w:szCs w:val="20"/>
          <w:color w:val="auto"/>
        </w:rPr>
      </w:pPr>
    </w:p>
    <w:p>
      <w:pPr>
        <w:ind w:firstLine="228"/>
        <w:spacing w:after="0" w:line="252" w:lineRule="auto"/>
        <w:rPr>
          <w:sz w:val="20"/>
          <w:szCs w:val="20"/>
          <w:color w:val="auto"/>
        </w:rPr>
      </w:pPr>
      <w:r>
        <w:rPr>
          <w:rFonts w:ascii="Arial" w:cs="Arial" w:eastAsia="Arial" w:hAnsi="Arial"/>
          <w:sz w:val="18"/>
          <w:szCs w:val="18"/>
          <w:color w:val="auto"/>
        </w:rPr>
        <w:t>Founded in 1926, Schlumberger is the world’s leading oilfield services company, supplying technology, project management and information solutions that optimize performance in the oil and gas industry. As of December 31, 2006, the Company employed approximately 70,000 people of over 140 nationalities operating in approximately 80 countries. Schlumberger has principal executive offices in Houston, Paris, and The Hague and consists of two business segments – Schlumberger Oilfield Services and WesternGeco. Schlumberger Oilfield Services is the world's premier oilfield services company supplying a wide range of technology services and solutions to the international petroleum industry. WesternGeco is the world's largest and most technologically advanced surface seismic company.</w:t>
      </w:r>
    </w:p>
    <w:p>
      <w:pPr>
        <w:spacing w:after="0" w:line="1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 xml:space="preserve">Schlumberger Oilfield Services </w:t>
      </w:r>
      <w:r>
        <w:rPr>
          <w:rFonts w:ascii="Arial" w:cs="Arial" w:eastAsia="Arial" w:hAnsi="Arial"/>
          <w:sz w:val="16"/>
          <w:szCs w:val="16"/>
          <w:color w:val="auto"/>
        </w:rPr>
        <w:t>is the world’s leading provider of technology, project management and information solutions to the international oil and gas</w:t>
      </w:r>
      <w:r>
        <w:rPr>
          <w:rFonts w:ascii="Arial" w:cs="Arial" w:eastAsia="Arial" w:hAnsi="Arial"/>
          <w:sz w:val="16"/>
          <w:szCs w:val="16"/>
          <w:b w:val="1"/>
          <w:bCs w:val="1"/>
          <w:color w:val="auto"/>
        </w:rPr>
        <w:t xml:space="preserve"> </w:t>
      </w:r>
      <w:r>
        <w:rPr>
          <w:rFonts w:ascii="Arial" w:cs="Arial" w:eastAsia="Arial" w:hAnsi="Arial"/>
          <w:sz w:val="16"/>
          <w:szCs w:val="16"/>
          <w:color w:val="auto"/>
        </w:rPr>
        <w:t>exploration and production industry. Schlumberger Oilfield Services manages its business through 29 Oilfield Services GeoMarket* regions, which are grouped into four geographic areas: North America, Latin America, Europe/CIS/Africa and Middle East &amp; Asia. The GeoMarket structure offers customers a single point of contact at the local level for field operations and brings together geographically focused teams to meet local needs and deliver customized solutions.</w:t>
      </w:r>
    </w:p>
    <w:p>
      <w:pPr>
        <w:spacing w:after="0" w:line="3"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Schlumberger invented wireline logging as a technique for obtaining downhole data in oil and gas wells. Today, Schlumberger Oilfield Services operates in each of the major oilfield service markets, providing services that cover the entire life cycle of the reservoir. These services, in which Schlumberger holds a number of market leading positions, are organized into ten technology-based product and service lines, or Technologies, to capitalize on technical synergies and introduce innovative solutions within the GeoMarket regions. The Technologies are also responsible for overseeing operational processes, resource allocation, personnel and quality, health, safety, and environmental matters in the GeoMarket.</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Technologies are:</w:t>
      </w:r>
    </w:p>
    <w:p>
      <w:pPr>
        <w:spacing w:after="0" w:line="70" w:lineRule="exact"/>
        <w:rPr>
          <w:sz w:val="20"/>
          <w:szCs w:val="20"/>
          <w:color w:val="auto"/>
        </w:rPr>
      </w:pPr>
    </w:p>
    <w:p>
      <w:pPr>
        <w:ind w:left="780" w:right="3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Wireline – provides the information necessary to evaluate the subsurface formation rocks and fluids to plan and monitor well construction, and to monitor and evaluate production. Wireline offers both open-hole and cased-hole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Drilling &amp; Measurements – supplies directional drilling, measurements-while-drilling and logging-while-drilling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Well Testing – provides exploration and production well testing services. These include surface and downhole testing and perforating services.</w:t>
      </w:r>
    </w:p>
    <w:p>
      <w:pPr>
        <w:spacing w:after="0" w:line="126"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Well Services – provides services to construct oil and gas wells, as well as maintain optimal production through the life of an oil and gas field. These include pressure pumping, well stimulation services, coiled tubing, cementing and engineering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Completions – provides completion services, including intelligent well completions.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Artificial Lift – provides production optimization services using electrical submersible pumps and other artificial lift mechanisms.</w:t>
      </w:r>
    </w:p>
    <w:p>
      <w:pPr>
        <w:spacing w:after="0" w:line="103"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&amp; Consulting Services – supplies measurement, interpretation and integration of all exploration and production data types, as well as expert consulting services for reservoir characterization, production enhancement, field development planning, and multi-disciplinary reservoir and production solutions.</w:t>
      </w:r>
    </w:p>
    <w:p>
      <w:pPr>
        <w:spacing w:after="0" w:line="45"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Information Solutions – provides consulting, software, information management, and IT infrastructure services that support oil and gas industry core operational processes.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One other service line, Integrated Project Management (IPM), provides consulting, project management and engineering services for use in well construction and production management projects to leverage Schlumberger’s technology-based expertise.</w:t>
      </w:r>
    </w:p>
    <w:p>
      <w:pPr>
        <w:ind w:right="340" w:firstLine="228"/>
        <w:spacing w:after="0" w:line="250" w:lineRule="auto"/>
        <w:rPr>
          <w:sz w:val="20"/>
          <w:szCs w:val="20"/>
          <w:color w:val="auto"/>
        </w:rPr>
      </w:pPr>
      <w:r>
        <w:rPr>
          <w:rFonts w:ascii="Arial" w:cs="Arial" w:eastAsia="Arial" w:hAnsi="Arial"/>
          <w:sz w:val="18"/>
          <w:szCs w:val="18"/>
          <w:color w:val="auto"/>
        </w:rPr>
        <w:t>Supporting the ten Technologies are 20 research and development (R&amp;D) centers. Through this organization, Schlumberger is committed to advanced technology programs that enhance oilfield efficiency, lower finding and producing costs, improve productivity, maximize reserve recovery and increase asset value while accomplishing all of these goals in a safe and environmentally sound manner.</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Schlumberger Oilfield Services uses its own personnel to market its products and services.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are the principal methods of competition. Competition varies geographically with respect to the different services offered. While there are numerous competitors, both large and small, Schlumberger believes that it is an industry leader in providing wireline logging, well testing, measurement-while-drilling, logging-while-drilling and directional drilling services, as well as fully computerized logging and geoscience software and computing services. A large proportion of Schlumberger offerings are non-rig related; consequently, revenue does not necessarily correlate to rig count fluctuations.</w:t>
      </w:r>
    </w:p>
    <w:p>
      <w:pPr>
        <w:spacing w:after="0" w:line="3" w:lineRule="exact"/>
        <w:rPr>
          <w:sz w:val="20"/>
          <w:szCs w:val="20"/>
          <w:color w:val="auto"/>
        </w:rPr>
      </w:pPr>
    </w:p>
    <w:p>
      <w:pPr>
        <w:ind w:right="320" w:firstLine="228"/>
        <w:spacing w:after="0" w:line="317" w:lineRule="auto"/>
        <w:rPr>
          <w:sz w:val="20"/>
          <w:szCs w:val="20"/>
          <w:color w:val="auto"/>
        </w:rPr>
      </w:pPr>
      <w:r>
        <w:rPr>
          <w:rFonts w:ascii="Arial" w:cs="Arial" w:eastAsia="Arial" w:hAnsi="Arial"/>
          <w:sz w:val="16"/>
          <w:szCs w:val="16"/>
          <w:color w:val="auto"/>
        </w:rPr>
        <w:t>Schlumberger is a 40% owner in M-I Drilling Fluids, a joint venture with Smith International, which offers drilling and completion fluids used to stabilize subsurface rock strata during the drilling process and minimize formation damage during completion and workover operations.</w:t>
      </w:r>
    </w:p>
    <w:p>
      <w:pPr>
        <w:spacing w:after="0" w:line="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b w:val="1"/>
          <w:bCs w:val="1"/>
          <w:color w:val="auto"/>
        </w:rPr>
        <w:t xml:space="preserve">WesternGeco, </w:t>
      </w:r>
      <w:r>
        <w:rPr>
          <w:rFonts w:ascii="Arial" w:cs="Arial" w:eastAsia="Arial" w:hAnsi="Arial"/>
          <w:sz w:val="16"/>
          <w:szCs w:val="16"/>
          <w:color w:val="auto"/>
        </w:rPr>
        <w:t>the world’s most technologically advanced seismic company, provides comprehensive reservoir imaging, monitoring, and development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most extensive seismic crews and data processing centers in the industry, as well as a leading multiclient seismic library. Services range from 3D and time-lapse (4D) seismic surveys to multi-component surveys for delineating prospects and reservoir management. WesternGeco benefits from full access to the Schlumberger research, development and technology organization and shares similar business risks, opportunities for growth, principal methods of competition and means of marketing as Schlumberger Oilfield Services. Seismic solutions include proprietary Q* technology for enhanced reservoir description, characterization, and monitoring throughout the life of the field—from exploration through enhanced recovery. Other WesternGeco solutions include development of controlled-source electromagnetic and magneto-telluric surveys and their integration with seismic data.</w:t>
      </w:r>
    </w:p>
    <w:p>
      <w:pPr>
        <w:spacing w:after="0" w:line="1" w:lineRule="exact"/>
        <w:rPr>
          <w:sz w:val="20"/>
          <w:szCs w:val="20"/>
          <w:color w:val="auto"/>
        </w:rPr>
      </w:pPr>
    </w:p>
    <w:p>
      <w:pPr>
        <w:ind w:right="620" w:firstLine="228"/>
        <w:spacing w:after="0" w:line="261" w:lineRule="auto"/>
        <w:rPr>
          <w:sz w:val="20"/>
          <w:szCs w:val="20"/>
          <w:color w:val="auto"/>
        </w:rPr>
      </w:pPr>
      <w:r>
        <w:rPr>
          <w:rFonts w:ascii="Arial" w:cs="Arial" w:eastAsia="Arial" w:hAnsi="Arial"/>
          <w:sz w:val="18"/>
          <w:szCs w:val="18"/>
          <w:color w:val="auto"/>
        </w:rPr>
        <w:t>Positioned for meeting a full range of customer needs in land, marine and shallow-water transition-zone services, WesternGeco offers a wide scope of technologies and services:</w:t>
      </w:r>
    </w:p>
    <w:p>
      <w:pPr>
        <w:spacing w:after="0" w:line="43"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Land Seismic – provides comprehensive resources for seismic data acquisition on land and across shallow-water transition zones.</w:t>
      </w:r>
    </w:p>
    <w:p>
      <w:pPr>
        <w:spacing w:after="0" w:line="103" w:lineRule="exact"/>
        <w:rPr>
          <w:rFonts w:ascii="Arial" w:cs="Arial" w:eastAsia="Arial" w:hAnsi="Arial"/>
          <w:sz w:val="18"/>
          <w:szCs w:val="18"/>
          <w:color w:val="auto"/>
        </w:rPr>
      </w:pPr>
    </w:p>
    <w:p>
      <w:pPr>
        <w:ind w:left="780" w:right="6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Marine Seismic – provides industry-standard marine seismic acquisition and processing systems as well as a unique, industry-leading, fully calibrated single-sensor marine seismic system, delivering the seismic technology breakthrough needed for new-generation reservoir management.</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Multiclient Services – supplies high-quality seismic data from the multiclient data library.</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Reservoir Services – provides the people, tools and technology to help customers capture the benefits of a completely integrated approach to locating, defining and monitoring the reservoir.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Data Processing – offers extensive seismic data processing centers for complex processing projects.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on acquisitions made by Schlumberger or its subsidiaries appears in Note 4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Centers</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Research to support the engineering and development efforts of Schlumberger activities is conducted at Cambridge, Massachusetts, United States; Cambridge, England; Stavanger, Norway; Moscow, Russia; and Dhahran, Saudi Arabia.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While Schlumberger seeks and holds numerous patents, no particular patent or group of patents is considered material to Schlumberger’s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predominantly in the Northern Hemisphere, severe weather can temporarily affect the delivery of such services and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Backlog of Orders</w:t>
      </w:r>
    </w:p>
    <w:p>
      <w:pPr>
        <w:spacing w:after="0" w:line="7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single customer exceeded 10% of consolidated revenue. Oilfield Services has no significant backlog due to the nature of its business. The WesternGeco backlog at December 31, 2006, was $1.1 billion (2005: $790 million), the majority of which is expected to be realized in 2007.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No material portion of Schlumberger’s business is subject to renegotiation of profits or termination of contracts by the United States or other governments.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Schlumberger had approximately 70,000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7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 xml:space="preserve">Financial information by business segment for the years ended December 31, 2006, 2005 and 2004 is provided in Note 19 of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Schlumberger’s Internet website can be found at </w:t>
      </w:r>
      <w:r>
        <w:rPr>
          <w:rFonts w:ascii="Arial" w:cs="Arial" w:eastAsia="Arial" w:hAnsi="Arial"/>
          <w:sz w:val="16"/>
          <w:szCs w:val="16"/>
          <w:u w:val="single" w:color="auto"/>
          <w:color w:val="auto"/>
        </w:rPr>
        <w:t>www.slb.com</w:t>
      </w:r>
      <w:r>
        <w:rPr>
          <w:rFonts w:ascii="Arial" w:cs="Arial" w:eastAsia="Arial" w:hAnsi="Arial"/>
          <w:sz w:val="16"/>
          <w:szCs w:val="16"/>
          <w:color w:val="auto"/>
        </w:rPr>
        <w:t xml:space="preserve">. Schlumberger makes available free of charge on or through its Internet website at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access to its Annual Report on Form 10-K, Quarterly Reports on Form 10-Q, Current Reports on Form 8-K, its proxy statement and Forms 3, 4 and 5 filed on behalf of directors and executive officers and amendments to those reports as soon as reasonably practicable after such material is filed with or furnished to the Securities and Exchange Commission (“SEC”). Alternatively, you may access these reports at the SEC’s Internet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3" w:lineRule="exact"/>
        <w:rPr>
          <w:sz w:val="20"/>
          <w:szCs w:val="20"/>
          <w:color w:val="auto"/>
        </w:rPr>
      </w:pPr>
    </w:p>
    <w:p>
      <w:pPr>
        <w:ind w:firstLine="228"/>
        <w:spacing w:after="0" w:line="295" w:lineRule="auto"/>
        <w:rPr>
          <w:sz w:val="20"/>
          <w:szCs w:val="20"/>
          <w:color w:val="auto"/>
        </w:rPr>
      </w:pPr>
      <w:r>
        <w:rPr>
          <w:rFonts w:ascii="Arial" w:cs="Arial" w:eastAsia="Arial" w:hAnsi="Arial"/>
          <w:sz w:val="16"/>
          <w:szCs w:val="16"/>
          <w:color w:val="auto"/>
        </w:rPr>
        <w:t xml:space="preserve">Schlumberger’s corporate governance materials, including Board Committee Charters, Corporate Governance Guidelines and Code of Ethics, may also be found at </w:t>
      </w:r>
      <w:r>
        <w:rPr>
          <w:rFonts w:ascii="Arial" w:cs="Arial" w:eastAsia="Arial" w:hAnsi="Arial"/>
          <w:sz w:val="16"/>
          <w:szCs w:val="16"/>
          <w:u w:val="single" w:color="auto"/>
          <w:color w:val="auto"/>
        </w:rPr>
        <w:t>www.slb.com/ir</w:t>
      </w:r>
      <w:r>
        <w:rPr>
          <w:rFonts w:ascii="Arial" w:cs="Arial" w:eastAsia="Arial" w:hAnsi="Arial"/>
          <w:sz w:val="16"/>
          <w:szCs w:val="16"/>
          <w:color w:val="auto"/>
        </w:rPr>
        <w:t>. From time to time, corporate governance materials on our website may be updated to comply with rules issued by the SEC and the New York Stock Exchange (“NYSE”) or as desirable to promote the effective governance of Schlumberger. In addition, amendments to the Code of Ethics and any grant of a waiver from a provision of the Code of Ethics requiring disclosure under applicable SEC or NYSE rules will be disclosed on our website.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1,1A</w:t>
      </w:r>
    </w:p>
    <w:p>
      <w:pPr>
        <w:spacing w:after="0" w:line="206" w:lineRule="exact"/>
        <w:rPr>
          <w:sz w:val="20"/>
          <w:szCs w:val="20"/>
          <w:color w:val="auto"/>
        </w:rPr>
      </w:pPr>
    </w:p>
    <w:p>
      <w:pPr>
        <w:ind w:right="840" w:firstLine="228"/>
        <w:spacing w:after="0" w:line="253" w:lineRule="auto"/>
        <w:rPr>
          <w:sz w:val="20"/>
          <w:szCs w:val="20"/>
          <w:color w:val="auto"/>
        </w:rPr>
      </w:pPr>
      <w:r>
        <w:rPr>
          <w:rFonts w:ascii="Arial" w:cs="Arial" w:eastAsia="Arial" w:hAnsi="Arial"/>
          <w:sz w:val="18"/>
          <w:szCs w:val="18"/>
          <w:color w:val="auto"/>
        </w:rPr>
        <w:t>Any stockholder wishing to receive, without charge, a copy of any of the SEC filings or corporate governance materials should write the Secretary, Schlumberger Limited, 5599 San Felipe,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Houston, Texas 77056.</w:t>
      </w:r>
    </w:p>
    <w:p>
      <w:pPr>
        <w:spacing w:after="0" w:line="2" w:lineRule="exact"/>
        <w:rPr>
          <w:sz w:val="20"/>
          <w:szCs w:val="20"/>
          <w:color w:val="auto"/>
        </w:rPr>
      </w:pPr>
    </w:p>
    <w:p>
      <w:pPr>
        <w:jc w:val="both"/>
        <w:ind w:right="360" w:firstLine="228"/>
        <w:spacing w:after="0" w:line="278" w:lineRule="auto"/>
        <w:rPr>
          <w:sz w:val="20"/>
          <w:szCs w:val="20"/>
          <w:color w:val="auto"/>
        </w:rPr>
      </w:pPr>
      <w:r>
        <w:rPr>
          <w:rFonts w:ascii="Arial" w:cs="Arial" w:eastAsia="Arial" w:hAnsi="Arial"/>
          <w:sz w:val="16"/>
          <w:szCs w:val="16"/>
          <w:color w:val="auto"/>
        </w:rPr>
        <w:t>Schlumberger has filed the required certifications under Section 302 of the Sarbanes-Oxley Act of 2002 as Exhibits 31.1 and 31.2 to this Report. In 2006, Schlumberger submitted to the NYSE the CEO certification required by Section 303A.12(a) of the NYSE’s Listed Company Manual. In 2007, Schlumberger expects to submit this certification to the NYSE after the Annual General Meeting of Stockholders.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information on our website or any other website is not incorporated by reference in this Report.</w:t>
      </w:r>
    </w:p>
    <w:p>
      <w:pPr>
        <w:spacing w:after="0" w:line="1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55"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We urge you to carefully consider the risks described below and the other information in this Report. If any of the risks described below or elsewhere in this Report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presently known to us or that we currently deem immaterial may also adversely affect our business and operations.</w:t>
      </w:r>
    </w:p>
    <w:p>
      <w:pPr>
        <w:spacing w:after="0" w:line="93"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operating revenue.</w:t>
      </w:r>
    </w:p>
    <w:p>
      <w:pPr>
        <w:spacing w:after="0" w:line="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12"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energy, which is affected by worldwide population growth and general economic and business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or OPEC, to set and maintain production levels for oil;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85"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adversely impact our operating results.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1A</w:t>
      </w:r>
    </w:p>
    <w:p>
      <w:pPr>
        <w:spacing w:after="0" w:line="20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approximately 80 countries in which we operate.</w:t>
      </w:r>
    </w:p>
    <w:p>
      <w:pPr>
        <w:spacing w:after="0" w:line="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non-United States operations accounted for approximately 72% of our consolidated revenue in 2006, 75% in 2005 and 74% in 2004. Operations in countries other than the United States are subject to various risks, including:</w:t>
      </w:r>
    </w:p>
    <w:p>
      <w:pPr>
        <w:spacing w:after="0" w:line="3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possible expropriation or other governmental 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 and devaluations.</w:t>
      </w:r>
    </w:p>
    <w:p>
      <w:pPr>
        <w:spacing w:after="0" w:line="185"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In addition, we are subject to risks associated with our operations in countries, including Iran, Syria, Sudan and Cuba, which are subject to trade and economic sanctions or other restrictions imposed by the United States or other governments or organizations.</w:t>
      </w:r>
    </w:p>
    <w:p>
      <w:pPr>
        <w:ind w:left="240"/>
        <w:spacing w:after="0"/>
        <w:rPr>
          <w:sz w:val="20"/>
          <w:szCs w:val="20"/>
          <w:color w:val="auto"/>
        </w:rPr>
      </w:pPr>
      <w:r>
        <w:rPr>
          <w:rFonts w:ascii="Arial" w:cs="Arial" w:eastAsia="Arial" w:hAnsi="Arial"/>
          <w:sz w:val="18"/>
          <w:szCs w:val="18"/>
          <w:color w:val="auto"/>
        </w:rPr>
        <w:t>The occurrence of any of the risks described above could reduce our earnings and our cash available for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are subject to increasingly stringent laws and regulations relating to importation and use of hazardous materials, radioactive materials and explosives, environmental protection, including laws and regulations governing air emissions, water discharges and waste management. We incur, and expect to continue to incur, capital and operating costs to comply with environmental laws and regulations. The technical requirements of these laws and regulations are becoming increasingly expensive, complex and stringent. These laws may provide for “strict liability” for damages to natural resources or threats to public health and safety. Strict liability can render a party liable for damage without regard to negligence or fault on the part of the party. Some environmental laws provide for joint and several strict liability for remediation of spills and releases of hazardous substances.</w:t>
      </w:r>
    </w:p>
    <w:p>
      <w:pPr>
        <w:spacing w:after="0" w:line="1"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 We believe we are currently in substantial compliance with environmental laws and regulations.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8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Certain equipment used in the delivery of oilfield services, such as directional drilling equipment, perforating systems, subsea completion equipment, radioactive materials and explosives and well completion systems, are used in hostile environments, such as exploration, development and production applications. An accident or a failure of a product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maintain technology leadership in the form of services and products could affect any competitive advantage we hold.</w:t>
      </w:r>
    </w:p>
    <w:p>
      <w:pPr>
        <w:spacing w:after="0" w:line="83"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If we are unable to develop and produce competitive technology or deliver them to our clients in the form of services and products in a timely and cost-competitive manner in the various markets we serve, it could materially reduce our operating revenue and net income.</w:t>
      </w:r>
    </w:p>
    <w:p>
      <w:pPr>
        <w:spacing w:after="0" w:line="112"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United States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operating revenue. Additionally, developing non-infringing technologies would increase our costs.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Severe weather conditions may affect our operations</w:t>
      </w:r>
    </w:p>
    <w:p>
      <w:pPr>
        <w:spacing w:after="0" w:line="8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Our business may be materially affected by severe weather conditions in certain areas where we operate. This may entail the evacuation of personnel and stoppage of services. In addition, if particularly severe weather affects platforms or structures, this may result in a suspension of activities until the platforms or structures have been repaired. Any of these events may have a material adverse effect on our operating revenue.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1B,2,3,4</w:t>
      </w:r>
    </w:p>
    <w:p>
      <w:pPr>
        <w:spacing w:after="0" w:line="1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74" w:lineRule="exact"/>
        <w:rPr>
          <w:sz w:val="20"/>
          <w:szCs w:val="20"/>
          <w:color w:val="auto"/>
        </w:rPr>
      </w:pPr>
    </w:p>
    <w:p>
      <w:pPr>
        <w:ind w:right="560"/>
        <w:spacing w:after="0" w:line="303" w:lineRule="auto"/>
        <w:rPr>
          <w:sz w:val="20"/>
          <w:szCs w:val="20"/>
          <w:color w:val="auto"/>
        </w:rPr>
      </w:pPr>
      <w:r>
        <w:rPr>
          <w:rFonts w:ascii="Arial" w:cs="Arial" w:eastAsia="Arial" w:hAnsi="Arial"/>
          <w:sz w:val="15"/>
          <w:szCs w:val="15"/>
          <w:color w:val="auto"/>
        </w:rPr>
        <w:t>Schlumberger owns or leases manufacturing facilities, administrative offices, service centers, research centers, data processing centers, sales offices and warehouses throughout the world. No significant lease is scheduled to terminate in the near future, and Schlumberger believes comparable space is readily obtainable should any lease expire without renewal. Schlumberger believes its properties are generally well maintained and adequate for the intended use.</w:t>
      </w:r>
    </w:p>
    <w:p>
      <w:pPr>
        <w:spacing w:after="0" w:line="1"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Outside the United States the principal owned or leased facilities of Oilfield Services are located in Beijing, China; Clamart, France; Fuchinobe, Japan; Oslo, Norway; Singapore; and Abingdon, Cambridge and Stonehouse, United Kingdom. Within the United States, the principal owned or leased facilities of Oilfield Services are located in Boston, Massachusetts; and Houston, Rosharon and Sugar Land, Texas.</w:t>
      </w:r>
    </w:p>
    <w:p>
      <w:pPr>
        <w:spacing w:after="0" w:line="2"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The principal owned or leased facilities of WesternGeco are located in Bergen and Oslo, Norway; Gatwick, United Kingdom; Houston, Texas, United States; and Mumbai, India.</w:t>
      </w:r>
    </w:p>
    <w:p>
      <w:pPr>
        <w:spacing w:after="0" w:line="1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The information with respect to Item 3 is set forth in Note 18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Schlumberger’s security holders during the fourth quarter of the fiscal year covered by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Schlumberger</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Information with respect to the executive officers of Schlumberger and their ages as of February 15, 2007 is set forth below. The positions have been held for at least five years, except where stated.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right"/>
              <w:ind w:right="95"/>
              <w:spacing w:after="0"/>
              <w:rPr>
                <w:sz w:val="20"/>
                <w:szCs w:val="20"/>
                <w:color w:val="auto"/>
              </w:rPr>
            </w:pPr>
            <w:r>
              <w:rPr>
                <w:rFonts w:ascii="Arial" w:cs="Arial" w:eastAsia="Arial" w:hAnsi="Arial"/>
                <w:sz w:val="14"/>
                <w:szCs w:val="14"/>
                <w:b w:val="1"/>
                <w:bCs w:val="1"/>
                <w:color w:val="auto"/>
              </w:rPr>
              <w:t>Age</w:t>
            </w:r>
          </w:p>
        </w:tc>
        <w:tc>
          <w:tcPr>
            <w:tcW w:w="8080" w:type="dxa"/>
            <w:vAlign w:val="bottom"/>
          </w:tcPr>
          <w:p>
            <w:pPr>
              <w:ind w:left="16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2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r>
      <w:tr>
        <w:trPr>
          <w:trHeight w:val="417"/>
        </w:trPr>
        <w:tc>
          <w:tcPr>
            <w:tcW w:w="2140" w:type="dxa"/>
            <w:vAlign w:val="bottom"/>
          </w:tcPr>
          <w:p>
            <w:pPr>
              <w:spacing w:after="0"/>
              <w:rPr>
                <w:sz w:val="20"/>
                <w:szCs w:val="20"/>
                <w:color w:val="auto"/>
              </w:rPr>
            </w:pPr>
            <w:r>
              <w:rPr>
                <w:rFonts w:ascii="Arial" w:cs="Arial" w:eastAsia="Arial" w:hAnsi="Arial"/>
                <w:sz w:val="18"/>
                <w:szCs w:val="18"/>
                <w:color w:val="auto"/>
              </w:rPr>
              <w:t>Andrew Gould</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60</w:t>
            </w:r>
          </w:p>
        </w:tc>
        <w:tc>
          <w:tcPr>
            <w:tcW w:w="8080" w:type="dxa"/>
            <w:vAlign w:val="bottom"/>
          </w:tcPr>
          <w:p>
            <w:pPr>
              <w:ind w:left="160"/>
              <w:spacing w:after="0"/>
              <w:rPr>
                <w:sz w:val="20"/>
                <w:szCs w:val="20"/>
                <w:color w:val="auto"/>
              </w:rPr>
            </w:pPr>
            <w:r>
              <w:rPr>
                <w:rFonts w:ascii="Arial" w:cs="Arial" w:eastAsia="Arial" w:hAnsi="Arial"/>
                <w:sz w:val="18"/>
                <w:szCs w:val="18"/>
                <w:color w:val="auto"/>
                <w:w w:val="93"/>
              </w:rPr>
              <w:t>Chairman and Chief Executive Officer, since February 2003; President and Chief Operating Officer, March</w:t>
            </w:r>
          </w:p>
        </w:tc>
      </w:tr>
      <w:tr>
        <w:trPr>
          <w:trHeight w:val="222"/>
        </w:trPr>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6"/>
              </w:rPr>
              <w:t>2002 to February 2003; and Executive Vice President – Oilfield Services, January 1999 to March 2002.</w:t>
            </w:r>
          </w:p>
        </w:tc>
      </w:tr>
      <w:tr>
        <w:trPr>
          <w:trHeight w:val="318"/>
        </w:trPr>
        <w:tc>
          <w:tcPr>
            <w:tcW w:w="2140" w:type="dxa"/>
            <w:vAlign w:val="bottom"/>
          </w:tcPr>
          <w:p>
            <w:pPr>
              <w:spacing w:after="0"/>
              <w:rPr>
                <w:sz w:val="20"/>
                <w:szCs w:val="20"/>
                <w:color w:val="auto"/>
              </w:rPr>
            </w:pPr>
            <w:r>
              <w:rPr>
                <w:rFonts w:ascii="Arial" w:cs="Arial" w:eastAsia="Arial" w:hAnsi="Arial"/>
                <w:sz w:val="18"/>
                <w:szCs w:val="18"/>
                <w:color w:val="auto"/>
              </w:rPr>
              <w:t>Jean-Marc Perraud</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59</w:t>
            </w: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Executive Vice President and Chief Financial Officer, since March 2002; and Controller and Chief Accounting</w:t>
            </w:r>
          </w:p>
        </w:tc>
      </w:tr>
      <w:tr>
        <w:trPr>
          <w:trHeight w:val="216"/>
        </w:trPr>
        <w:tc>
          <w:tcPr>
            <w:tcW w:w="2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0"/>
              </w:rPr>
              <w:t>Officer, April 2001 to March 2002. Mr. Perraud will become Senior Financial Advisor to the Chairman effective</w:t>
            </w:r>
          </w:p>
        </w:tc>
      </w:tr>
      <w:tr>
        <w:trPr>
          <w:trHeight w:val="222"/>
        </w:trPr>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March 1, 2007.</w:t>
            </w:r>
          </w:p>
        </w:tc>
      </w:tr>
      <w:tr>
        <w:trPr>
          <w:trHeight w:val="318"/>
        </w:trPr>
        <w:tc>
          <w:tcPr>
            <w:tcW w:w="2140" w:type="dxa"/>
            <w:vAlign w:val="bottom"/>
          </w:tcPr>
          <w:p>
            <w:pPr>
              <w:spacing w:after="0"/>
              <w:rPr>
                <w:sz w:val="20"/>
                <w:szCs w:val="20"/>
                <w:color w:val="auto"/>
              </w:rPr>
            </w:pPr>
            <w:r>
              <w:rPr>
                <w:rFonts w:ascii="Arial" w:cs="Arial" w:eastAsia="Arial" w:hAnsi="Arial"/>
                <w:sz w:val="18"/>
                <w:szCs w:val="18"/>
                <w:color w:val="auto"/>
              </w:rPr>
              <w:t>Chakib Sbiti</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52</w:t>
            </w:r>
          </w:p>
        </w:tc>
        <w:tc>
          <w:tcPr>
            <w:tcW w:w="8080" w:type="dxa"/>
            <w:vAlign w:val="bottom"/>
          </w:tcPr>
          <w:p>
            <w:pPr>
              <w:ind w:left="160"/>
              <w:spacing w:after="0"/>
              <w:rPr>
                <w:sz w:val="20"/>
                <w:szCs w:val="20"/>
                <w:color w:val="auto"/>
              </w:rPr>
            </w:pPr>
            <w:r>
              <w:rPr>
                <w:rFonts w:ascii="Arial" w:cs="Arial" w:eastAsia="Arial" w:hAnsi="Arial"/>
                <w:sz w:val="18"/>
                <w:szCs w:val="18"/>
                <w:color w:val="auto"/>
                <w:w w:val="90"/>
              </w:rPr>
              <w:t>Executive Vice President, since February 2003; and President Oilfield Services Middle East &amp; Asia, July 2001</w:t>
            </w:r>
          </w:p>
        </w:tc>
      </w:tr>
      <w:tr>
        <w:trPr>
          <w:trHeight w:val="222"/>
        </w:trPr>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to February 2003.</w:t>
            </w:r>
          </w:p>
        </w:tc>
      </w:tr>
      <w:tr>
        <w:trPr>
          <w:trHeight w:val="318"/>
        </w:trPr>
        <w:tc>
          <w:tcPr>
            <w:tcW w:w="2140" w:type="dxa"/>
            <w:vAlign w:val="bottom"/>
          </w:tcPr>
          <w:p>
            <w:pPr>
              <w:spacing w:after="0"/>
              <w:rPr>
                <w:sz w:val="20"/>
                <w:szCs w:val="20"/>
                <w:color w:val="auto"/>
              </w:rPr>
            </w:pPr>
            <w:r>
              <w:rPr>
                <w:rFonts w:ascii="Arial" w:cs="Arial" w:eastAsia="Arial" w:hAnsi="Arial"/>
                <w:sz w:val="18"/>
                <w:szCs w:val="18"/>
                <w:color w:val="auto"/>
              </w:rPr>
              <w:t>Dalton Boutte</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52</w:t>
            </w:r>
          </w:p>
        </w:tc>
        <w:tc>
          <w:tcPr>
            <w:tcW w:w="8080" w:type="dxa"/>
            <w:vAlign w:val="bottom"/>
          </w:tcPr>
          <w:p>
            <w:pPr>
              <w:ind w:left="160"/>
              <w:spacing w:after="0"/>
              <w:rPr>
                <w:sz w:val="20"/>
                <w:szCs w:val="20"/>
                <w:color w:val="auto"/>
              </w:rPr>
            </w:pPr>
            <w:r>
              <w:rPr>
                <w:rFonts w:ascii="Arial" w:cs="Arial" w:eastAsia="Arial" w:hAnsi="Arial"/>
                <w:sz w:val="18"/>
                <w:szCs w:val="18"/>
                <w:color w:val="auto"/>
                <w:w w:val="92"/>
              </w:rPr>
              <w:t>Executive Vice President, since February 2004 and President WesternGeco, since January 2003; and Vice</w:t>
            </w:r>
          </w:p>
        </w:tc>
      </w:tr>
      <w:tr>
        <w:trPr>
          <w:trHeight w:val="222"/>
        </w:trPr>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President OFS Operations, May 2001 to January 2003.</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Ellen Summer</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60</w:t>
            </w:r>
          </w:p>
        </w:tc>
        <w:tc>
          <w:tcPr>
            <w:tcW w:w="8080" w:type="dxa"/>
            <w:vAlign w:val="bottom"/>
          </w:tcPr>
          <w:p>
            <w:pPr>
              <w:ind w:left="160"/>
              <w:spacing w:after="0"/>
              <w:rPr>
                <w:sz w:val="20"/>
                <w:szCs w:val="20"/>
                <w:color w:val="auto"/>
              </w:rPr>
            </w:pPr>
            <w:r>
              <w:rPr>
                <w:rFonts w:ascii="Arial" w:cs="Arial" w:eastAsia="Arial" w:hAnsi="Arial"/>
                <w:sz w:val="18"/>
                <w:szCs w:val="18"/>
                <w:color w:val="auto"/>
                <w:w w:val="90"/>
              </w:rPr>
              <w:t>Secretary and General Counsel, since March 2002; and Director of Legal Services, April 2001 to March 2002.</w:t>
            </w:r>
          </w:p>
        </w:tc>
      </w:tr>
      <w:tr>
        <w:trPr>
          <w:trHeight w:val="318"/>
        </w:trPr>
        <w:tc>
          <w:tcPr>
            <w:tcW w:w="2140" w:type="dxa"/>
            <w:vAlign w:val="bottom"/>
          </w:tcPr>
          <w:p>
            <w:pPr>
              <w:spacing w:after="0"/>
              <w:rPr>
                <w:sz w:val="20"/>
                <w:szCs w:val="20"/>
                <w:color w:val="auto"/>
              </w:rPr>
            </w:pPr>
            <w:r>
              <w:rPr>
                <w:rFonts w:ascii="Arial" w:cs="Arial" w:eastAsia="Arial" w:hAnsi="Arial"/>
                <w:sz w:val="18"/>
                <w:szCs w:val="18"/>
                <w:color w:val="auto"/>
              </w:rPr>
              <w:t>Simon Ayat</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52</w:t>
            </w:r>
          </w:p>
        </w:tc>
        <w:tc>
          <w:tcPr>
            <w:tcW w:w="8080" w:type="dxa"/>
            <w:vAlign w:val="bottom"/>
          </w:tcPr>
          <w:p>
            <w:pPr>
              <w:ind w:left="160"/>
              <w:spacing w:after="0"/>
              <w:rPr>
                <w:sz w:val="20"/>
                <w:szCs w:val="20"/>
                <w:color w:val="auto"/>
              </w:rPr>
            </w:pPr>
            <w:r>
              <w:rPr>
                <w:rFonts w:ascii="Arial" w:cs="Arial" w:eastAsia="Arial" w:hAnsi="Arial"/>
                <w:sz w:val="18"/>
                <w:szCs w:val="18"/>
                <w:color w:val="auto"/>
                <w:w w:val="90"/>
              </w:rPr>
              <w:t>Vice President Treasurer since February 2005; Vice President, Controller and Business Processes, December</w:t>
            </w:r>
          </w:p>
        </w:tc>
      </w:tr>
      <w:tr>
        <w:trPr>
          <w:trHeight w:val="216"/>
        </w:trPr>
        <w:tc>
          <w:tcPr>
            <w:tcW w:w="2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5"/>
              </w:rPr>
              <w:t>2002 to February 2005; and Vice President Finance SchlumbergerSema, April 2001 to December 2002.</w:t>
            </w:r>
          </w:p>
        </w:tc>
      </w:tr>
      <w:tr>
        <w:trPr>
          <w:trHeight w:val="222"/>
        </w:trPr>
        <w:tc>
          <w:tcPr>
            <w:tcW w:w="2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Mr. Ayat will become Executive Vice President and Chief Financial Officer effective March 1, 2007.</w:t>
            </w:r>
          </w:p>
        </w:tc>
      </w:tr>
      <w:tr>
        <w:trPr>
          <w:trHeight w:val="312"/>
        </w:trPr>
        <w:tc>
          <w:tcPr>
            <w:tcW w:w="2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80" w:type="dxa"/>
            <w:vAlign w:val="bottom"/>
          </w:tcPr>
          <w:p>
            <w:pPr>
              <w:ind w:left="2340"/>
              <w:spacing w:after="0"/>
              <w:rPr>
                <w:sz w:val="20"/>
                <w:szCs w:val="20"/>
                <w:color w:val="auto"/>
              </w:rPr>
            </w:pPr>
            <w:r>
              <w:rPr>
                <w:rFonts w:ascii="Arial" w:cs="Arial" w:eastAsia="Arial" w:hAnsi="Arial"/>
                <w:sz w:val="14"/>
                <w:szCs w:val="14"/>
                <w:color w:val="auto"/>
              </w:rPr>
              <w:t>9</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20" w:type="dxa"/>
            <w:vAlign w:val="bottom"/>
          </w:tcPr>
          <w:p>
            <w:pPr>
              <w:spacing w:after="0"/>
              <w:rPr>
                <w:sz w:val="20"/>
                <w:szCs w:val="20"/>
                <w:color w:val="auto"/>
              </w:rPr>
            </w:pPr>
            <w:r>
              <w:rPr>
                <w:rFonts w:ascii="Arial" w:cs="Arial" w:eastAsia="Arial" w:hAnsi="Arial"/>
                <w:sz w:val="14"/>
                <w:szCs w:val="14"/>
                <w:color w:val="auto"/>
              </w:rPr>
              <w:t>Part I, Item 4</w:t>
            </w:r>
          </w:p>
        </w:tc>
        <w:tc>
          <w:tcPr>
            <w:tcW w:w="920" w:type="dxa"/>
            <w:vAlign w:val="bottom"/>
          </w:tcPr>
          <w:p>
            <w:pPr>
              <w:spacing w:after="0"/>
              <w:rPr>
                <w:sz w:val="14"/>
                <w:szCs w:val="14"/>
                <w:color w:val="auto"/>
              </w:rPr>
            </w:pPr>
          </w:p>
        </w:tc>
        <w:tc>
          <w:tcPr>
            <w:tcW w:w="8080" w:type="dxa"/>
            <w:vAlign w:val="bottom"/>
          </w:tcPr>
          <w:p>
            <w:pPr>
              <w:spacing w:after="0"/>
              <w:rPr>
                <w:sz w:val="14"/>
                <w:szCs w:val="14"/>
                <w:color w:val="auto"/>
              </w:rPr>
            </w:pPr>
          </w:p>
        </w:tc>
      </w:tr>
      <w:tr>
        <w:trPr>
          <w:trHeight w:val="365"/>
        </w:trPr>
        <w:tc>
          <w:tcPr>
            <w:tcW w:w="2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right"/>
              <w:ind w:right="94"/>
              <w:spacing w:after="0"/>
              <w:rPr>
                <w:sz w:val="20"/>
                <w:szCs w:val="20"/>
                <w:color w:val="auto"/>
              </w:rPr>
            </w:pPr>
            <w:r>
              <w:rPr>
                <w:rFonts w:ascii="Arial" w:cs="Arial" w:eastAsia="Arial" w:hAnsi="Arial"/>
                <w:sz w:val="14"/>
                <w:szCs w:val="14"/>
                <w:b w:val="1"/>
                <w:bCs w:val="1"/>
                <w:color w:val="auto"/>
              </w:rPr>
              <w:t>Age</w:t>
            </w:r>
          </w:p>
        </w:tc>
        <w:tc>
          <w:tcPr>
            <w:tcW w:w="8080" w:type="dxa"/>
            <w:vAlign w:val="bottom"/>
          </w:tcPr>
          <w:p>
            <w:pPr>
              <w:ind w:left="16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2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r>
      <w:tr>
        <w:trPr>
          <w:trHeight w:val="417"/>
        </w:trPr>
        <w:tc>
          <w:tcPr>
            <w:tcW w:w="2420" w:type="dxa"/>
            <w:vAlign w:val="bottom"/>
          </w:tcPr>
          <w:p>
            <w:pPr>
              <w:spacing w:after="0"/>
              <w:rPr>
                <w:sz w:val="20"/>
                <w:szCs w:val="20"/>
                <w:color w:val="auto"/>
              </w:rPr>
            </w:pPr>
            <w:r>
              <w:rPr>
                <w:rFonts w:ascii="Arial" w:cs="Arial" w:eastAsia="Arial" w:hAnsi="Arial"/>
                <w:sz w:val="18"/>
                <w:szCs w:val="18"/>
                <w:color w:val="auto"/>
              </w:rPr>
              <w:t>Ashok Belani</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Vice President and Chief Technology Officer since April, 2006; Senior Advisor, Technology, January 2006 to</w:t>
            </w:r>
          </w:p>
        </w:tc>
      </w:tr>
      <w:tr>
        <w:trPr>
          <w:trHeight w:val="216"/>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2"/>
              </w:rPr>
              <w:t>April 2006; Director, President and Chief Executive Officer NPTest, May 2002 to December 2006; and Chief</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Information Officer, September 2001 to May 2002.</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Jean Chevallier</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59</w:t>
            </w:r>
          </w:p>
        </w:tc>
        <w:tc>
          <w:tcPr>
            <w:tcW w:w="8080" w:type="dxa"/>
            <w:vAlign w:val="bottom"/>
          </w:tcPr>
          <w:p>
            <w:pPr>
              <w:ind w:left="160"/>
              <w:spacing w:after="0"/>
              <w:rPr>
                <w:sz w:val="20"/>
                <w:szCs w:val="20"/>
                <w:color w:val="auto"/>
              </w:rPr>
            </w:pPr>
            <w:r>
              <w:rPr>
                <w:rFonts w:ascii="Arial" w:cs="Arial" w:eastAsia="Arial" w:hAnsi="Arial"/>
                <w:sz w:val="18"/>
                <w:szCs w:val="18"/>
                <w:color w:val="auto"/>
                <w:w w:val="94"/>
              </w:rPr>
              <w:t>Vice President Industry Affairs, since February 2005; Seconded to Atos Origin February 2004 to February</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3"/>
              </w:rPr>
              <w:t>2005; and Vice President Business Development SchlumbergerSema, September 2001 to February 2004.</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Mark Corrigan</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8080" w:type="dxa"/>
            <w:vAlign w:val="bottom"/>
          </w:tcPr>
          <w:p>
            <w:pPr>
              <w:ind w:left="160"/>
              <w:spacing w:after="0"/>
              <w:rPr>
                <w:sz w:val="20"/>
                <w:szCs w:val="20"/>
                <w:color w:val="auto"/>
              </w:rPr>
            </w:pPr>
            <w:r>
              <w:rPr>
                <w:rFonts w:ascii="Arial" w:cs="Arial" w:eastAsia="Arial" w:hAnsi="Arial"/>
                <w:sz w:val="18"/>
                <w:szCs w:val="18"/>
                <w:color w:val="auto"/>
                <w:w w:val="94"/>
              </w:rPr>
              <w:t>Vice President Operations Oilfield Services, since April, 2006; President, Well Services, February 2003 to</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7"/>
              </w:rPr>
              <w:t>April, 2006; and Testing &amp; Completion Systems General Manager, December 2000 to February 2003.</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Mark Danton</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50</w:t>
            </w:r>
          </w:p>
        </w:tc>
        <w:tc>
          <w:tcPr>
            <w:tcW w:w="8080" w:type="dxa"/>
            <w:vAlign w:val="bottom"/>
          </w:tcPr>
          <w:p>
            <w:pPr>
              <w:ind w:left="160"/>
              <w:spacing w:after="0"/>
              <w:rPr>
                <w:sz w:val="20"/>
                <w:szCs w:val="20"/>
                <w:color w:val="auto"/>
              </w:rPr>
            </w:pPr>
            <w:r>
              <w:rPr>
                <w:rFonts w:ascii="Arial" w:cs="Arial" w:eastAsia="Arial" w:hAnsi="Arial"/>
                <w:sz w:val="18"/>
                <w:szCs w:val="18"/>
                <w:color w:val="auto"/>
              </w:rPr>
              <w:t>Vice President – Director of Taxes, since January 1999.</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Howard Guild</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8080" w:type="dxa"/>
            <w:vAlign w:val="bottom"/>
          </w:tcPr>
          <w:p>
            <w:pPr>
              <w:ind w:left="160"/>
              <w:spacing w:after="0"/>
              <w:rPr>
                <w:sz w:val="20"/>
                <w:szCs w:val="20"/>
                <w:color w:val="auto"/>
              </w:rPr>
            </w:pPr>
            <w:r>
              <w:rPr>
                <w:rFonts w:ascii="Arial" w:cs="Arial" w:eastAsia="Arial" w:hAnsi="Arial"/>
                <w:sz w:val="18"/>
                <w:szCs w:val="18"/>
                <w:color w:val="auto"/>
                <w:w w:val="90"/>
              </w:rPr>
              <w:t>Chief Accounting Officer since July 2005; Director of Financial Reporting from October 2004 to July 2005; and</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PricewaterhouseCoopers LLP, Senior Manager from July 2001 to October 2004.</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Philippe Lacour-Gayet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59</w:t>
            </w:r>
          </w:p>
        </w:tc>
        <w:tc>
          <w:tcPr>
            <w:tcW w:w="8080" w:type="dxa"/>
            <w:vAlign w:val="bottom"/>
          </w:tcPr>
          <w:p>
            <w:pPr>
              <w:ind w:left="160"/>
              <w:spacing w:after="0"/>
              <w:rPr>
                <w:sz w:val="20"/>
                <w:szCs w:val="20"/>
                <w:color w:val="auto"/>
              </w:rPr>
            </w:pPr>
            <w:r>
              <w:rPr>
                <w:rFonts w:ascii="Arial" w:cs="Arial" w:eastAsia="Arial" w:hAnsi="Arial"/>
                <w:sz w:val="18"/>
                <w:szCs w:val="18"/>
                <w:color w:val="auto"/>
              </w:rPr>
              <w:t>Vice President and Chief Scientist, since January 2001.</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Paal Kibsgaard</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39</w:t>
            </w:r>
          </w:p>
        </w:tc>
        <w:tc>
          <w:tcPr>
            <w:tcW w:w="8080" w:type="dxa"/>
            <w:vAlign w:val="bottom"/>
          </w:tcPr>
          <w:p>
            <w:pPr>
              <w:ind w:left="160"/>
              <w:spacing w:after="0"/>
              <w:rPr>
                <w:sz w:val="20"/>
                <w:szCs w:val="20"/>
                <w:color w:val="auto"/>
              </w:rPr>
            </w:pPr>
            <w:r>
              <w:rPr>
                <w:rFonts w:ascii="Arial" w:cs="Arial" w:eastAsia="Arial" w:hAnsi="Arial"/>
                <w:sz w:val="18"/>
                <w:szCs w:val="18"/>
                <w:color w:val="auto"/>
                <w:w w:val="93"/>
              </w:rPr>
              <w:t>Vice President – Personnel, since April 2006; President, Drilling and Measurements, January 2003 to April</w:t>
            </w:r>
          </w:p>
        </w:tc>
      </w:tr>
      <w:tr>
        <w:trPr>
          <w:trHeight w:val="216"/>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88"/>
              </w:rPr>
              <w:t>2006; Business Development Manager Formation Evaluation, June 2002 to January 2003; and OFS GeoMarket</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Manager Caspian, September 2000 to June 2002.</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Jean-Francois Poupeau</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45</w:t>
            </w:r>
          </w:p>
        </w:tc>
        <w:tc>
          <w:tcPr>
            <w:tcW w:w="8080" w:type="dxa"/>
            <w:vAlign w:val="bottom"/>
          </w:tcPr>
          <w:p>
            <w:pPr>
              <w:ind w:left="160"/>
              <w:spacing w:after="0"/>
              <w:rPr>
                <w:sz w:val="20"/>
                <w:szCs w:val="20"/>
                <w:color w:val="auto"/>
              </w:rPr>
            </w:pPr>
            <w:r>
              <w:rPr>
                <w:rFonts w:ascii="Arial" w:cs="Arial" w:eastAsia="Arial" w:hAnsi="Arial"/>
                <w:sz w:val="18"/>
                <w:szCs w:val="18"/>
                <w:color w:val="auto"/>
                <w:w w:val="90"/>
              </w:rPr>
              <w:t>VP Communications &amp; Investor Relations, since April 2006; Vice President OFS Product Marketing, July 2004</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9"/>
              </w:rPr>
              <w:t>to April 2006; and OFS GeoMarket Manager, China, Japan, Korea, Taiwan, June 2001 to July 2004.</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Sophie Zurquiyah-Rousset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40</w:t>
            </w:r>
          </w:p>
        </w:tc>
        <w:tc>
          <w:tcPr>
            <w:tcW w:w="8080" w:type="dxa"/>
            <w:vAlign w:val="bottom"/>
          </w:tcPr>
          <w:p>
            <w:pPr>
              <w:ind w:left="160"/>
              <w:spacing w:after="0"/>
              <w:rPr>
                <w:sz w:val="20"/>
                <w:szCs w:val="20"/>
                <w:color w:val="auto"/>
              </w:rPr>
            </w:pPr>
            <w:r>
              <w:rPr>
                <w:rFonts w:ascii="Arial" w:cs="Arial" w:eastAsia="Arial" w:hAnsi="Arial"/>
                <w:sz w:val="18"/>
                <w:szCs w:val="18"/>
                <w:color w:val="auto"/>
                <w:w w:val="97"/>
              </w:rPr>
              <w:t>Chief Information Officer, since December 2006; Director of Personnel, Oilfield Services, April 2005 to</w:t>
            </w:r>
          </w:p>
        </w:tc>
      </w:tr>
      <w:tr>
        <w:trPr>
          <w:trHeight w:val="216"/>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December 2006; OFS GeoMarket Manager Latin America South, February 2003 to April 2005; and</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Schlumberger Conveyance and Delivery Center Manager, July 2000 to February 2003.</w:t>
            </w:r>
          </w:p>
        </w:tc>
      </w:tr>
      <w:tr>
        <w:trPr>
          <w:trHeight w:val="312"/>
        </w:trPr>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80" w:type="dxa"/>
            <w:vAlign w:val="bottom"/>
          </w:tcPr>
          <w:p>
            <w:pPr>
              <w:ind w:left="2300"/>
              <w:spacing w:after="0"/>
              <w:rPr>
                <w:sz w:val="20"/>
                <w:szCs w:val="20"/>
                <w:color w:val="auto"/>
              </w:rPr>
            </w:pPr>
            <w:r>
              <w:rPr>
                <w:rFonts w:ascii="Arial" w:cs="Arial" w:eastAsia="Arial" w:hAnsi="Arial"/>
                <w:sz w:val="14"/>
                <w:szCs w:val="14"/>
                <w:color w:val="auto"/>
              </w:rPr>
              <w:t>10</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20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PART II</w:t>
      </w:r>
    </w:p>
    <w:p>
      <w:pPr>
        <w:spacing w:after="0" w:line="14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Schlumberger’s Common Stock, Related Stockholder Matters and Issuer Purchases of Equity Securities</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January 31, 2007, there were 1,178,453,838 shares of the common stock of Schlumberger outstanding, exclusive of 155,758,326 shares held in treasury, and approximately 19,200 stockholders of record. The principal United States market for Schlumberger’s common stock is the New York Stock Exchange where it is traded under the symbol “SLB”.</w:t>
      </w:r>
    </w:p>
    <w:p>
      <w:pPr>
        <w:ind w:right="1820" w:firstLine="228"/>
        <w:spacing w:after="0" w:line="364" w:lineRule="auto"/>
        <w:rPr>
          <w:sz w:val="20"/>
          <w:szCs w:val="20"/>
          <w:color w:val="auto"/>
        </w:rPr>
      </w:pPr>
      <w:r>
        <w:rPr>
          <w:rFonts w:ascii="Arial" w:cs="Arial" w:eastAsia="Arial" w:hAnsi="Arial"/>
          <w:sz w:val="18"/>
          <w:szCs w:val="18"/>
          <w:color w:val="auto"/>
        </w:rPr>
        <w:t xml:space="preserve">Schlumberger’s common stock is also traded on the Euronext Paris, Euronext Amsterdam, London and SWX Swiss stock exchanges. </w:t>
      </w:r>
      <w:r>
        <w:rPr>
          <w:rFonts w:ascii="Arial" w:cs="Arial" w:eastAsia="Arial" w:hAnsi="Arial"/>
          <w:sz w:val="18"/>
          <w:szCs w:val="18"/>
          <w:b w:val="1"/>
          <w:bCs w:val="1"/>
          <w:i w:val="1"/>
          <w:iCs w:val="1"/>
          <w:color w:val="auto"/>
        </w:rPr>
        <w:t>Common Stock, Market Prices and Dividends Declared per Share</w:t>
      </w:r>
    </w:p>
    <w:p>
      <w:pPr>
        <w:spacing w:after="0" w:line="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Quarterly high and low prices for Schlumberger common stock as reported by the New York Stock Exchange (composite transactions), together with dividends declared per share in each quarter of 2006 and 2005, were: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0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rPr>
              <w:t>Price Range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130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High</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6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w:t>
            </w:r>
          </w:p>
        </w:tc>
        <w:tc>
          <w:tcPr>
            <w:tcW w:w="1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First</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$65.875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$49.200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20"/>
              <w:spacing w:after="0" w:line="149" w:lineRule="exact"/>
              <w:rPr>
                <w:sz w:val="20"/>
                <w:szCs w:val="20"/>
                <w:color w:val="auto"/>
              </w:rPr>
            </w:pPr>
            <w:r>
              <w:rPr>
                <w:rFonts w:ascii="Arial" w:cs="Arial" w:eastAsia="Arial" w:hAnsi="Arial"/>
                <w:sz w:val="14"/>
                <w:szCs w:val="14"/>
                <w:color w:val="auto"/>
              </w:rPr>
              <w:t>Second</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74.750</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54.000</w:t>
            </w:r>
          </w:p>
        </w:tc>
        <w:tc>
          <w:tcPr>
            <w:tcW w:w="6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Third</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68.550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54.730</w:t>
            </w: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0.1250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20" w:type="dxa"/>
            <w:vAlign w:val="bottom"/>
          </w:tcPr>
          <w:p>
            <w:pPr>
              <w:ind w:left="320"/>
              <w:spacing w:after="0"/>
              <w:rPr>
                <w:sz w:val="20"/>
                <w:szCs w:val="20"/>
                <w:color w:val="auto"/>
              </w:rPr>
            </w:pPr>
            <w:r>
              <w:rPr>
                <w:rFonts w:ascii="Arial" w:cs="Arial" w:eastAsia="Arial" w:hAnsi="Arial"/>
                <w:sz w:val="14"/>
                <w:szCs w:val="14"/>
                <w:color w:val="auto"/>
              </w:rPr>
              <w:t>Fourth</w:t>
            </w: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rPr>
              <w:t>69.300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56.850</w:t>
            </w:r>
          </w:p>
        </w:tc>
        <w:tc>
          <w:tcPr>
            <w:tcW w:w="6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0.1250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8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2005</w:t>
            </w:r>
          </w:p>
        </w:tc>
        <w:tc>
          <w:tcPr>
            <w:tcW w:w="1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First</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$39.160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$31.570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20"/>
              <w:spacing w:after="0" w:line="149" w:lineRule="exact"/>
              <w:rPr>
                <w:sz w:val="20"/>
                <w:szCs w:val="20"/>
                <w:color w:val="auto"/>
              </w:rPr>
            </w:pPr>
            <w:r>
              <w:rPr>
                <w:rFonts w:ascii="Arial" w:cs="Arial" w:eastAsia="Arial" w:hAnsi="Arial"/>
                <w:sz w:val="14"/>
                <w:szCs w:val="14"/>
                <w:color w:val="auto"/>
              </w:rPr>
              <w:t>Second</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39.225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32.310</w:t>
            </w:r>
          </w:p>
        </w:tc>
        <w:tc>
          <w:tcPr>
            <w:tcW w:w="6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0.1050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Third</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43.900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37.425</w:t>
            </w: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tcPr>
          <w:p>
            <w:pPr>
              <w:ind w:left="320"/>
              <w:spacing w:after="0"/>
              <w:rPr>
                <w:sz w:val="20"/>
                <w:szCs w:val="20"/>
                <w:color w:val="auto"/>
              </w:rPr>
            </w:pPr>
            <w:r>
              <w:rPr>
                <w:rFonts w:ascii="Arial" w:cs="Arial" w:eastAsia="Arial" w:hAnsi="Arial"/>
                <w:sz w:val="14"/>
                <w:szCs w:val="14"/>
                <w:color w:val="auto"/>
              </w:rPr>
              <w:t>Fourth</w:t>
            </w:r>
          </w:p>
        </w:tc>
        <w:tc>
          <w:tcPr>
            <w:tcW w:w="1300" w:type="dxa"/>
            <w:vAlign w:val="bottom"/>
          </w:tcPr>
          <w:p>
            <w:pPr>
              <w:jc w:val="right"/>
              <w:ind w:right="212"/>
              <w:spacing w:after="0"/>
              <w:rPr>
                <w:sz w:val="20"/>
                <w:szCs w:val="20"/>
                <w:color w:val="auto"/>
              </w:rPr>
            </w:pPr>
            <w:r>
              <w:rPr>
                <w:rFonts w:ascii="Arial" w:cs="Arial" w:eastAsia="Arial" w:hAnsi="Arial"/>
                <w:sz w:val="14"/>
                <w:szCs w:val="14"/>
                <w:color w:val="auto"/>
              </w:rPr>
              <w:t>51.490</w:t>
            </w:r>
          </w:p>
        </w:tc>
        <w:tc>
          <w:tcPr>
            <w:tcW w:w="740" w:type="dxa"/>
            <w:vAlign w:val="bottom"/>
          </w:tcPr>
          <w:p>
            <w:pPr>
              <w:jc w:val="right"/>
              <w:spacing w:after="0"/>
              <w:rPr>
                <w:sz w:val="20"/>
                <w:szCs w:val="20"/>
                <w:color w:val="auto"/>
              </w:rPr>
            </w:pPr>
            <w:r>
              <w:rPr>
                <w:rFonts w:ascii="Arial" w:cs="Arial" w:eastAsia="Arial" w:hAnsi="Arial"/>
                <w:sz w:val="14"/>
                <w:szCs w:val="14"/>
                <w:color w:val="auto"/>
              </w:rPr>
              <w:t>38.650</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0.1050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There are no legal restrictions on the payment of dividends or ownership or voting of such shares, except as to shares held as treasury stock. Under current legislation, stockholders are not subject to any Netherlands Antilles withholding or other Netherlands Antilles taxes attributable to the ownership of such shares.</w:t>
      </w:r>
    </w:p>
    <w:p>
      <w:pPr>
        <w:ind w:right="260" w:firstLine="228"/>
        <w:spacing w:after="0" w:line="281" w:lineRule="auto"/>
        <w:rPr>
          <w:sz w:val="20"/>
          <w:szCs w:val="20"/>
          <w:color w:val="auto"/>
        </w:rPr>
      </w:pPr>
      <w:r>
        <w:rPr>
          <w:rFonts w:ascii="Arial" w:cs="Arial" w:eastAsia="Arial" w:hAnsi="Arial"/>
          <w:sz w:val="16"/>
          <w:szCs w:val="16"/>
          <w:color w:val="auto"/>
        </w:rPr>
        <w:t>On January 18, 2007, Schlumberger announced that the Board of Directors had approved a 40% increase in the quarterly dividend, to $0.175 per share. The increase is effective commencing with the dividend payable on April 6, 2007 to shareholders of record on February 21, 2007.</w:t>
      </w:r>
    </w:p>
    <w:p>
      <w:pPr>
        <w:spacing w:after="0" w:line="1" w:lineRule="exact"/>
        <w:rPr>
          <w:sz w:val="20"/>
          <w:szCs w:val="20"/>
          <w:color w:val="auto"/>
        </w:rPr>
      </w:pPr>
    </w:p>
    <w:p>
      <w:pPr>
        <w:ind w:right="340" w:firstLine="228"/>
        <w:spacing w:after="0" w:line="292" w:lineRule="auto"/>
        <w:rPr>
          <w:sz w:val="20"/>
          <w:szCs w:val="20"/>
          <w:color w:val="auto"/>
        </w:rPr>
      </w:pPr>
      <w:r>
        <w:rPr>
          <w:rFonts w:ascii="Arial" w:cs="Arial" w:eastAsia="Arial" w:hAnsi="Arial"/>
          <w:sz w:val="16"/>
          <w:szCs w:val="16"/>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being furnished pursuant to Securities and Exchange Commission rules. It will not be incorporated by reference into any filing under the Securities Act of 1933 or the Securities Exchange Act of 1934 except to the extent Schlumberger specifically incorporates it by reference.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SCHLUMBERGER LIMITED,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VALUE LINE’S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101600</wp:posOffset>
            </wp:positionV>
            <wp:extent cx="5299710" cy="2864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9971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Assumes $100 invested on December 31, 2001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72"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On April 20, 2006, the Board of Directors of Schlumberger approved a share buy-back program of up to 40 million shares to be acquired in the open market before April 2010, subject to market conditions.</w:t>
      </w:r>
    </w:p>
    <w:p>
      <w:pPr>
        <w:ind w:left="240"/>
        <w:spacing w:after="0"/>
        <w:rPr>
          <w:sz w:val="20"/>
          <w:szCs w:val="20"/>
          <w:color w:val="auto"/>
        </w:rPr>
      </w:pPr>
      <w:r>
        <w:rPr>
          <w:rFonts w:ascii="Arial" w:cs="Arial" w:eastAsia="Arial" w:hAnsi="Arial"/>
          <w:sz w:val="16"/>
          <w:szCs w:val="16"/>
          <w:color w:val="auto"/>
        </w:rPr>
        <w:t>The following table sets forth information on Schlumberger’s common stock repurchase program activity for the three months ended December 31, 2006.</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number of</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purchased</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as part of</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price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publicly</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of shares</w:t>
            </w:r>
          </w:p>
        </w:tc>
        <w:tc>
          <w:tcPr>
            <w:tcW w:w="20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paid per</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2"/>
              </w:rPr>
              <w:t>announced</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under the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5"/>
                <w:szCs w:val="15"/>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program</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October 1 through October 31, 2006</w:t>
            </w:r>
          </w:p>
        </w:tc>
        <w:tc>
          <w:tcPr>
            <w:tcW w:w="40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362.5</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60.61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362.5</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27,934.7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November 1 through November 30, 2006</w:t>
            </w:r>
          </w:p>
        </w:tc>
        <w:tc>
          <w:tcPr>
            <w:tcW w:w="40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528.6</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64.36</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528.6</w:t>
            </w:r>
          </w:p>
        </w:tc>
        <w:tc>
          <w:tcPr>
            <w:tcW w:w="3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27,406.1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1 through December 31, 2006</w:t>
            </w:r>
          </w:p>
        </w:tc>
        <w:tc>
          <w:tcPr>
            <w:tcW w:w="40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970.0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65.31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970.0</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40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1,861.1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64.12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1,861.1</w:t>
            </w:r>
          </w:p>
        </w:tc>
        <w:tc>
          <w:tcPr>
            <w:tcW w:w="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500" w:type="dxa"/>
            <w:vAlign w:val="bottom"/>
            <w:vMerge w:val="restart"/>
          </w:tcPr>
          <w:p>
            <w:pPr>
              <w:jc w:val="right"/>
              <w:ind w:right="592"/>
              <w:spacing w:after="0"/>
              <w:rPr>
                <w:sz w:val="20"/>
                <w:szCs w:val="20"/>
                <w:color w:val="auto"/>
              </w:rPr>
            </w:pPr>
            <w:r>
              <w:rPr>
                <w:rFonts w:ascii="Arial" w:cs="Arial" w:eastAsia="Arial" w:hAnsi="Arial"/>
                <w:sz w:val="14"/>
                <w:szCs w:val="14"/>
                <w:color w:val="auto"/>
              </w:rPr>
              <w:t>12</w:t>
            </w:r>
          </w:p>
        </w:tc>
        <w:tc>
          <w:tcPr>
            <w:tcW w:w="8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5,6</w:t>
      </w:r>
    </w:p>
    <w:p>
      <w:pPr>
        <w:spacing w:after="0" w:line="20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selected consolidated financial data should be read in conjunction with “Item 7. Management’s Discussion and Analysis of Financial Condition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“Item 8. Financial Statement and Supplementary Data”:</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3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OPERATIONS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Operating revenue:</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16,767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12,648</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10,239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8,171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2,471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1,662</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1,238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1,183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1,476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revenue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19,230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14,309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11,480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10,017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9,657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over prior year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34%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Pretax Segment income:</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4,603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853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(346)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(233)</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(142)</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Segment income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5,110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over prior year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77%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line="176" w:lineRule="exact"/>
              <w:rPr>
                <w:sz w:val="20"/>
                <w:szCs w:val="20"/>
                <w:color w:val="auto"/>
              </w:rPr>
            </w:pPr>
            <w:r>
              <w:rPr>
                <w:rFonts w:ascii="Arial" w:cs="Arial" w:eastAsia="Arial" w:hAnsi="Arial"/>
                <w:sz w:val="13"/>
                <w:szCs w:val="13"/>
                <w:color w:val="auto"/>
              </w:rPr>
              <w:t xml:space="preserve">Interest income </w:t>
            </w:r>
            <w:r>
              <w:rPr>
                <w:rFonts w:ascii="Arial" w:cs="Arial" w:eastAsia="Arial" w:hAnsi="Arial"/>
                <w:sz w:val="20"/>
                <w:szCs w:val="20"/>
                <w:color w:val="auto"/>
                <w:vertAlign w:val="superscript"/>
              </w:rPr>
              <w:t>1</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98</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49</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1</w:t>
            </w:r>
          </w:p>
        </w:tc>
        <w:tc>
          <w:tcPr>
            <w:tcW w:w="3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line="176" w:lineRule="exact"/>
              <w:rPr>
                <w:sz w:val="20"/>
                <w:szCs w:val="20"/>
                <w:color w:val="auto"/>
              </w:rPr>
            </w:pPr>
            <w:r>
              <w:rPr>
                <w:rFonts w:ascii="Arial" w:cs="Arial" w:eastAsia="Arial" w:hAnsi="Arial"/>
                <w:sz w:val="13"/>
                <w:szCs w:val="13"/>
                <w:color w:val="auto"/>
              </w:rPr>
              <w:t xml:space="preserve">Charges (Credits) </w:t>
            </w:r>
            <w:r>
              <w:rPr>
                <w:rFonts w:ascii="Arial" w:cs="Arial" w:eastAsia="Arial" w:hAnsi="Arial"/>
                <w:sz w:val="20"/>
                <w:szCs w:val="20"/>
                <w:color w:val="auto"/>
                <w:vertAlign w:val="superscript"/>
              </w:rPr>
              <w:t>2</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(172)</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243</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638</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283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Taxes on income </w:t>
            </w:r>
            <w:r>
              <w:rPr>
                <w:rFonts w:ascii="Arial" w:cs="Arial" w:eastAsia="Arial" w:hAnsi="Arial"/>
                <w:sz w:val="20"/>
                <w:szCs w:val="20"/>
                <w:color w:val="auto"/>
                <w:vertAlign w:val="superscript"/>
              </w:rPr>
              <w:t>2</w:t>
            </w:r>
          </w:p>
        </w:tc>
        <w:tc>
          <w:tcPr>
            <w:tcW w:w="3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1,190</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 xml:space="preserve">Minority interest </w:t>
            </w:r>
            <w:r>
              <w:rPr>
                <w:rFonts w:ascii="Arial" w:cs="Arial" w:eastAsia="Arial" w:hAnsi="Arial"/>
                <w:sz w:val="22"/>
                <w:szCs w:val="22"/>
                <w:color w:val="auto"/>
                <w:vertAlign w:val="superscript"/>
              </w:rPr>
              <w:t>2</w:t>
            </w: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24"/>
                <w:szCs w:val="2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(91)</w:t>
            </w:r>
          </w:p>
        </w:tc>
        <w:tc>
          <w:tcPr>
            <w:tcW w:w="60" w:type="dxa"/>
            <w:vAlign w:val="bottom"/>
          </w:tcPr>
          <w:p>
            <w:pPr>
              <w:spacing w:after="0"/>
              <w:rPr>
                <w:sz w:val="24"/>
                <w:szCs w:val="2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151</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Borders>
              <w:top w:val="single" w:sz="8" w:color="auto"/>
            </w:tcBorders>
          </w:tcPr>
          <w:p>
            <w:pPr>
              <w:spacing w:after="0"/>
              <w:rPr>
                <w:sz w:val="8"/>
                <w:szCs w:val="8"/>
                <w:color w:val="auto"/>
              </w:rPr>
            </w:pPr>
          </w:p>
        </w:tc>
        <w:tc>
          <w:tcPr>
            <w:tcW w:w="30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Income from Continuing Operations </w:t>
            </w:r>
            <w:r>
              <w:rPr>
                <w:rFonts w:ascii="Arial" w:cs="Arial" w:eastAsia="Arial" w:hAnsi="Arial"/>
                <w:sz w:val="20"/>
                <w:szCs w:val="20"/>
                <w:color w:val="auto"/>
                <w:vertAlign w:val="superscript"/>
              </w:rPr>
              <w:t>3</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3,710</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Income (loss) from Discontinued Operations</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210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(2,809)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24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3,710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(2,320)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3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3.14</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0.86</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0.34</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(0.01)</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ind w:left="420"/>
              <w:spacing w:after="0" w:line="176" w:lineRule="exact"/>
              <w:rPr>
                <w:sz w:val="20"/>
                <w:szCs w:val="20"/>
                <w:color w:val="auto"/>
              </w:rPr>
            </w:pPr>
            <w:r>
              <w:rPr>
                <w:rFonts w:ascii="Arial" w:cs="Arial" w:eastAsia="Arial" w:hAnsi="Arial"/>
                <w:sz w:val="13"/>
                <w:szCs w:val="13"/>
                <w:color w:val="auto"/>
              </w:rPr>
              <w:t xml:space="preserve">Net income (loss) per share </w:t>
            </w:r>
            <w:r>
              <w:rPr>
                <w:rFonts w:ascii="Arial" w:cs="Arial" w:eastAsia="Arial" w:hAnsi="Arial"/>
                <w:sz w:val="20"/>
                <w:szCs w:val="20"/>
                <w:color w:val="auto"/>
                <w:vertAlign w:val="superscript"/>
              </w:rPr>
              <w:t>3</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3.14</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3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3.01</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4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0.34</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(0.01)</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(loss) per share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0.500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0.420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0.375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vMerge w:val="restart"/>
          </w:tcPr>
          <w:p>
            <w:pPr>
              <w:jc w:val="right"/>
              <w:ind w:right="1432"/>
              <w:spacing w:after="0"/>
              <w:rPr>
                <w:sz w:val="20"/>
                <w:szCs w:val="20"/>
                <w:color w:val="auto"/>
              </w:rPr>
            </w:pPr>
            <w:r>
              <w:rPr>
                <w:rFonts w:ascii="Arial" w:cs="Arial" w:eastAsia="Arial" w:hAnsi="Arial"/>
                <w:sz w:val="14"/>
                <w:szCs w:val="14"/>
                <w:color w:val="auto"/>
              </w:rPr>
              <w:t>13</w:t>
            </w: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-4220210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-4220210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-4220210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-4220210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-4220210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-4220210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-4220210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-4220210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-4220210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-4220210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-4220210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-4220210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-4220210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-4220210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-4220210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-3345815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-3345815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-3345815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-3345815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-3345815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-3345815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-3345815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-3345815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-3345815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-3345815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-3345815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-3345815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-3345815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-3345815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-3345815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-1939290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-1939290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-1939290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-1939290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-1939290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-1939290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-1939290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-1939290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-1939290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-1939290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-1939290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-1939290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-1939290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-1939290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-1939290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-1235710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-1235710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-1235710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-1235710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-1235710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-1235710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-1235710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-1235710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-1235710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-1235710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-1235710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-1235710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-1235710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-1235710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-1235710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-549910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-549910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-549910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-549910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-549910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-549910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-549910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-549910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-549910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-549910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-549910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-549910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-549910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-549910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-549910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-292735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-292735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-292735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-292735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-292735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-292735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-292735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-292735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-292735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-292735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-292735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-292735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-292735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-292735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-292735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FINANCIAL DATA</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0" w:type="dxa"/>
            <w:vAlign w:val="bottom"/>
          </w:tcPr>
          <w:p>
            <w:pPr>
              <w:spacing w:after="0"/>
              <w:rPr>
                <w:sz w:val="20"/>
                <w:szCs w:val="20"/>
                <w:color w:val="auto"/>
              </w:rPr>
            </w:pPr>
            <w:r>
              <w:rPr>
                <w:rFonts w:ascii="Arial" w:cs="Arial" w:eastAsia="Arial" w:hAnsi="Arial"/>
                <w:sz w:val="14"/>
                <w:szCs w:val="14"/>
                <w:color w:val="auto"/>
              </w:rPr>
              <w:t>Fixed asset additions</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2,457</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1,593</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1,216</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872</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Avg. number of shares outstanding:</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0" w:type="dxa"/>
            <w:vAlign w:val="bottom"/>
          </w:tcPr>
          <w:p>
            <w:pPr>
              <w:ind w:left="42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1,182</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1,179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1,178</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1,168</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Assuming dilution</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 DECEMBER 31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4"/>
                <w:szCs w:val="14"/>
                <w:color w:val="auto"/>
              </w:rPr>
              <w:t xml:space="preserve">Net Debt </w:t>
            </w:r>
            <w:r>
              <w:rPr>
                <w:rFonts w:ascii="Arial" w:cs="Arial" w:eastAsia="Arial" w:hAnsi="Arial"/>
                <w:sz w:val="22"/>
                <w:szCs w:val="22"/>
                <w:color w:val="auto"/>
                <w:vertAlign w:val="superscript"/>
              </w:rPr>
              <w:t>4</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2,834</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532</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1,459</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4,176</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5,021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2,731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3,574</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22,832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18,077</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16,001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20,041</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19,435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4,664</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10,420</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6,117</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5,881</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employees continuing operations</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70,000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60,000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52,500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51,000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51,000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amounts which are either included in the segments or Charges and Credits.</w:t>
      </w:r>
    </w:p>
    <w:p>
      <w:pPr>
        <w:ind w:left="340" w:hanging="332"/>
        <w:spacing w:after="0" w:line="22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For details of Charges and Credits and the related income taxes and minority interest, see Note 3 of the </w:t>
      </w:r>
      <w:r>
        <w:rPr>
          <w:rFonts w:ascii="Arial" w:cs="Arial" w:eastAsia="Arial" w:hAnsi="Arial"/>
          <w:sz w:val="14"/>
          <w:szCs w:val="14"/>
          <w:i w:val="1"/>
          <w:iCs w:val="1"/>
          <w:color w:val="auto"/>
        </w:rPr>
        <w:t>Consolidated Financial Statements.</w:t>
      </w:r>
    </w:p>
    <w:p>
      <w:pPr>
        <w:ind w:left="340" w:hanging="332"/>
        <w:spacing w:after="0" w:line="221"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may not add due to rounding.</w:t>
      </w:r>
    </w:p>
    <w:p>
      <w:pPr>
        <w:ind w:left="340" w:right="80" w:hanging="332"/>
        <w:spacing w:after="0" w:line="227"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Debt” is gross debt less cash, short-term investments and fixed income investments held to maturity. Management believes that Net Debt 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World oil markets remained tightly balanced for much of 2006 as demand, geopolitical events and inherent production decline continued to pressure the margin of excess production capacity. The price for WTI (West Texas Intermediate) reached a record of $78-per-barrel in mid-July but then began a fall that continued</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through the end of year as increasing stockpiles indicated adequate supply. Although prices recovered as OPEC cut production targets from November 1</w:t>
      </w:r>
      <w:r>
        <w:rPr>
          <w:rFonts w:ascii="Arial" w:cs="Arial" w:eastAsia="Arial" w:hAnsi="Arial"/>
          <w:sz w:val="20"/>
          <w:szCs w:val="20"/>
          <w:color w:val="auto"/>
          <w:vertAlign w:val="superscript"/>
        </w:rPr>
        <w:t>st</w:t>
      </w:r>
      <w:r>
        <w:rPr>
          <w:rFonts w:ascii="Arial" w:cs="Arial" w:eastAsia="Arial" w:hAnsi="Arial"/>
          <w:sz w:val="16"/>
          <w:szCs w:val="16"/>
          <w:color w:val="auto"/>
        </w:rPr>
        <w:t>, mild weather conditions in the Northern Hemisphere further exacerbated the balance of supply and demand and prices ended the year around the $55-per-barrel mark. However, at this level there were no signs of reductions in customer activity in any of the major oil-producing regions around the world.</w:t>
      </w:r>
    </w:p>
    <w:p>
      <w:pPr>
        <w:spacing w:after="0" w:line="8" w:lineRule="exact"/>
        <w:rPr>
          <w:sz w:val="20"/>
          <w:szCs w:val="20"/>
          <w:color w:val="auto"/>
        </w:rPr>
      </w:pPr>
    </w:p>
    <w:p>
      <w:pPr>
        <w:ind w:right="140" w:firstLine="228"/>
        <w:spacing w:after="0" w:line="253" w:lineRule="auto"/>
        <w:rPr>
          <w:sz w:val="20"/>
          <w:szCs w:val="20"/>
          <w:color w:val="auto"/>
        </w:rPr>
      </w:pPr>
      <w:r>
        <w:rPr>
          <w:rFonts w:ascii="Arial" w:cs="Arial" w:eastAsia="Arial" w:hAnsi="Arial"/>
          <w:sz w:val="18"/>
          <w:szCs w:val="18"/>
          <w:color w:val="auto"/>
        </w:rPr>
        <w:t>Natural gas displayed similar characteristics with the price falling considerably in the fourth quarter of 2006 as the high quantity in storage in North America appeared more than ample for what had begun as a predominantly mild winter. By the end of 2006, this demand environment had lead to activity reduction in Canada, particularly in areas of shallow natural gas and coalbed methane production.</w:t>
      </w:r>
    </w:p>
    <w:p>
      <w:pPr>
        <w:ind w:right="240" w:firstLine="228"/>
        <w:spacing w:after="0" w:line="250" w:lineRule="auto"/>
        <w:rPr>
          <w:sz w:val="20"/>
          <w:szCs w:val="20"/>
          <w:color w:val="auto"/>
        </w:rPr>
      </w:pPr>
      <w:r>
        <w:rPr>
          <w:rFonts w:ascii="Arial" w:cs="Arial" w:eastAsia="Arial" w:hAnsi="Arial"/>
          <w:sz w:val="18"/>
          <w:szCs w:val="18"/>
          <w:color w:val="auto"/>
        </w:rPr>
        <w:t>Short-term variations in commodity prices inevitably produce varying activity growth rates in the underlying industries when the price variations are sufficiently long-lasting. However, maintaining the production base for both oil and natural gas in the face of accelerating decline rates, poorer quality or more difficult reservoirs and eroding reserve replacement ratios we believe will mean that any moderation in customer activity resulting from price variation will be short-lived and self-correcting. While Schlumberger remains of the opinion that there is no overall shortage of oil and gas reserves worldwide, we believe the world is realizing that the period of cheap hydrocarbon energy has ended and new and higher sustained levels of investment are necessary to meet demand and guarantee future supplies.</w:t>
      </w:r>
    </w:p>
    <w:p>
      <w:pPr>
        <w:spacing w:after="0" w:line="3" w:lineRule="exact"/>
        <w:rPr>
          <w:sz w:val="20"/>
          <w:szCs w:val="20"/>
          <w:color w:val="auto"/>
        </w:rPr>
      </w:pPr>
    </w:p>
    <w:p>
      <w:pPr>
        <w:ind w:right="280" w:firstLine="228"/>
        <w:spacing w:after="0" w:line="281" w:lineRule="auto"/>
        <w:rPr>
          <w:sz w:val="20"/>
          <w:szCs w:val="20"/>
          <w:color w:val="auto"/>
        </w:rPr>
      </w:pPr>
      <w:r>
        <w:rPr>
          <w:rFonts w:ascii="Arial" w:cs="Arial" w:eastAsia="Arial" w:hAnsi="Arial"/>
          <w:sz w:val="16"/>
          <w:szCs w:val="16"/>
          <w:color w:val="auto"/>
        </w:rPr>
        <w:t>Within this context, the performance of the two Schlumberger business segments, Oilfield Services and WesternGeco, has been particularly strong. Consolidated revenues in 2006 grew by 34%, far exceeding original expectations – driven by significant price increases, a rich portfolio of new Schlumberger technologies, and by stronger activity in almost all GeoMarkets. The same combination led to significant margin growth for both Schlumberger business segments with WesternGeco growth during the year being particularly impressive as exploration activity resurged.</w:t>
      </w:r>
    </w:p>
    <w:p>
      <w:pPr>
        <w:spacing w:after="0" w:line="3" w:lineRule="exact"/>
        <w:rPr>
          <w:sz w:val="20"/>
          <w:szCs w:val="20"/>
          <w:color w:val="auto"/>
        </w:rPr>
      </w:pPr>
    </w:p>
    <w:p>
      <w:pPr>
        <w:ind w:right="140" w:firstLine="228"/>
        <w:spacing w:after="0" w:line="281" w:lineRule="auto"/>
        <w:rPr>
          <w:sz w:val="20"/>
          <w:szCs w:val="20"/>
          <w:color w:val="auto"/>
        </w:rPr>
      </w:pPr>
      <w:r>
        <w:rPr>
          <w:rFonts w:ascii="Arial" w:cs="Arial" w:eastAsia="Arial" w:hAnsi="Arial"/>
          <w:sz w:val="16"/>
          <w:szCs w:val="16"/>
          <w:color w:val="auto"/>
        </w:rPr>
        <w:t>The last two years have seen a significant shift in the dynamics of access to reserves. This has been the case in Latin America and in Russia, and is also the case in the Middle East. In addition, and in a way not seen since the 1973 oil shocks, access to reserves has become an issue of national energy security, particularly for the growing economies of Asia. As a result, many national oil companies have begun to expand beyond their geographic borders, and are therefore competing for access to reserves against the international industry. The same lack of access has driven the international oil companies to smaller, more complex and more remote areas where substantial investment is required.</w:t>
      </w:r>
    </w:p>
    <w:p>
      <w:pPr>
        <w:spacing w:after="0" w:line="3" w:lineRule="exact"/>
        <w:rPr>
          <w:sz w:val="20"/>
          <w:szCs w:val="20"/>
          <w:color w:val="auto"/>
        </w:rPr>
      </w:pPr>
    </w:p>
    <w:p>
      <w:pPr>
        <w:ind w:right="120" w:firstLine="228"/>
        <w:spacing w:after="0" w:line="292" w:lineRule="auto"/>
        <w:rPr>
          <w:sz w:val="20"/>
          <w:szCs w:val="20"/>
          <w:color w:val="auto"/>
        </w:rPr>
      </w:pPr>
      <w:r>
        <w:rPr>
          <w:rFonts w:ascii="Arial" w:cs="Arial" w:eastAsia="Arial" w:hAnsi="Arial"/>
          <w:sz w:val="16"/>
          <w:szCs w:val="16"/>
          <w:color w:val="auto"/>
        </w:rPr>
        <w:t>The period from 2000 to 2004 reflected a lack of exploration-related activity as a whole. This can now clearly be seen as changing, and we believe that industry spending will increase for a number of years to come. Regions that are emerging include many areas in West and South Africa, Nigeria, Algeria, Libya, Saudi Arabia, Qatar, India and China, and the GeoMarkets that cover these regions all contributed to Schlumberger growth in 2006. However, what is perhaps equally significant is the increase in exploration within known fields. This is driven by the need to identify and access by-passed or small accumulations of oil that can be tied back to existing infrastructure. The North Sea, parts of Saudi Arabia and Russia are examples of this.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80" w:firstLine="228"/>
        <w:spacing w:after="0" w:line="283" w:lineRule="auto"/>
        <w:rPr>
          <w:sz w:val="20"/>
          <w:szCs w:val="20"/>
          <w:color w:val="auto"/>
        </w:rPr>
      </w:pPr>
      <w:r>
        <w:rPr>
          <w:rFonts w:ascii="Arial" w:cs="Arial" w:eastAsia="Arial" w:hAnsi="Arial"/>
          <w:sz w:val="16"/>
          <w:szCs w:val="16"/>
          <w:color w:val="auto"/>
        </w:rPr>
        <w:t>In Russia, and more particularly in West Siberia, the production enhancement activity that restored production in the 1998-2003 timeframe is now becoming a business focused on developing the remaining pockets of recoverable oil within producing reservoirs. At the same time, continuing exploration activity offshore Sakhalin, and burgeoning exploration in Eastern Siberia are contributing to rapid growth. Growth has been fueled both by organic expansion and by the acquisition of PetroAlliance Services, which was completed in May 2006. To supply the Russian market, we have continued to increase our in-country product development and manufacturing with installations in Tyumen and Novosibirsk in Western Siberia.</w:t>
      </w:r>
    </w:p>
    <w:p>
      <w:pPr>
        <w:spacing w:after="0" w:line="2"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The resurgence in exploration activity has led to substantial technology-based growth for Schlumberger. WesternGeco, as well as Oilfield Services’ Wireline, Drilling &amp; Measurements and Well Testing services have all benefited from this as they are services that impact reservoir characterization and understanding. Growth, however, has been accelerated by a number of critical acquisitions. In addition to the last tranche of PetroAlliance Services in Russia, Schlumberger purchased the 30% minority interest in WesternGeco in the second quarter of 2006. This acquisition has removed the barriers to integration of a number of different measurement techniques that was not possible in a joint venture with a competitor. But perhaps even more significantly, Schlumberger made other acquisitions to extend its technology portfolio. Odegaard inversion software, TerraTek geomechanical expertise and Reslink advanced completions solutions were three such examples in 2006.</w:t>
      </w:r>
    </w:p>
    <w:p>
      <w:pPr>
        <w:spacing w:after="0" w:line="3" w:lineRule="exact"/>
        <w:rPr>
          <w:sz w:val="20"/>
          <w:szCs w:val="20"/>
          <w:color w:val="auto"/>
        </w:rPr>
      </w:pPr>
    </w:p>
    <w:p>
      <w:pPr>
        <w:jc w:val="both"/>
        <w:ind w:right="140" w:firstLine="228"/>
        <w:spacing w:after="0" w:line="281" w:lineRule="auto"/>
        <w:rPr>
          <w:sz w:val="20"/>
          <w:szCs w:val="20"/>
          <w:color w:val="auto"/>
        </w:rPr>
      </w:pPr>
      <w:r>
        <w:rPr>
          <w:rFonts w:ascii="Arial" w:cs="Arial" w:eastAsia="Arial" w:hAnsi="Arial"/>
          <w:sz w:val="16"/>
          <w:szCs w:val="16"/>
          <w:color w:val="auto"/>
        </w:rPr>
        <w:t>Integrated Project Management has been a further avenue for growth that has responded to an emerging customer need in markets where the lack of skilled resources and the increase in international operations have posed challenges for a variety of industry operators. In 2005 and 2006 Schlumberger has focused on this market opportunity that responds to the need to increase production and reserves. Clear focus on bringing field and production management services as well as well construction services have had positive effects on returns and 2006 profitability has shown a marked improvement over prior years.</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following discussion and analysis of results of operations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370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2005</w:t>
            </w:r>
          </w:p>
        </w:tc>
        <w:tc>
          <w:tcPr>
            <w:tcW w:w="11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2005</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2004</w:t>
            </w:r>
          </w:p>
        </w:tc>
        <w:tc>
          <w:tcPr>
            <w:tcW w:w="9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 Change</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2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9"/>
        </w:trPr>
        <w:tc>
          <w:tcPr>
            <w:tcW w:w="3700" w:type="dxa"/>
            <w:vAlign w:val="bottom"/>
          </w:tcPr>
          <w:p>
            <w:pPr>
              <w:spacing w:after="0" w:line="149" w:lineRule="exact"/>
              <w:rPr>
                <w:sz w:val="20"/>
                <w:szCs w:val="20"/>
                <w:color w:val="auto"/>
              </w:rPr>
            </w:pPr>
            <w:r>
              <w:rPr>
                <w:rFonts w:ascii="Arial" w:cs="Arial" w:eastAsia="Arial" w:hAnsi="Arial"/>
                <w:sz w:val="14"/>
                <w:szCs w:val="14"/>
                <w:color w:val="auto"/>
              </w:rPr>
              <w:t>Operating Revenue</w:t>
            </w:r>
          </w:p>
        </w:tc>
        <w:tc>
          <w:tcPr>
            <w:tcW w:w="2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83"/>
              </w:rPr>
              <w:t>16,767</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w w:val="79"/>
              </w:rPr>
              <w:t>12,648</w:t>
            </w: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33%</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3"/>
              </w:rPr>
              <w:t>12,648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79"/>
              </w:rPr>
              <w:t>10,239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Segment Income</w:t>
            </w:r>
          </w:p>
        </w:tc>
        <w:tc>
          <w:tcPr>
            <w:tcW w:w="2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4,603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w w:val="96"/>
              </w:rPr>
              <w:t>2,805</w:t>
            </w: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64%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2,805</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6"/>
              </w:rPr>
              <w:t>1,801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r>
      <w:tr>
        <w:trPr>
          <w:trHeight w:val="257"/>
        </w:trPr>
        <w:tc>
          <w:tcPr>
            <w:tcW w:w="3700" w:type="dxa"/>
            <w:vAlign w:val="bottom"/>
          </w:tcPr>
          <w:p>
            <w:pPr>
              <w:spacing w:after="0"/>
              <w:rPr>
                <w:sz w:val="20"/>
                <w:szCs w:val="20"/>
                <w:color w:val="auto"/>
              </w:rPr>
            </w:pPr>
            <w:r>
              <w:rPr>
                <w:rFonts w:ascii="Arial" w:cs="Arial" w:eastAsia="Arial" w:hAnsi="Arial"/>
                <w:sz w:val="14"/>
                <w:szCs w:val="14"/>
                <w:b w:val="1"/>
                <w:bCs w:val="1"/>
                <w:i w:val="1"/>
                <w:iCs w:val="1"/>
                <w:color w:val="auto"/>
              </w:rPr>
              <w:t>WESTERNGECO</w:t>
            </w:r>
          </w:p>
        </w:tc>
        <w:tc>
          <w:tcPr>
            <w:tcW w:w="2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w:t>
            </w:r>
          </w:p>
        </w:tc>
        <w:tc>
          <w:tcPr>
            <w:tcW w:w="2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2,471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w w:val="96"/>
              </w:rPr>
              <w:t>1,662</w:t>
            </w:r>
          </w:p>
        </w:tc>
        <w:tc>
          <w:tcPr>
            <w:tcW w:w="11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49%</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1,662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96"/>
              </w:rPr>
              <w:t>1,238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r>
      <w:tr>
        <w:trPr>
          <w:trHeight w:val="174"/>
        </w:trPr>
        <w:tc>
          <w:tcPr>
            <w:tcW w:w="3700" w:type="dxa"/>
            <w:vAlign w:val="bottom"/>
          </w:tcPr>
          <w:p>
            <w:pPr>
              <w:spacing w:after="0"/>
              <w:rPr>
                <w:sz w:val="20"/>
                <w:szCs w:val="20"/>
                <w:color w:val="auto"/>
              </w:rPr>
            </w:pPr>
            <w:r>
              <w:rPr>
                <w:rFonts w:ascii="Arial" w:cs="Arial" w:eastAsia="Arial" w:hAnsi="Arial"/>
                <w:sz w:val="14"/>
                <w:szCs w:val="14"/>
                <w:color w:val="auto"/>
              </w:rPr>
              <w:t>Pretax Segment Income</w:t>
            </w: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853</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72"/>
              <w:spacing w:after="0"/>
              <w:rPr>
                <w:sz w:val="20"/>
                <w:szCs w:val="20"/>
                <w:color w:val="auto"/>
              </w:rPr>
            </w:pPr>
            <w:r>
              <w:rPr>
                <w:rFonts w:ascii="Arial" w:cs="Arial" w:eastAsia="Arial" w:hAnsi="Arial"/>
                <w:sz w:val="14"/>
                <w:szCs w:val="14"/>
                <w:b w:val="1"/>
                <w:bCs w:val="1"/>
                <w:color w:val="auto"/>
              </w:rPr>
              <w:t>317</w:t>
            </w: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rPr>
              <w:t>170%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rPr>
                <w:sz w:val="20"/>
                <w:szCs w:val="20"/>
                <w:color w:val="auto"/>
              </w:rPr>
            </w:pPr>
            <w:r>
              <w:rPr>
                <w:rFonts w:ascii="Arial" w:cs="Arial" w:eastAsia="Arial" w:hAnsi="Arial"/>
                <w:sz w:val="14"/>
                <w:szCs w:val="14"/>
                <w:color w:val="auto"/>
              </w:rPr>
              <w:t>317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72"/>
              <w:spacing w:after="0"/>
              <w:rPr>
                <w:sz w:val="20"/>
                <w:szCs w:val="20"/>
                <w:color w:val="auto"/>
              </w:rPr>
            </w:pPr>
            <w:r>
              <w:rPr>
                <w:rFonts w:ascii="Arial" w:cs="Arial" w:eastAsia="Arial" w:hAnsi="Arial"/>
                <w:sz w:val="14"/>
                <w:szCs w:val="14"/>
                <w:color w:val="auto"/>
              </w:rPr>
              <w:t>124</w:t>
            </w:r>
          </w:p>
        </w:tc>
        <w:tc>
          <w:tcPr>
            <w:tcW w:w="900" w:type="dxa"/>
            <w:vAlign w:val="bottom"/>
          </w:tcPr>
          <w:p>
            <w:pPr>
              <w:jc w:val="right"/>
              <w:spacing w:after="0"/>
              <w:rPr>
                <w:sz w:val="20"/>
                <w:szCs w:val="20"/>
                <w:color w:val="auto"/>
              </w:rPr>
            </w:pPr>
            <w:r>
              <w:rPr>
                <w:rFonts w:ascii="Arial" w:cs="Arial" w:eastAsia="Arial" w:hAnsi="Arial"/>
                <w:sz w:val="14"/>
                <w:szCs w:val="14"/>
                <w:color w:val="auto"/>
              </w:rPr>
              <w:t>155%</w:t>
            </w:r>
          </w:p>
        </w:tc>
      </w:tr>
    </w:tbl>
    <w:p>
      <w:pPr>
        <w:spacing w:after="0" w:line="114"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 xml:space="preserve">Pretax segment income represents the business segments’ income before taxes and minority interest. Pretax segment income excludes corporate expenses, interest income, interest expense, amortization of certain intangibles, interest, stock-based compensation costs and the Charges and Credits described in detail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as these items are not allocated to the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Results</w:t>
      </w:r>
    </w:p>
    <w:p>
      <w:pPr>
        <w:spacing w:after="0" w:line="74"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Revenue of $16.77 billion increased 33% in 2006 versus 2005 driven by growth in oilfield services activities as operators responded strongly to increasing global hydrocarbon demand through renewed exploration and increased focus on production operations. Within the geographic Areas, North America revenue increased 40%, Europe/CIS/Africa increased 36%, Middle East &amp; Asia increased 31% and Latin America increased 16%.</w:t>
      </w:r>
    </w:p>
    <w:p>
      <w:pPr>
        <w:spacing w:after="0" w:line="1"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Pretax operating income of $4.60 billion in 2006 grew by 64% over 2005 resulting in operating margins climbing by 527 basis points (bps) to reach a new record of 27.5%. Stronger activity, accelerating higher-margin new technology deployment and increased pricing across all Areas were the principal contributors to this performance.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jc w:val="both"/>
        <w:ind w:right="140" w:firstLine="228"/>
        <w:spacing w:after="0" w:line="253" w:lineRule="auto"/>
        <w:rPr>
          <w:sz w:val="20"/>
          <w:szCs w:val="20"/>
          <w:color w:val="auto"/>
        </w:rPr>
      </w:pPr>
      <w:r>
        <w:rPr>
          <w:rFonts w:ascii="Arial" w:cs="Arial" w:eastAsia="Arial" w:hAnsi="Arial"/>
          <w:sz w:val="18"/>
          <w:szCs w:val="18"/>
          <w:color w:val="auto"/>
        </w:rPr>
        <w:t>Among the GeoMarkets, the greatest increases in revenue were recorded in US Land, followed by the Arabian, Russian, North Sea, US Gulf Coast, Canada, West &amp; South Africa, Nigeria and North Africa GeoMarkets. The growth in Russia was driven by a combination of activity within the established GeoMarkets and the impact of the acquisition of PetroAlliance Services.</w:t>
      </w:r>
    </w:p>
    <w:p>
      <w:pPr>
        <w:ind w:right="100" w:firstLine="228"/>
        <w:spacing w:after="0" w:line="281" w:lineRule="auto"/>
        <w:rPr>
          <w:sz w:val="20"/>
          <w:szCs w:val="20"/>
          <w:color w:val="auto"/>
        </w:rPr>
      </w:pPr>
      <w:r>
        <w:rPr>
          <w:rFonts w:ascii="Arial" w:cs="Arial" w:eastAsia="Arial" w:hAnsi="Arial"/>
          <w:sz w:val="16"/>
          <w:szCs w:val="16"/>
          <w:color w:val="auto"/>
        </w:rPr>
        <w:t>Significant demand was seen for all Technologies as customers sought to improve exploration and production performance while mitigating technical risk in the search for new hydrocarbon reserves and in the need to increase production and boost recovery from existing fields.</w:t>
      </w:r>
    </w:p>
    <w:p>
      <w:pPr>
        <w:spacing w:after="0" w:line="1" w:lineRule="exact"/>
        <w:rPr>
          <w:sz w:val="20"/>
          <w:szCs w:val="20"/>
          <w:color w:val="auto"/>
        </w:rPr>
      </w:pPr>
    </w:p>
    <w:p>
      <w:pPr>
        <w:ind w:right="20" w:firstLine="228"/>
        <w:spacing w:after="0" w:line="300" w:lineRule="auto"/>
        <w:rPr>
          <w:sz w:val="20"/>
          <w:szCs w:val="20"/>
          <w:color w:val="auto"/>
        </w:rPr>
      </w:pPr>
      <w:r>
        <w:rPr>
          <w:rFonts w:ascii="Arial" w:cs="Arial" w:eastAsia="Arial" w:hAnsi="Arial"/>
          <w:sz w:val="15"/>
          <w:szCs w:val="15"/>
          <w:color w:val="auto"/>
        </w:rPr>
        <w:t>A number of key acquisitions were made during the year. These included the acquisition of the outstanding 49% of PetroAlliance Services in Russia; as well as TerraTek – a global leader in geomechanics measurements and analysis; Odegaard – a leader in advanced surface seismic data inversion software; and Reslink</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 a leading supplier of advanced completion solutions which offer a broad spectrum of engineering applications and products for sand management, zonal isolation and intelligent well completions.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Revenue of $5.27 billion increased 40% over 2005 mainly driven by the US Land and US Gulf Coast GeoMarkets, which benefited from strong Well Services, Drilling &amp; Measurements and Wireline activities coupled with continued pricing improvements. Increasing demand for Well Testing activities offshore also contributed to growth.</w:t>
      </w:r>
    </w:p>
    <w:p>
      <w:pPr>
        <w:jc w:val="both"/>
        <w:ind w:right="220" w:firstLine="228"/>
        <w:spacing w:after="0" w:line="250" w:lineRule="auto"/>
        <w:rPr>
          <w:sz w:val="20"/>
          <w:szCs w:val="20"/>
          <w:color w:val="auto"/>
        </w:rPr>
      </w:pPr>
      <w:r>
        <w:rPr>
          <w:rFonts w:ascii="Arial" w:cs="Arial" w:eastAsia="Arial" w:hAnsi="Arial"/>
          <w:sz w:val="18"/>
          <w:szCs w:val="18"/>
          <w:color w:val="auto"/>
        </w:rPr>
        <w:t>Sharply increased activity in the US Land GeoMarket led to strong equipment and personnel utilization, higher pricing and increased demand for high-tier, new-technology services. The US Gulf Coast GeoMarket rebounded strongly from the effects of the disastrous 2005 hurricane season with growth driven by a combination of new exploration and increased production-related activities.</w:t>
      </w:r>
    </w:p>
    <w:p>
      <w:pPr>
        <w:spacing w:after="0" w:line="1" w:lineRule="exact"/>
        <w:rPr>
          <w:sz w:val="20"/>
          <w:szCs w:val="20"/>
          <w:color w:val="auto"/>
        </w:rPr>
      </w:pPr>
    </w:p>
    <w:p>
      <w:pPr>
        <w:ind w:right="540" w:firstLine="228"/>
        <w:spacing w:after="0" w:line="250" w:lineRule="auto"/>
        <w:rPr>
          <w:sz w:val="20"/>
          <w:szCs w:val="20"/>
          <w:color w:val="auto"/>
        </w:rPr>
      </w:pPr>
      <w:r>
        <w:rPr>
          <w:rFonts w:ascii="Arial" w:cs="Arial" w:eastAsia="Arial" w:hAnsi="Arial"/>
          <w:sz w:val="18"/>
          <w:szCs w:val="18"/>
          <w:color w:val="auto"/>
        </w:rPr>
        <w:t>Canada continued to grow due to strong demand for Drilling &amp; Measurements and Wireline technologies. Growth was somewhat offset by lower Well Services activity in the coal bed methane and shallow gas areas in the second half of the year.</w:t>
      </w:r>
    </w:p>
    <w:p>
      <w:pPr>
        <w:spacing w:after="0" w:line="1" w:lineRule="exact"/>
        <w:rPr>
          <w:sz w:val="20"/>
          <w:szCs w:val="20"/>
          <w:color w:val="auto"/>
        </w:rPr>
      </w:pPr>
    </w:p>
    <w:p>
      <w:pPr>
        <w:ind w:firstLine="228"/>
        <w:spacing w:after="0" w:line="302" w:lineRule="auto"/>
        <w:rPr>
          <w:sz w:val="20"/>
          <w:szCs w:val="20"/>
          <w:color w:val="auto"/>
        </w:rPr>
      </w:pPr>
      <w:r>
        <w:rPr>
          <w:rFonts w:ascii="Arial" w:cs="Arial" w:eastAsia="Arial" w:hAnsi="Arial"/>
          <w:sz w:val="16"/>
          <w:szCs w:val="16"/>
          <w:color w:val="auto"/>
        </w:rPr>
        <w:t>Pretax operating income of $1.60 billion was 72% higher than in 2005 led by the US Land and US Gulf of Mexico GeoMarkets. The steep growth was primarily due to continuing strength in pricing, particularly for Well Services, Wireline and Drilling &amp; Measurements technologies, and a more favorable activity mix resulting from the deployment of higher-margin new-technology Drilling &amp; Measurements, Wireline and Well Testing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 of $2.56 billion in 2006 increased 16% over 2005 led by the Venezuela/Trinidad &amp; Tobago GeoMarket, followed by the Latin America South and Peru/Colombia/Ecuador GeoMarkets. Growth in the Area was impacted by budget-related activity slowdowns in Mexico together with geopolitical concerns in other parts of the region.</w:t>
      </w:r>
    </w:p>
    <w:p>
      <w:pPr>
        <w:ind w:right="40" w:firstLine="228"/>
        <w:spacing w:after="0" w:line="250" w:lineRule="auto"/>
        <w:rPr>
          <w:sz w:val="20"/>
          <w:szCs w:val="20"/>
          <w:color w:val="auto"/>
        </w:rPr>
      </w:pPr>
      <w:r>
        <w:rPr>
          <w:rFonts w:ascii="Arial" w:cs="Arial" w:eastAsia="Arial" w:hAnsi="Arial"/>
          <w:sz w:val="18"/>
          <w:szCs w:val="18"/>
          <w:color w:val="auto"/>
        </w:rPr>
        <w:t>The Venezuela/Trinidad &amp; Tobago GeoMarket recorded strong growth due to solid demand for Drilling &amp; Measurements technologies. Well Services, Wireline, Completions and Artificial Lift technologies also contributed to growth. In Venezuela, discussions regarding new contracts for the drilling barges work and the settlement of certain outstanding receivables had progressed at the end of the year. Pending finalization of these new contracts, revenue recognition was deferred on certain work performed in the third and fourth quarters. As the costs associated with this work were also deferred, this did not have a significant impact on the Area’s pretax operating income.</w:t>
      </w:r>
    </w:p>
    <w:p>
      <w:pPr>
        <w:spacing w:after="0" w:line="2" w:lineRule="exact"/>
        <w:rPr>
          <w:sz w:val="20"/>
          <w:szCs w:val="20"/>
          <w:color w:val="auto"/>
        </w:rPr>
      </w:pPr>
    </w:p>
    <w:p>
      <w:pPr>
        <w:ind w:right="200" w:firstLine="228"/>
        <w:spacing w:after="0" w:line="255" w:lineRule="auto"/>
        <w:rPr>
          <w:sz w:val="20"/>
          <w:szCs w:val="20"/>
          <w:color w:val="auto"/>
        </w:rPr>
      </w:pPr>
      <w:r>
        <w:rPr>
          <w:rFonts w:ascii="Arial" w:cs="Arial" w:eastAsia="Arial" w:hAnsi="Arial"/>
          <w:sz w:val="18"/>
          <w:szCs w:val="18"/>
          <w:color w:val="auto"/>
        </w:rPr>
        <w:t>The Latin America South GeoMarket registered strong growth due primarily to increased Well Services, Drilling &amp; Measurements, IPM and Well Testing activities, while growth in the Peru/Colombia/Ecuador GeoMarket resulted from significant demand for Drilling &amp; Measurements, Wireline and Artificial Lift technologies.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Pretax operating income of $495 million in 2006 increased 50% versus 2005. This increase resulted mainly from a favorable activity mix in IPM projects and improved operating efficiencies in Drilling &amp; Measurements and Well Testing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ind w:left="240" w:right="140" w:hanging="227"/>
        <w:spacing w:after="0" w:line="305" w:lineRule="auto"/>
        <w:rPr>
          <w:sz w:val="20"/>
          <w:szCs w:val="20"/>
          <w:color w:val="auto"/>
        </w:rPr>
      </w:pPr>
      <w:r>
        <w:rPr>
          <w:rFonts w:ascii="Arial" w:cs="Arial" w:eastAsia="Arial" w:hAnsi="Arial"/>
          <w:sz w:val="15"/>
          <w:szCs w:val="15"/>
          <w:color w:val="auto"/>
        </w:rPr>
        <w:t>Revenue of $4.82 billion in 2006 increased 36% over 2005 with the highest growth recorded in the North Sea, North Africa, Nigeria GeoMarkets and in Russia. Strong revenue increases were recorded in Russia and other CIS countries despite the weather-related slowdown in the first quarter, due to a combination of</w:t>
      </w:r>
    </w:p>
    <w:p>
      <w:pPr>
        <w:ind w:right="360"/>
        <w:spacing w:after="0" w:line="250" w:lineRule="auto"/>
        <w:rPr>
          <w:sz w:val="20"/>
          <w:szCs w:val="20"/>
          <w:color w:val="auto"/>
        </w:rPr>
      </w:pPr>
      <w:r>
        <w:rPr>
          <w:rFonts w:ascii="Arial" w:cs="Arial" w:eastAsia="Arial" w:hAnsi="Arial"/>
          <w:sz w:val="18"/>
          <w:szCs w:val="18"/>
          <w:color w:val="auto"/>
        </w:rPr>
        <w:t>organic growth within Schlumberger Technology lines and the impact of the acquisition of PetroAlliance Services. Renewed customer focus on exploration resulted in steep growth in the North Sea and North Africa GeoMarkets, while the West &amp; South Africa and Nigeria GeoMarkets maintained a robust growth momentum.</w:t>
      </w:r>
    </w:p>
    <w:p>
      <w:pPr>
        <w:spacing w:after="0" w:line="1" w:lineRule="exact"/>
        <w:rPr>
          <w:sz w:val="20"/>
          <w:szCs w:val="20"/>
          <w:color w:val="auto"/>
        </w:rPr>
      </w:pPr>
    </w:p>
    <w:p>
      <w:pPr>
        <w:ind w:right="460" w:firstLine="228"/>
        <w:spacing w:after="0" w:line="261" w:lineRule="auto"/>
        <w:rPr>
          <w:sz w:val="20"/>
          <w:szCs w:val="20"/>
          <w:color w:val="auto"/>
        </w:rPr>
      </w:pPr>
      <w:r>
        <w:rPr>
          <w:rFonts w:ascii="Arial" w:cs="Arial" w:eastAsia="Arial" w:hAnsi="Arial"/>
          <w:sz w:val="18"/>
          <w:szCs w:val="18"/>
          <w:color w:val="auto"/>
        </w:rPr>
        <w:t>Pretax operating income of $1.20 billion in 2006 increased 70% compared to 2005. All GeoMarkets contributed significantly through increased activity, improved pricing and accelerated new technology deployment.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600"/>
        <w:spacing w:after="0" w:line="254" w:lineRule="auto"/>
        <w:rPr>
          <w:sz w:val="20"/>
          <w:szCs w:val="20"/>
          <w:color w:val="auto"/>
        </w:rPr>
      </w:pPr>
      <w:r>
        <w:rPr>
          <w:rFonts w:ascii="Arial" w:cs="Arial" w:eastAsia="Arial" w:hAnsi="Arial"/>
          <w:sz w:val="18"/>
          <w:szCs w:val="18"/>
          <w:color w:val="auto"/>
        </w:rPr>
        <w:t>Revenue of $3.96 billion in 2006 increased 31% over 2005 with the largest increases recorded in the Arabian, East Africa &amp; East Mediterranean and Gulf GeoMarkets.</w:t>
      </w:r>
    </w:p>
    <w:p>
      <w:pPr>
        <w:ind w:right="580" w:firstLine="228"/>
        <w:spacing w:after="0" w:line="250" w:lineRule="auto"/>
        <w:rPr>
          <w:sz w:val="20"/>
          <w:szCs w:val="20"/>
          <w:color w:val="auto"/>
        </w:rPr>
      </w:pPr>
      <w:r>
        <w:rPr>
          <w:rFonts w:ascii="Arial" w:cs="Arial" w:eastAsia="Arial" w:hAnsi="Arial"/>
          <w:sz w:val="18"/>
          <w:szCs w:val="18"/>
          <w:color w:val="auto"/>
        </w:rPr>
        <w:t>Saudi Arabia continued aggressive growth rates as activity increased rapidly, distinguishing the Arabian GeoMarket as the fastest growing of all of the GeoMarkets.</w:t>
      </w:r>
    </w:p>
    <w:p>
      <w:pPr>
        <w:spacing w:after="0" w:line="1"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Growth in the East Africa &amp; East Mediterranean and Gulf GeoMarkets was principally attributed to higher activity in Drilling &amp; Measurements and Wireline services. The Brunei/Malaysia/Philippines, Australia Papua New Guinea and Thailand/Vietnam/Myanmar GeoMarkets also contributed to growth.</w:t>
      </w:r>
    </w:p>
    <w:p>
      <w:pPr>
        <w:spacing w:after="0" w:line="1" w:lineRule="exact"/>
        <w:rPr>
          <w:sz w:val="20"/>
          <w:szCs w:val="20"/>
          <w:color w:val="auto"/>
        </w:rPr>
      </w:pPr>
    </w:p>
    <w:p>
      <w:pPr>
        <w:ind w:right="540" w:firstLine="228"/>
        <w:spacing w:after="0" w:line="281" w:lineRule="auto"/>
        <w:rPr>
          <w:sz w:val="20"/>
          <w:szCs w:val="20"/>
          <w:color w:val="auto"/>
        </w:rPr>
      </w:pPr>
      <w:r>
        <w:rPr>
          <w:rFonts w:ascii="Arial" w:cs="Arial" w:eastAsia="Arial" w:hAnsi="Arial"/>
          <w:sz w:val="16"/>
          <w:szCs w:val="16"/>
          <w:color w:val="auto"/>
        </w:rPr>
        <w:t>All Technologies witnessed solid growth as activity increased and demand for new technology increased with significant progress in the deployment of Drilling &amp; Measurements PowerDrive* and Scope* technologies to enable successful drilling of a number of complex borehole trajectories.</w:t>
      </w:r>
    </w:p>
    <w:p>
      <w:pPr>
        <w:spacing w:after="0" w:line="1" w:lineRule="exact"/>
        <w:rPr>
          <w:sz w:val="20"/>
          <w:szCs w:val="20"/>
          <w:color w:val="auto"/>
        </w:rPr>
      </w:pPr>
    </w:p>
    <w:p>
      <w:pPr>
        <w:ind w:right="20" w:firstLine="228"/>
        <w:spacing w:after="0" w:line="323" w:lineRule="auto"/>
        <w:rPr>
          <w:sz w:val="20"/>
          <w:szCs w:val="20"/>
          <w:color w:val="auto"/>
        </w:rPr>
      </w:pPr>
      <w:r>
        <w:rPr>
          <w:rFonts w:ascii="Arial" w:cs="Arial" w:eastAsia="Arial" w:hAnsi="Arial"/>
          <w:sz w:val="16"/>
          <w:szCs w:val="16"/>
          <w:color w:val="auto"/>
        </w:rPr>
        <w:t>Pretax operating income of $1.29 billion in 2006 increased 48% compared to 2005. The steady increase in operating income and operating margins throughout the year was due to activity improvement across all GeoMarkets, significant price increases and accelerated new technology deployment.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Results</w:t>
      </w:r>
    </w:p>
    <w:p>
      <w:pPr>
        <w:spacing w:after="0" w:line="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Operating revenue of $2.47 billion increased 49% in 2006 versus 2005. This strong performance was due to the continued market acceptance of Q-Technology* services and strong performance from Marine, Land, Data Processing and Multiclient services. During the second quarter, Schlumberger acquired the Baker Hughes 30% interest in WesternGeco.</w:t>
      </w:r>
    </w:p>
    <w:p>
      <w:pPr>
        <w:ind w:right="320" w:firstLine="228"/>
        <w:spacing w:after="0" w:line="250" w:lineRule="auto"/>
        <w:rPr>
          <w:sz w:val="20"/>
          <w:szCs w:val="20"/>
          <w:color w:val="auto"/>
        </w:rPr>
      </w:pPr>
      <w:r>
        <w:rPr>
          <w:rFonts w:ascii="Arial" w:cs="Arial" w:eastAsia="Arial" w:hAnsi="Arial"/>
          <w:sz w:val="18"/>
          <w:szCs w:val="18"/>
          <w:color w:val="auto"/>
        </w:rPr>
        <w:t>Revenue backlog reached $1.1 billion at the end of 2006 compared to $790 million at the end of last year, reflecting increasing exploration and production activity.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Q-Technology revenues reached $726 million in 2006, representing 29% of total revenue in 2006, significantly in excess of the $399 million achieved in 2005.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Utilization of the six Q-equipped vessels reached 100% in the fourth quarter of 2006.</w:t>
      </w:r>
    </w:p>
    <w:p>
      <w:pPr>
        <w:spacing w:after="0" w:line="9" w:lineRule="exact"/>
        <w:rPr>
          <w:sz w:val="20"/>
          <w:szCs w:val="20"/>
          <w:color w:val="auto"/>
        </w:rPr>
      </w:pPr>
    </w:p>
    <w:p>
      <w:pPr>
        <w:jc w:val="both"/>
        <w:ind w:right="20" w:firstLine="228"/>
        <w:spacing w:after="0" w:line="281" w:lineRule="auto"/>
        <w:rPr>
          <w:sz w:val="20"/>
          <w:szCs w:val="20"/>
          <w:color w:val="auto"/>
        </w:rPr>
      </w:pPr>
      <w:r>
        <w:rPr>
          <w:rFonts w:ascii="Arial" w:cs="Arial" w:eastAsia="Arial" w:hAnsi="Arial"/>
          <w:sz w:val="16"/>
          <w:szCs w:val="16"/>
          <w:color w:val="auto"/>
        </w:rPr>
        <w:t>Multiclient sales increased 51% to $770 million, mainly in the US Gulf of Mexico due to strong sales of the world’s largest and most complex depth migration project – known as E-Dog – which covers an area of 20,250 sq km and extends over 800 blocks in the deepwater Gulf of Mexico. Also contributing to the strong increase were higher sales in Latin America, Asia and West Africa – reflecting the strengthening exploration activity.</w:t>
      </w:r>
    </w:p>
    <w:p>
      <w:pPr>
        <w:spacing w:after="0" w:line="2" w:lineRule="exact"/>
        <w:rPr>
          <w:sz w:val="20"/>
          <w:szCs w:val="20"/>
          <w:color w:val="auto"/>
        </w:rPr>
      </w:pPr>
    </w:p>
    <w:p>
      <w:pPr>
        <w:ind w:right="620" w:firstLine="228"/>
        <w:spacing w:after="0" w:line="261" w:lineRule="auto"/>
        <w:rPr>
          <w:sz w:val="20"/>
          <w:szCs w:val="20"/>
          <w:color w:val="auto"/>
        </w:rPr>
      </w:pPr>
      <w:r>
        <w:rPr>
          <w:rFonts w:ascii="Arial" w:cs="Arial" w:eastAsia="Arial" w:hAnsi="Arial"/>
          <w:sz w:val="18"/>
          <w:szCs w:val="18"/>
          <w:color w:val="auto"/>
        </w:rPr>
        <w:t>Marine revenue grew 65% due mainly to strong activity in Asia, Middle East, India, Europe and North America. Higher vessel utilization, accelerated adoption of Q-Technology and increasing prices contributed to this performance.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Land revenue increased 28% driven by higher sales of Q-Land*, strong activity in the Middle East and South America, and a steep growth in North Africa.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Land seismic crew count increased from 24 at the end of 2005 to 30 at the end of 2006, of which five crews were equipped with Q-Land technology.</w:t>
      </w:r>
    </w:p>
    <w:p>
      <w:pPr>
        <w:spacing w:after="0" w:line="32"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Data Processing revenue increased 22%, reflecting higher acquisition volumes, higher levels of Q processing, and higher activity in India, Asia, North Africa, Europe and the Caspian. During the year, WesternGeco opened a new data processing and reservoir services center in Mumbai, India. The new center, staffed with more than 40 geologists and geophysicists, is one of the most powerful WesternGeco computing facilities worldwide. The center is equipped to provide customers with a full suite of advanced data processing services, including depth imaging and reservoir seismic services such as reservoir characterization and 4D (time-lapse) processing and analysis.</w:t>
      </w:r>
    </w:p>
    <w:p>
      <w:pPr>
        <w:spacing w:after="0" w:line="2" w:lineRule="exact"/>
        <w:rPr>
          <w:sz w:val="20"/>
          <w:szCs w:val="20"/>
          <w:color w:val="auto"/>
        </w:rPr>
      </w:pPr>
    </w:p>
    <w:p>
      <w:pPr>
        <w:ind w:right="660" w:firstLine="228"/>
        <w:spacing w:after="0" w:line="250" w:lineRule="auto"/>
        <w:rPr>
          <w:sz w:val="20"/>
          <w:szCs w:val="20"/>
          <w:color w:val="auto"/>
        </w:rPr>
      </w:pPr>
      <w:r>
        <w:rPr>
          <w:rFonts w:ascii="Arial" w:cs="Arial" w:eastAsia="Arial" w:hAnsi="Arial"/>
          <w:sz w:val="18"/>
          <w:szCs w:val="18"/>
          <w:color w:val="auto"/>
        </w:rPr>
        <w:t>Pretax operating income reached $853 million in 2006 compared to $317 million in 2005 due to accelerating demand for Q* technology coupled with improved pricing and increased vessel utilization, together with strong Multiclient sales.</w:t>
      </w:r>
    </w:p>
    <w:p>
      <w:pPr>
        <w:spacing w:after="0" w:line="1" w:lineRule="exact"/>
        <w:rPr>
          <w:sz w:val="20"/>
          <w:szCs w:val="20"/>
          <w:color w:val="auto"/>
        </w:rPr>
      </w:pPr>
    </w:p>
    <w:p>
      <w:pPr>
        <w:jc w:val="both"/>
        <w:ind w:right="260" w:firstLine="228"/>
        <w:spacing w:after="0" w:line="255" w:lineRule="auto"/>
        <w:rPr>
          <w:sz w:val="20"/>
          <w:szCs w:val="20"/>
          <w:color w:val="auto"/>
        </w:rPr>
      </w:pPr>
      <w:r>
        <w:rPr>
          <w:rFonts w:ascii="Arial" w:cs="Arial" w:eastAsia="Arial" w:hAnsi="Arial"/>
          <w:sz w:val="18"/>
          <w:szCs w:val="18"/>
          <w:color w:val="auto"/>
        </w:rPr>
        <w:t xml:space="preserve">Increased demand for Q-Marine* services led to the commissioning of the sixth Q-Technology equipped vessel – the </w:t>
      </w:r>
      <w:r>
        <w:rPr>
          <w:rFonts w:ascii="Arial" w:cs="Arial" w:eastAsia="Arial" w:hAnsi="Arial"/>
          <w:sz w:val="18"/>
          <w:szCs w:val="18"/>
          <w:i w:val="1"/>
          <w:iCs w:val="1"/>
          <w:color w:val="auto"/>
        </w:rPr>
        <w:t>Western Monarch</w:t>
      </w:r>
      <w:r>
        <w:rPr>
          <w:rFonts w:ascii="Arial" w:cs="Arial" w:eastAsia="Arial" w:hAnsi="Arial"/>
          <w:sz w:val="18"/>
          <w:szCs w:val="18"/>
          <w:color w:val="auto"/>
        </w:rPr>
        <w:t xml:space="preserve"> – during the second quarter. In addition, and in response to further demand, WesternGeco announced the launch of the seventh, eighth and ninth Q vessels in 2007, 2008 and 2009,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Results</w:t>
      </w:r>
    </w:p>
    <w:p>
      <w:pPr>
        <w:spacing w:after="0" w:line="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Revenue of $12.65 billion increased 24% in 2005 versus 2004. Both Latin America and Europe/CIS/Africa increased 27%, Middle East &amp; Asia increased 22% and North America increased 21%. The strong activity levels around the world reflected the growing response to the current narrow margin of excess production capacity.</w:t>
      </w:r>
    </w:p>
    <w:p>
      <w:pPr>
        <w:ind w:right="240" w:firstLine="228"/>
        <w:spacing w:after="0" w:line="250" w:lineRule="auto"/>
        <w:rPr>
          <w:sz w:val="20"/>
          <w:szCs w:val="20"/>
          <w:color w:val="auto"/>
        </w:rPr>
      </w:pPr>
      <w:r>
        <w:rPr>
          <w:rFonts w:ascii="Arial" w:cs="Arial" w:eastAsia="Arial" w:hAnsi="Arial"/>
          <w:sz w:val="18"/>
          <w:szCs w:val="18"/>
          <w:color w:val="auto"/>
        </w:rPr>
        <w:t>Pretax operating income of $2.81 billion in 2005 was 56% higher than in 2004 demonstrating high demand for oilfield services and accelerating technology delivery. Both higher activity and stronger pricing contributed to the sharp increase in pretax operating margins that strengthened across all Oilfield Services geographic areas.</w:t>
      </w:r>
    </w:p>
    <w:p>
      <w:pPr>
        <w:spacing w:after="0" w:line="1" w:lineRule="exact"/>
        <w:rPr>
          <w:sz w:val="20"/>
          <w:szCs w:val="20"/>
          <w:color w:val="auto"/>
        </w:rPr>
      </w:pPr>
    </w:p>
    <w:p>
      <w:pPr>
        <w:ind w:right="340" w:firstLine="228"/>
        <w:spacing w:after="0" w:line="281" w:lineRule="auto"/>
        <w:rPr>
          <w:sz w:val="20"/>
          <w:szCs w:val="20"/>
          <w:color w:val="auto"/>
        </w:rPr>
      </w:pPr>
      <w:r>
        <w:rPr>
          <w:rFonts w:ascii="Arial" w:cs="Arial" w:eastAsia="Arial" w:hAnsi="Arial"/>
          <w:sz w:val="16"/>
          <w:szCs w:val="16"/>
          <w:color w:val="auto"/>
        </w:rPr>
        <w:t>Pricing showed strong improvement in North America and continued to make excellent progress internationally. Customer concern over the availability of certain services and products coupled with recognition of elements of cost inflation has led to inclusion of price-escalation clauses in longer-term contracts.</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Activity increased universally, with the largest growth recorded in the GeoMarkets in Canada; US Land; Peru/Colombia/Ecuador; Russia; Nigeria; Australasia; Saudi Arabia; and the Arabian Gulf. Both organic growth and acquisitions contributed to the more than 50% revenue growth in Russia in 2005 versus 2004.</w:t>
      </w:r>
    </w:p>
    <w:p>
      <w:pPr>
        <w:spacing w:after="0" w:line="1" w:lineRule="exact"/>
        <w:rPr>
          <w:sz w:val="20"/>
          <w:szCs w:val="20"/>
          <w:color w:val="auto"/>
        </w:rPr>
      </w:pPr>
    </w:p>
    <w:p>
      <w:pPr>
        <w:ind w:right="180" w:firstLine="228"/>
        <w:spacing w:after="0" w:line="295" w:lineRule="auto"/>
        <w:rPr>
          <w:sz w:val="20"/>
          <w:szCs w:val="20"/>
          <w:color w:val="auto"/>
        </w:rPr>
      </w:pPr>
      <w:r>
        <w:rPr>
          <w:rFonts w:ascii="Arial" w:cs="Arial" w:eastAsia="Arial" w:hAnsi="Arial"/>
          <w:sz w:val="16"/>
          <w:szCs w:val="16"/>
          <w:color w:val="auto"/>
        </w:rPr>
        <w:t>Demand for all Technologies increased sharply, but particularly for Well Services and Well Completions &amp; Productivity services. Technology introduction accelerated during the year. The Scope* family of Drilling &amp; Measurements services for improved drilling performance and enhanced formation evaluation met growing acceptance as customers realized step changes in well-placement accuracy in several geographical areas. During 2005 Schlumberger also launched the Scanner Family* of wireline logging services, a revolutionary suite of downhole rock and fluid characterization measurements.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880"/>
        <w:spacing w:after="0" w:line="254" w:lineRule="auto"/>
        <w:rPr>
          <w:sz w:val="20"/>
          <w:szCs w:val="20"/>
          <w:color w:val="auto"/>
        </w:rPr>
      </w:pPr>
      <w:r>
        <w:rPr>
          <w:rFonts w:ascii="Arial" w:cs="Arial" w:eastAsia="Arial" w:hAnsi="Arial"/>
          <w:sz w:val="18"/>
          <w:szCs w:val="18"/>
          <w:color w:val="auto"/>
        </w:rPr>
        <w:t>Revenue of $3.76 billion increased 21% over 2004 mainly driven by Canada and US Land, which benefited from strong Well Services and Drilling &amp; Measurements activity coupled with strong pricing improvements.</w:t>
      </w:r>
    </w:p>
    <w:p>
      <w:pPr>
        <w:ind w:left="240"/>
        <w:spacing w:after="0"/>
        <w:rPr>
          <w:sz w:val="20"/>
          <w:szCs w:val="20"/>
          <w:color w:val="auto"/>
        </w:rPr>
      </w:pPr>
      <w:r>
        <w:rPr>
          <w:rFonts w:ascii="Arial" w:cs="Arial" w:eastAsia="Arial" w:hAnsi="Arial"/>
          <w:sz w:val="18"/>
          <w:szCs w:val="18"/>
          <w:color w:val="auto"/>
        </w:rPr>
        <w:t>The Canada GeoMarket experienced strong equipment and personnel utilization, higher pricing and increased demand for high-tier services.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robust growth in US Land resulted from the combination of positive trends in activity and favorable pricing.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240" w:firstLine="228"/>
        <w:spacing w:after="0" w:line="253" w:lineRule="auto"/>
        <w:rPr>
          <w:sz w:val="20"/>
          <w:szCs w:val="20"/>
          <w:color w:val="auto"/>
        </w:rPr>
      </w:pPr>
      <w:r>
        <w:rPr>
          <w:rFonts w:ascii="Arial" w:cs="Arial" w:eastAsia="Arial" w:hAnsi="Arial"/>
          <w:sz w:val="18"/>
          <w:szCs w:val="18"/>
          <w:color w:val="auto"/>
        </w:rPr>
        <w:t>During the third quarter, activity was severely disrupted in the Gulf of Mexico with more than 25 days of operating time lost due to the disastrous hurricane season. Damage sustained by production platforms and mobile offshore drilling units led to reduced activity throughout the third quarter with some lingering effect in the fourth quarter.</w:t>
      </w:r>
    </w:p>
    <w:p>
      <w:pPr>
        <w:ind w:right="20" w:firstLine="228"/>
        <w:spacing w:after="0" w:line="254" w:lineRule="auto"/>
        <w:rPr>
          <w:sz w:val="20"/>
          <w:szCs w:val="20"/>
          <w:color w:val="auto"/>
        </w:rPr>
      </w:pPr>
      <w:r>
        <w:rPr>
          <w:rFonts w:ascii="Arial" w:cs="Arial" w:eastAsia="Arial" w:hAnsi="Arial"/>
          <w:sz w:val="18"/>
          <w:szCs w:val="18"/>
          <w:color w:val="auto"/>
        </w:rPr>
        <w:t>Pretax operating income of $933 million was 80% higher than in 2004 led by US Land and Canada. The steep growth was primarily due to double-digit price increases, particularly for Well Services, Wireline and Drilling &amp; Measurements technologies. New technology introduction and continuing activity growth also contributed to these results. The severe hurricane season in the Gulf of Mexico in 2005 had an estimated impact of approximately $70 million in lost revenue, and $52 million in lost pretax operating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880"/>
        <w:spacing w:after="0" w:line="254" w:lineRule="auto"/>
        <w:rPr>
          <w:sz w:val="20"/>
          <w:szCs w:val="20"/>
          <w:color w:val="auto"/>
        </w:rPr>
      </w:pPr>
      <w:r>
        <w:rPr>
          <w:rFonts w:ascii="Arial" w:cs="Arial" w:eastAsia="Arial" w:hAnsi="Arial"/>
          <w:sz w:val="18"/>
          <w:szCs w:val="18"/>
          <w:color w:val="auto"/>
        </w:rPr>
        <w:t>Revenue of $2.21 billion in 2005 increased 27% over 2004 with the highest growth recorded in the Peru/Colombia/Ecuador and Latin America South GeoMarkets.</w:t>
      </w:r>
    </w:p>
    <w:p>
      <w:pPr>
        <w:ind w:right="340" w:firstLine="228"/>
        <w:spacing w:after="0" w:line="250" w:lineRule="auto"/>
        <w:rPr>
          <w:sz w:val="20"/>
          <w:szCs w:val="20"/>
          <w:color w:val="auto"/>
        </w:rPr>
      </w:pPr>
      <w:r>
        <w:rPr>
          <w:rFonts w:ascii="Arial" w:cs="Arial" w:eastAsia="Arial" w:hAnsi="Arial"/>
          <w:sz w:val="18"/>
          <w:szCs w:val="18"/>
          <w:color w:val="auto"/>
        </w:rPr>
        <w:t>Mexico recorded significant revenue growth, mainly due to a high number of wells being completed on the Burgos project, coupled with an overall rise in third-party managed services revenue.</w:t>
      </w:r>
    </w:p>
    <w:p>
      <w:pPr>
        <w:spacing w:after="0" w:line="1"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Activity in Venezuela increased primarily from IPM and Well Services operations. During the year, continued progress was highlighted with the signing of a short-term renewable agreement with PDVSA in early 2005 relating to the drilling barges work. Discussions regarding the settlement of certain outstanding receivables were still ongoing at year-end.</w:t>
      </w:r>
    </w:p>
    <w:p>
      <w:pPr>
        <w:spacing w:after="0" w:line="1"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The Peru/Colombia/Ecuador GeoMarket contributed significantly to the revenue growth due to the start of several new Drilling &amp; Measurements contracts for the expanding customer base.</w:t>
      </w:r>
    </w:p>
    <w:p>
      <w:pPr>
        <w:spacing w:after="0" w:line="1" w:lineRule="exact"/>
        <w:rPr>
          <w:sz w:val="20"/>
          <w:szCs w:val="20"/>
          <w:color w:val="auto"/>
        </w:rPr>
      </w:pPr>
    </w:p>
    <w:p>
      <w:pPr>
        <w:ind w:right="440" w:firstLine="228"/>
        <w:spacing w:after="0" w:line="250" w:lineRule="auto"/>
        <w:rPr>
          <w:sz w:val="20"/>
          <w:szCs w:val="20"/>
          <w:color w:val="auto"/>
        </w:rPr>
      </w:pPr>
      <w:r>
        <w:rPr>
          <w:rFonts w:ascii="Arial" w:cs="Arial" w:eastAsia="Arial" w:hAnsi="Arial"/>
          <w:sz w:val="18"/>
          <w:szCs w:val="18"/>
          <w:color w:val="auto"/>
        </w:rPr>
        <w:t>The growth in the Latin America South GeoMarket was primarily driven by increased IPM activity, although Brazil experienced strong activity from the deployment of Drilling &amp; Measurements and Wireline technologies.</w:t>
      </w:r>
    </w:p>
    <w:p>
      <w:pPr>
        <w:spacing w:after="0" w:line="1" w:lineRule="exact"/>
        <w:rPr>
          <w:sz w:val="20"/>
          <w:szCs w:val="20"/>
          <w:color w:val="auto"/>
        </w:rPr>
      </w:pPr>
    </w:p>
    <w:p>
      <w:pPr>
        <w:ind w:right="380" w:firstLine="228"/>
        <w:spacing w:after="0" w:line="255" w:lineRule="auto"/>
        <w:rPr>
          <w:sz w:val="20"/>
          <w:szCs w:val="20"/>
          <w:color w:val="auto"/>
        </w:rPr>
      </w:pPr>
      <w:r>
        <w:rPr>
          <w:rFonts w:ascii="Arial" w:cs="Arial" w:eastAsia="Arial" w:hAnsi="Arial"/>
          <w:sz w:val="18"/>
          <w:szCs w:val="18"/>
          <w:color w:val="auto"/>
        </w:rPr>
        <w:t>Pretax operating income of $330 million in 2005 increased 49% versus 2004. This strong increase in operating income resulted mainly from an improved drilling environment in Venezuela coupled with stronger operating efficiencies in Well Services and Drilling &amp; Measurements services and across all GeoMarkets, particularly in the Peru/Colombia/Ecuador GeoMarket.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 of $3.53 billion in 2005 increased 27% over 2004 with the highest growth recorded in the Russia and Nigeria GeoMarkets.</w:t>
      </w:r>
    </w:p>
    <w:p>
      <w:pPr>
        <w:spacing w:after="0" w:line="15" w:lineRule="exact"/>
        <w:rPr>
          <w:sz w:val="20"/>
          <w:szCs w:val="20"/>
          <w:color w:val="auto"/>
        </w:rPr>
      </w:pPr>
    </w:p>
    <w:p>
      <w:pPr>
        <w:ind w:right="640" w:firstLine="228"/>
        <w:spacing w:after="0" w:line="250" w:lineRule="auto"/>
        <w:rPr>
          <w:sz w:val="20"/>
          <w:szCs w:val="20"/>
          <w:color w:val="auto"/>
        </w:rPr>
      </w:pPr>
      <w:r>
        <w:rPr>
          <w:rFonts w:ascii="Arial" w:cs="Arial" w:eastAsia="Arial" w:hAnsi="Arial"/>
          <w:sz w:val="18"/>
          <w:szCs w:val="18"/>
          <w:color w:val="auto"/>
        </w:rPr>
        <w:t>Strong revenue increases were recorded offshore Nigeria and in deepwater West Africa GeoMarket operations mainly benefiting Well Completions &amp; Productivity, Wireline, and Drilling &amp; Measurements with the rapid market acceptance of Scope technology.</w:t>
      </w:r>
    </w:p>
    <w:p>
      <w:pPr>
        <w:spacing w:after="0" w:line="1" w:lineRule="exact"/>
        <w:rPr>
          <w:sz w:val="20"/>
          <w:szCs w:val="20"/>
          <w:color w:val="auto"/>
        </w:rPr>
      </w:pPr>
    </w:p>
    <w:p>
      <w:pPr>
        <w:ind w:right="240" w:firstLine="228"/>
        <w:spacing w:after="0" w:line="250" w:lineRule="auto"/>
        <w:rPr>
          <w:sz w:val="20"/>
          <w:szCs w:val="20"/>
          <w:color w:val="auto"/>
        </w:rPr>
      </w:pPr>
      <w:r>
        <w:rPr>
          <w:rFonts w:ascii="Arial" w:cs="Arial" w:eastAsia="Arial" w:hAnsi="Arial"/>
          <w:sz w:val="18"/>
          <w:szCs w:val="18"/>
          <w:color w:val="auto"/>
        </w:rPr>
        <w:t>The CIS reached revenue of $1.17 billion, an increase of 42% over 2004. The significant increase in revenue in Russia was due to a combination of organic growth, and the impact of the acquisitions of PetroAlliance and the Siberian Geophysical Company. Organic growth in Russia was driven by a recovery in activity for Yuganskneftegaz during the first quarter, increased demand for stimulation and cementing services, strengthening of IPM operations, and robust uptake of new technology.</w:t>
      </w:r>
    </w:p>
    <w:p>
      <w:pPr>
        <w:spacing w:after="0" w:line="2" w:lineRule="exact"/>
        <w:rPr>
          <w:sz w:val="20"/>
          <w:szCs w:val="20"/>
          <w:color w:val="auto"/>
        </w:rPr>
      </w:pPr>
    </w:p>
    <w:p>
      <w:pPr>
        <w:ind w:firstLine="228"/>
        <w:spacing w:after="0" w:line="295" w:lineRule="auto"/>
        <w:rPr>
          <w:sz w:val="20"/>
          <w:szCs w:val="20"/>
          <w:color w:val="auto"/>
        </w:rPr>
      </w:pPr>
      <w:r>
        <w:rPr>
          <w:rFonts w:ascii="Arial" w:cs="Arial" w:eastAsia="Arial" w:hAnsi="Arial"/>
          <w:sz w:val="16"/>
          <w:szCs w:val="16"/>
          <w:color w:val="auto"/>
        </w:rPr>
        <w:t>Pretax operating income of $704 million in 2005 increased 57% compared to 2004. Nigeria and West Africa contributed significantly due to increased activity, pricing improvements, and accelerated technology deployment. Operating income in the North Africa GeoMarket also increased markedly due to the growing presence of international oil companies in the region. The North Sea GeoMarket was a strong contributor to operating income through increased drilling activity and strong demand for production technologies from Well Services and Wireline.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Revenue of $3.03 billion in 2005 increased 22% over 2004 with the highest growth recorded in the Australasia, Brunei/Malaysia/Philippines, Saudi Arabia and Gulf GeoMarkets.</w:t>
      </w:r>
    </w:p>
    <w:p>
      <w:pPr>
        <w:ind w:right="320" w:firstLine="228"/>
        <w:spacing w:after="0" w:line="250" w:lineRule="auto"/>
        <w:rPr>
          <w:sz w:val="20"/>
          <w:szCs w:val="20"/>
          <w:color w:val="auto"/>
        </w:rPr>
      </w:pPr>
      <w:r>
        <w:rPr>
          <w:rFonts w:ascii="Arial" w:cs="Arial" w:eastAsia="Arial" w:hAnsi="Arial"/>
          <w:sz w:val="18"/>
          <w:szCs w:val="18"/>
          <w:color w:val="auto"/>
        </w:rPr>
        <w:t>The importance of the Middle East in responding to the current lack of spare production capacity is reflected in the strong activity plans that were implemented in the region in 2005. The marked revenue growth seen in the Saudi Arabia GeoMarket was principally due to the increase in rig count as Saudi Aramco continued to increase activity in line with its announced spending plans.</w:t>
      </w:r>
    </w:p>
    <w:p>
      <w:pPr>
        <w:spacing w:after="0" w:line="1" w:lineRule="exact"/>
        <w:rPr>
          <w:sz w:val="20"/>
          <w:szCs w:val="20"/>
          <w:color w:val="auto"/>
        </w:rPr>
      </w:pPr>
    </w:p>
    <w:p>
      <w:pPr>
        <w:ind w:right="200" w:firstLine="228"/>
        <w:spacing w:after="0" w:line="250" w:lineRule="auto"/>
        <w:rPr>
          <w:sz w:val="20"/>
          <w:szCs w:val="20"/>
          <w:color w:val="auto"/>
        </w:rPr>
      </w:pPr>
      <w:r>
        <w:rPr>
          <w:rFonts w:ascii="Arial" w:cs="Arial" w:eastAsia="Arial" w:hAnsi="Arial"/>
          <w:sz w:val="18"/>
          <w:szCs w:val="18"/>
          <w:color w:val="auto"/>
        </w:rPr>
        <w:t>East Africa &amp; East Mediterranean GeoMarket growth was mainly due to the expanded market for Drilling &amp; Measurements and the start of a new Wireline campaign. In the Gulf GeoMarket, the start-up of Wireline services for Petroleum Development Oman (PDO) and burgeoning gas activity in Qatar also contributed to the revenue growth. The Arabian, the Gulf and East Africa &amp; East Mediterranean GeoMarkets recorded revenue increases of more than 30% and operating income growth of more than 40%.</w:t>
      </w:r>
    </w:p>
    <w:p>
      <w:pPr>
        <w:spacing w:after="0" w:line="2" w:lineRule="exact"/>
        <w:rPr>
          <w:sz w:val="20"/>
          <w:szCs w:val="20"/>
          <w:color w:val="auto"/>
        </w:rPr>
      </w:pPr>
    </w:p>
    <w:p>
      <w:pPr>
        <w:ind w:right="200" w:firstLine="228"/>
        <w:spacing w:after="0" w:line="250" w:lineRule="auto"/>
        <w:rPr>
          <w:sz w:val="20"/>
          <w:szCs w:val="20"/>
          <w:color w:val="auto"/>
        </w:rPr>
      </w:pPr>
      <w:r>
        <w:rPr>
          <w:rFonts w:ascii="Arial" w:cs="Arial" w:eastAsia="Arial" w:hAnsi="Arial"/>
          <w:sz w:val="18"/>
          <w:szCs w:val="18"/>
          <w:color w:val="auto"/>
        </w:rPr>
        <w:t>The solid contribution from the Brunei/Malaysia/Philippines GeoMarket was mainly due to higher customer expenditures, improved pricing, and a move by several operators into increased deepwater exploration uniquely benefiting Schlumberger technologies.</w:t>
      </w:r>
    </w:p>
    <w:p>
      <w:pPr>
        <w:spacing w:after="0" w:line="1" w:lineRule="exact"/>
        <w:rPr>
          <w:sz w:val="20"/>
          <w:szCs w:val="20"/>
          <w:color w:val="auto"/>
        </w:rPr>
      </w:pPr>
    </w:p>
    <w:p>
      <w:pPr>
        <w:ind w:left="240" w:right="440"/>
        <w:spacing w:after="0" w:line="281" w:lineRule="auto"/>
        <w:rPr>
          <w:sz w:val="20"/>
          <w:szCs w:val="20"/>
          <w:color w:val="auto"/>
        </w:rPr>
      </w:pPr>
      <w:r>
        <w:rPr>
          <w:rFonts w:ascii="Arial" w:cs="Arial" w:eastAsia="Arial" w:hAnsi="Arial"/>
          <w:sz w:val="16"/>
          <w:szCs w:val="16"/>
          <w:color w:val="auto"/>
        </w:rPr>
        <w:t>Activity in China strengthened throughout the year as a result of accelerated adoption of advanced Drilling &amp; Measurements and Wireline technologies. Australasia experienced a robust revenue growth rate mainly due to rising development activity in offshore Australia combined with growing land-based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activity in New Zealand.</w:t>
      </w:r>
    </w:p>
    <w:p>
      <w:pPr>
        <w:spacing w:after="0" w:line="9"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Pretax operating income of $871 million in 2005 increased 34% compared to 2004. The steady increase in operating income and operating margins throughout the year was due to activity improvement across all GeoMarkets and significant price increases – principally in Drilling &amp; Measurements, Well Completions &amp; Productivity, and Wireline Technologies – coupled with the start-up of new projects throughout the Area. Improved results of the Bokor integrated project in the Brunei/Malaysia/Philippines GeoMarket also contributed to the operating income growth.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Results</w:t>
      </w:r>
    </w:p>
    <w:p>
      <w:pPr>
        <w:spacing w:after="0" w:line="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Operating revenue for 2005 was $1.66 billion versus $1.24 billion in 2004. This strong performance was mainly attributable to the continued market acceptance of Q-Technology*, a higher level of Multiclient sales and improved operating leverage in Marine acquisition.</w:t>
      </w:r>
    </w:p>
    <w:p>
      <w:pPr>
        <w:ind w:right="20" w:firstLine="228"/>
        <w:spacing w:after="0" w:line="250" w:lineRule="auto"/>
        <w:rPr>
          <w:sz w:val="20"/>
          <w:szCs w:val="20"/>
          <w:color w:val="auto"/>
        </w:rPr>
      </w:pPr>
      <w:r>
        <w:rPr>
          <w:rFonts w:ascii="Arial" w:cs="Arial" w:eastAsia="Arial" w:hAnsi="Arial"/>
          <w:sz w:val="18"/>
          <w:szCs w:val="18"/>
          <w:color w:val="auto"/>
        </w:rPr>
        <w:t>Backlog reached $790 million at the end of 2005 compared to $670 million at the end of last year, reflecting increasing exploration and production budgets for 2006.</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Q-Technology revenues reached $399 million in 2005, representing 24% of total revenue in 2005, more than doubling the $162 million achieved in 2004.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Utilization of the five Q-equipped vessels reached 93% in the fourth quarter of 2005. Q-Technology revenue is expected to grow by another 80% in 2006.</w:t>
      </w:r>
    </w:p>
    <w:p>
      <w:pPr>
        <w:spacing w:after="0" w:line="32"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Multiclient sales increased 17% to $509 million, mainly in North America due to an especially strong Central Gulf of Mexico lease sale, higher sales in Asia, the Caspian, South America and West Africa – reflecting an improved exploration-spending environment. Approximately 64% of the multiclient surveys sold in 2005 had no net book value due to prior amortization of capitalized costs, compared to approximately 52% in 2004 and only 7.7% of the revenue related to surveys that were impaired in 2003 and 2002.</w:t>
      </w:r>
    </w:p>
    <w:p>
      <w:pPr>
        <w:spacing w:after="0" w:line="2" w:lineRule="exact"/>
        <w:rPr>
          <w:sz w:val="20"/>
          <w:szCs w:val="20"/>
          <w:color w:val="auto"/>
        </w:rPr>
      </w:pPr>
    </w:p>
    <w:p>
      <w:pPr>
        <w:ind w:right="220" w:firstLine="228"/>
        <w:spacing w:after="0" w:line="250" w:lineRule="auto"/>
        <w:rPr>
          <w:sz w:val="20"/>
          <w:szCs w:val="20"/>
          <w:color w:val="auto"/>
        </w:rPr>
      </w:pPr>
      <w:r>
        <w:rPr>
          <w:rFonts w:ascii="Arial" w:cs="Arial" w:eastAsia="Arial" w:hAnsi="Arial"/>
          <w:sz w:val="18"/>
          <w:szCs w:val="18"/>
          <w:color w:val="auto"/>
        </w:rPr>
        <w:t>Marine activity grew 63% mainly from strong activity in the North Sea, Asia, India and the Gulf of Mexico, combined with higher vessel utilization, steady price increases and more favorable contractual terms regarding risk sharing with customers for downtime.</w:t>
      </w:r>
    </w:p>
    <w:p>
      <w:pPr>
        <w:spacing w:after="0" w:line="1"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Land activity increased 31% mainly in the Middle East reflecting higher activity in Saudi Arabia, Algeria and Kuwait. The Land seismic crew count increased from 18 at the end of 2004 to 24 at the end of 2005.</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240" w:right="200"/>
        <w:spacing w:after="0" w:line="286" w:lineRule="auto"/>
        <w:rPr>
          <w:sz w:val="20"/>
          <w:szCs w:val="20"/>
          <w:color w:val="auto"/>
        </w:rPr>
      </w:pPr>
      <w:r>
        <w:rPr>
          <w:rFonts w:ascii="Arial" w:cs="Arial" w:eastAsia="Arial" w:hAnsi="Arial"/>
          <w:sz w:val="16"/>
          <w:szCs w:val="16"/>
          <w:color w:val="auto"/>
        </w:rPr>
        <w:t>Data Processing increased 14% reflecting higher acquisition volumes, higher levels of Q-processing, and higher activity in South America and Russia. Pretax operating income reached $317 million in 2005 compared to $124 million in 2004 due to accelerating demand for Q-Marine* coupled with improved</w:t>
      </w:r>
    </w:p>
    <w:p>
      <w:pPr>
        <w:spacing w:after="0"/>
        <w:rPr>
          <w:sz w:val="20"/>
          <w:szCs w:val="20"/>
          <w:color w:val="auto"/>
        </w:rPr>
      </w:pPr>
      <w:r>
        <w:rPr>
          <w:rFonts w:ascii="Arial" w:cs="Arial" w:eastAsia="Arial" w:hAnsi="Arial"/>
          <w:sz w:val="18"/>
          <w:szCs w:val="18"/>
          <w:color w:val="auto"/>
        </w:rPr>
        <w:t>pricing and increased vessel utilization, together with strong Multiclient sales.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consisted of the following: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20" w:type="dxa"/>
            <w:vAlign w:val="bottom"/>
            <w:tcBorders>
              <w:top w:val="single" w:sz="8" w:color="auto"/>
            </w:tcBorders>
          </w:tcPr>
          <w:p>
            <w:pPr>
              <w:spacing w:after="0"/>
              <w:rPr>
                <w:sz w:val="12"/>
                <w:szCs w:val="12"/>
                <w:color w:val="auto"/>
              </w:rPr>
            </w:pPr>
          </w:p>
        </w:tc>
        <w:tc>
          <w:tcPr>
            <w:tcW w:w="9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2006</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2005</w:t>
            </w:r>
          </w:p>
        </w:tc>
        <w:tc>
          <w:tcPr>
            <w:tcW w:w="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2004</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$117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gridSpan w:val="2"/>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179</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7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Gain on sale of facility in Montrouge, France </w:t>
            </w:r>
            <w:r>
              <w:rPr>
                <w:rFonts w:ascii="Arial" w:cs="Arial" w:eastAsia="Arial" w:hAnsi="Arial"/>
                <w:sz w:val="20"/>
                <w:szCs w:val="20"/>
                <w:color w:val="auto"/>
                <w:vertAlign w:val="superscript"/>
              </w:rPr>
              <w:t>1</w:t>
            </w:r>
          </w:p>
        </w:tc>
        <w:tc>
          <w:tcPr>
            <w:tcW w:w="66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972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Gain on sale of Hanover Compressor investment </w:t>
            </w:r>
            <w:r>
              <w:rPr>
                <w:rFonts w:ascii="Arial" w:cs="Arial" w:eastAsia="Arial" w:hAnsi="Arial"/>
                <w:sz w:val="20"/>
                <w:szCs w:val="20"/>
                <w:color w:val="auto"/>
                <w:vertAlign w:val="superscript"/>
              </w:rPr>
              <w:t>1</w:t>
            </w:r>
          </w:p>
        </w:tc>
        <w:tc>
          <w:tcPr>
            <w:tcW w:w="6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21</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97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Loss on sale of Atos Origin shares </w:t>
            </w:r>
            <w:r>
              <w:rPr>
                <w:rFonts w:ascii="Arial" w:cs="Arial" w:eastAsia="Arial" w:hAnsi="Arial"/>
                <w:sz w:val="20"/>
                <w:szCs w:val="20"/>
                <w:color w:val="auto"/>
                <w:vertAlign w:val="superscript"/>
              </w:rPr>
              <w:t>1</w:t>
            </w:r>
          </w:p>
        </w:tc>
        <w:tc>
          <w:tcPr>
            <w:tcW w:w="66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(21)</w:t>
            </w:r>
          </w:p>
        </w:tc>
        <w:tc>
          <w:tcPr>
            <w:tcW w:w="0" w:type="dxa"/>
            <w:vAlign w:val="bottom"/>
          </w:tcPr>
          <w:p>
            <w:pPr>
              <w:spacing w:after="0"/>
              <w:rPr>
                <w:sz w:val="1"/>
                <w:szCs w:val="1"/>
                <w:color w:val="auto"/>
              </w:rPr>
            </w:pPr>
          </w:p>
        </w:tc>
      </w:tr>
      <w:tr>
        <w:trPr>
          <w:trHeight w:val="176"/>
        </w:trPr>
        <w:tc>
          <w:tcPr>
            <w:tcW w:w="972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Loss on liquidation of investments to fund the WesternGeco transaction </w:t>
            </w:r>
            <w:r>
              <w:rPr>
                <w:rFonts w:ascii="Arial" w:cs="Arial" w:eastAsia="Arial" w:hAnsi="Arial"/>
                <w:sz w:val="20"/>
                <w:szCs w:val="20"/>
                <w:color w:val="auto"/>
                <w:vertAlign w:val="superscript"/>
              </w:rPr>
              <w:t>1</w:t>
            </w:r>
          </w:p>
        </w:tc>
        <w:tc>
          <w:tcPr>
            <w:tcW w:w="6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(9)</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Gains on sales of other assets</w:t>
            </w:r>
          </w:p>
        </w:tc>
        <w:tc>
          <w:tcPr>
            <w:tcW w:w="6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20" w:type="dxa"/>
            <w:vAlign w:val="bottom"/>
            <w:tcBorders>
              <w:bottom w:val="single" w:sz="8" w:color="auto"/>
            </w:tcBorders>
          </w:tcPr>
          <w:p>
            <w:pPr>
              <w:spacing w:after="0"/>
              <w:rPr>
                <w:sz w:val="9"/>
                <w:szCs w:val="9"/>
                <w:color w:val="auto"/>
              </w:rPr>
            </w:pPr>
          </w:p>
        </w:tc>
        <w:tc>
          <w:tcPr>
            <w:tcW w:w="9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95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$287</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$408</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vMerge w:val="restart"/>
          </w:tcPr>
          <w:p>
            <w:pPr>
              <w:spacing w:after="0"/>
              <w:rPr>
                <w:sz w:val="20"/>
                <w:szCs w:val="20"/>
                <w:color w:val="auto"/>
              </w:rPr>
            </w:pPr>
            <w:r>
              <w:rPr>
                <w:rFonts w:ascii="Arial" w:cs="Arial" w:eastAsia="Arial" w:hAnsi="Arial"/>
                <w:sz w:val="14"/>
                <w:szCs w:val="14"/>
                <w:color w:val="auto"/>
              </w:rPr>
              <w:t>1.</w:t>
            </w:r>
          </w:p>
        </w:tc>
        <w:tc>
          <w:tcPr>
            <w:tcW w:w="9500" w:type="dxa"/>
            <w:vAlign w:val="bottom"/>
            <w:vMerge w:val="restart"/>
          </w:tcPr>
          <w:p>
            <w:pPr>
              <w:ind w:left="120"/>
              <w:spacing w:after="0"/>
              <w:rPr>
                <w:sz w:val="20"/>
                <w:szCs w:val="20"/>
                <w:color w:val="auto"/>
              </w:rPr>
            </w:pPr>
            <w:r>
              <w:rPr>
                <w:rFonts w:ascii="Arial" w:cs="Arial" w:eastAsia="Arial" w:hAnsi="Arial"/>
                <w:sz w:val="14"/>
                <w:szCs w:val="14"/>
                <w:color w:val="auto"/>
              </w:rPr>
              <w:t xml:space="preserve">Refer to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xml:space="preserve"> for details regarding these items.</w:t>
            </w: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20" w:type="dxa"/>
            <w:vAlign w:val="bottom"/>
            <w:vMerge w:val="continue"/>
          </w:tcPr>
          <w:p>
            <w:pPr>
              <w:spacing w:after="0"/>
              <w:rPr>
                <w:sz w:val="24"/>
                <w:szCs w:val="24"/>
                <w:color w:val="auto"/>
              </w:rPr>
            </w:pPr>
          </w:p>
        </w:tc>
        <w:tc>
          <w:tcPr>
            <w:tcW w:w="9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Income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-463550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-463550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-463550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-463550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-463550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-463550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-463550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-463550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-463550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average return on investments increased to 4.5% in 2006 from 3.3% in 2005 and the weighted average investment balance of $2.6 billion in 2006 decreased $452 million compared to 2005.</w:t>
      </w:r>
    </w:p>
    <w:p>
      <w:pPr>
        <w:ind w:right="380" w:firstLine="228"/>
        <w:spacing w:after="0" w:line="261" w:lineRule="auto"/>
        <w:rPr>
          <w:sz w:val="20"/>
          <w:szCs w:val="20"/>
          <w:color w:val="auto"/>
        </w:rPr>
      </w:pPr>
      <w:r>
        <w:rPr>
          <w:rFonts w:ascii="Arial" w:cs="Arial" w:eastAsia="Arial" w:hAnsi="Arial"/>
          <w:sz w:val="18"/>
          <w:szCs w:val="18"/>
          <w:color w:val="auto"/>
        </w:rPr>
        <w:t>The average return on investments increased to 3.3% in 2005 from 2% in 2004 and the average investment balance of $3.0 billion in 2005 increased $297 million compared to 2004.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Earnings of Affiliated Companies</w:t>
      </w:r>
    </w:p>
    <w:p>
      <w:pPr>
        <w:spacing w:after="0" w:line="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equity in net earnings of affiliated companies primarily represents Schlumberger’s share of the results of its 40% interest in the M-I SWACO drilling fluids joint venture with Smith International Inc.</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Interest expense of $234.9 million in 2006 increased by $37.8 million compared to 2005. The weighted average borrowing rates of 4.6% increased in 2006 from 4.4% in 2005. The weighted average debt balance of $5.1 billion in 2006 increased by $609 million compared to 2005, primarily due to the funding of the WesternGeco transaction described in Note 4 to the </w:t>
      </w:r>
      <w:r>
        <w:rPr>
          <w:rFonts w:ascii="Arial" w:cs="Arial" w:eastAsia="Arial" w:hAnsi="Arial"/>
          <w:sz w:val="18"/>
          <w:szCs w:val="18"/>
          <w:i w:val="1"/>
          <w:iCs w:val="1"/>
          <w:color w:val="auto"/>
        </w:rPr>
        <w:t>Consolidated Financial Statements.</w:t>
      </w:r>
    </w:p>
    <w:p>
      <w:pPr>
        <w:ind w:right="160" w:firstLine="228"/>
        <w:spacing w:after="0" w:line="255" w:lineRule="auto"/>
        <w:rPr>
          <w:sz w:val="20"/>
          <w:szCs w:val="20"/>
          <w:color w:val="auto"/>
        </w:rPr>
      </w:pPr>
      <w:r>
        <w:rPr>
          <w:rFonts w:ascii="Arial" w:cs="Arial" w:eastAsia="Arial" w:hAnsi="Arial"/>
          <w:sz w:val="18"/>
          <w:szCs w:val="18"/>
          <w:color w:val="auto"/>
        </w:rPr>
        <w:t>Interest expense in 2004 of $272 million included a net charge of $64 million related to the United States interest rate swaps (see Charges and Credits). Excluding this net charge, interest expense decreased $11 million in 2005 as compared to 2004 due to a $865 million decrease in average debt balances partially offset by an increase in the weighted average borrowing rates from 3.9% to 4.4%.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Gross margin was 31.3%, 25.6% and 21.1% in 2006, 2005 and 2004, respectively. The Charges and Credits noted on the following page adversely impacted the gross margin by 0.4% in 2004. Charges and Credits had an insignificant impact on the 2006 and 2005 gross margin. The increases in gross margins are primarily due to record activity levels in 2006 and 2005, increased pricing, stronger demand for higher-margin technologies, and operating efficiency improvements.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 percentage of revenue, research &amp; engineering, marketing and general &amp; administrative expenses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2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820" w:type="dxa"/>
            <w:vAlign w:val="bottom"/>
          </w:tcPr>
          <w:p>
            <w:pPr>
              <w:jc w:val="right"/>
              <w:ind w:right="272"/>
              <w:spacing w:after="0"/>
              <w:rPr>
                <w:sz w:val="20"/>
                <w:szCs w:val="20"/>
                <w:color w:val="auto"/>
              </w:rPr>
            </w:pPr>
            <w:r>
              <w:rPr>
                <w:rFonts w:ascii="Arial" w:cs="Arial" w:eastAsia="Arial" w:hAnsi="Arial"/>
                <w:sz w:val="14"/>
                <w:szCs w:val="14"/>
                <w:color w:val="auto"/>
              </w:rPr>
              <w:t>2005</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2004</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engineering</w:t>
            </w:r>
          </w:p>
        </w:tc>
        <w:tc>
          <w:tcPr>
            <w:tcW w:w="3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3.2%*</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49"/>
        </w:trPr>
        <w:tc>
          <w:tcPr>
            <w:tcW w:w="676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32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0.4%</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0.4%</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r>
      <w:tr>
        <w:trPr>
          <w:trHeight w:val="149"/>
        </w:trPr>
        <w:tc>
          <w:tcPr>
            <w:tcW w:w="6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3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2.2%</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r>
      <w:tr>
        <w:trPr>
          <w:trHeight w:val="410"/>
        </w:trPr>
        <w:tc>
          <w:tcPr>
            <w:tcW w:w="6760" w:type="dxa"/>
            <w:vAlign w:val="bottom"/>
          </w:tcPr>
          <w:p>
            <w:pPr>
              <w:spacing w:after="0"/>
              <w:rPr>
                <w:sz w:val="20"/>
                <w:szCs w:val="20"/>
                <w:color w:val="auto"/>
              </w:rPr>
            </w:pPr>
            <w:r>
              <w:rPr>
                <w:rFonts w:ascii="Arial" w:cs="Arial" w:eastAsia="Arial" w:hAnsi="Arial"/>
                <w:sz w:val="27"/>
                <w:szCs w:val="27"/>
                <w:color w:val="auto"/>
                <w:w w:val="86"/>
                <w:vertAlign w:val="superscript"/>
              </w:rPr>
              <w:t>*</w:t>
            </w:r>
            <w:r>
              <w:rPr>
                <w:rFonts w:ascii="Arial" w:cs="Arial" w:eastAsia="Arial" w:hAnsi="Arial"/>
                <w:sz w:val="14"/>
                <w:szCs w:val="14"/>
                <w:color w:val="auto"/>
                <w:w w:val="86"/>
              </w:rPr>
              <w:t xml:space="preserve">Includes $27 million of in-process research and development charges. </w:t>
            </w:r>
            <w:r>
              <w:rPr>
                <w:rFonts w:ascii="Arial" w:cs="Arial" w:eastAsia="Arial" w:hAnsi="Arial"/>
                <w:sz w:val="22"/>
                <w:szCs w:val="22"/>
                <w:color w:val="auto"/>
                <w:w w:val="86"/>
                <w:vertAlign w:val="superscript"/>
              </w:rPr>
              <w:t>1</w:t>
            </w:r>
          </w:p>
        </w:tc>
        <w:tc>
          <w:tcPr>
            <w:tcW w:w="3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engineering expenditures, by segment,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20" w:type="dxa"/>
            <w:vAlign w:val="bottom"/>
            <w:tcBorders>
              <w:top w:val="single" w:sz="8" w:color="auto"/>
            </w:tcBorders>
          </w:tcPr>
          <w:p>
            <w:pPr>
              <w:spacing w:after="0"/>
              <w:rPr>
                <w:sz w:val="12"/>
                <w:szCs w:val="12"/>
                <w:color w:val="auto"/>
              </w:rPr>
            </w:pPr>
          </w:p>
        </w:tc>
        <w:tc>
          <w:tcPr>
            <w:tcW w:w="9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2006</w:t>
            </w: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2005</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2004</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$504</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gridSpan w:val="2"/>
          </w:tcPr>
          <w:p>
            <w:pPr>
              <w:spacing w:after="0" w:line="149" w:lineRule="exact"/>
              <w:rPr>
                <w:sz w:val="20"/>
                <w:szCs w:val="20"/>
                <w:color w:val="auto"/>
              </w:rPr>
            </w:pPr>
            <w:r>
              <w:rPr>
                <w:rFonts w:ascii="Arial" w:cs="Arial" w:eastAsia="Arial" w:hAnsi="Arial"/>
                <w:sz w:val="14"/>
                <w:szCs w:val="14"/>
                <w:color w:val="auto"/>
              </w:rPr>
              <w:t>WesternGeco</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7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In-process R&amp;D charges </w:t>
            </w:r>
            <w:r>
              <w:rPr>
                <w:rFonts w:ascii="Arial" w:cs="Arial" w:eastAsia="Arial" w:hAnsi="Arial"/>
                <w:sz w:val="20"/>
                <w:szCs w:val="20"/>
                <w:color w:val="auto"/>
                <w:vertAlign w:val="superscript"/>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9720" w:type="dxa"/>
            <w:vAlign w:val="bottom"/>
            <w:gridSpan w:val="2"/>
          </w:tcPr>
          <w:p>
            <w:pPr>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2</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0" w:type="dxa"/>
            <w:vAlign w:val="bottom"/>
            <w:tcBorders>
              <w:top w:val="single" w:sz="8" w:color="auto"/>
            </w:tcBorders>
          </w:tcPr>
          <w:p>
            <w:pPr>
              <w:spacing w:after="0"/>
              <w:rPr>
                <w:sz w:val="8"/>
                <w:szCs w:val="8"/>
                <w:color w:val="auto"/>
              </w:rPr>
            </w:pPr>
          </w:p>
        </w:tc>
        <w:tc>
          <w:tcPr>
            <w:tcW w:w="95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95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$619</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vMerge w:val="restart"/>
          </w:tcPr>
          <w:p>
            <w:pPr>
              <w:spacing w:after="0"/>
              <w:rPr>
                <w:sz w:val="20"/>
                <w:szCs w:val="20"/>
                <w:color w:val="auto"/>
              </w:rPr>
            </w:pPr>
            <w:r>
              <w:rPr>
                <w:rFonts w:ascii="Arial" w:cs="Arial" w:eastAsia="Arial" w:hAnsi="Arial"/>
                <w:sz w:val="14"/>
                <w:szCs w:val="14"/>
                <w:color w:val="auto"/>
              </w:rPr>
              <w:t>1.</w:t>
            </w:r>
          </w:p>
        </w:tc>
        <w:tc>
          <w:tcPr>
            <w:tcW w:w="9500" w:type="dxa"/>
            <w:vAlign w:val="bottom"/>
            <w:vMerge w:val="restart"/>
          </w:tcPr>
          <w:p>
            <w:pPr>
              <w:ind w:left="120"/>
              <w:spacing w:after="0"/>
              <w:rPr>
                <w:sz w:val="20"/>
                <w:szCs w:val="20"/>
                <w:color w:val="auto"/>
              </w:rPr>
            </w:pPr>
            <w:r>
              <w:rPr>
                <w:rFonts w:ascii="Arial" w:cs="Arial" w:eastAsia="Arial" w:hAnsi="Arial"/>
                <w:sz w:val="14"/>
                <w:szCs w:val="14"/>
                <w:color w:val="auto"/>
              </w:rPr>
              <w:t xml:space="preserve">See discussion of Charges and Credits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20" w:type="dxa"/>
            <w:vAlign w:val="bottom"/>
            <w:vMerge w:val="continue"/>
          </w:tcPr>
          <w:p>
            <w:pPr>
              <w:spacing w:after="0"/>
              <w:rPr>
                <w:sz w:val="24"/>
                <w:szCs w:val="24"/>
                <w:color w:val="auto"/>
              </w:rPr>
            </w:pPr>
          </w:p>
        </w:tc>
        <w:tc>
          <w:tcPr>
            <w:tcW w:w="9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20"/>
                <w:szCs w:val="20"/>
                <w:color w:val="auto"/>
              </w:rPr>
            </w:pPr>
            <w:r>
              <w:rPr>
                <w:rFonts w:ascii="Arial" w:cs="Arial" w:eastAsia="Arial" w:hAnsi="Arial"/>
                <w:sz w:val="14"/>
                <w:szCs w:val="14"/>
                <w:color w:val="auto"/>
              </w:rPr>
              <w:t>2.</w:t>
            </w:r>
          </w:p>
        </w:tc>
        <w:tc>
          <w:tcPr>
            <w:tcW w:w="9500" w:type="dxa"/>
            <w:vAlign w:val="bottom"/>
          </w:tcPr>
          <w:p>
            <w:pPr>
              <w:ind w:left="120"/>
              <w:spacing w:after="0"/>
              <w:rPr>
                <w:sz w:val="20"/>
                <w:szCs w:val="20"/>
                <w:color w:val="auto"/>
              </w:rPr>
            </w:pPr>
            <w:r>
              <w:rPr>
                <w:rFonts w:ascii="Arial" w:cs="Arial" w:eastAsia="Arial" w:hAnsi="Arial"/>
                <w:sz w:val="14"/>
                <w:szCs w:val="14"/>
                <w:color w:val="auto"/>
              </w:rPr>
              <w:t>Includes $16 million of cost in 2006 associated with Schlumberger’s relocation of its United States research center from Ridgefield to Boston.</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-335280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-335280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-335280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-335280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-335280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-335280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-335280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-335280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-335280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reported effective tax rate, including Charges and Credits</w:t>
      </w:r>
      <w:r>
        <w:rPr>
          <w:rFonts w:ascii="Arial" w:cs="Arial" w:eastAsia="Arial" w:hAnsi="Arial"/>
          <w:sz w:val="18"/>
          <w:szCs w:val="18"/>
          <w:i w:val="1"/>
          <w:iCs w:val="1"/>
          <w:color w:val="auto"/>
        </w:rPr>
        <w:t>,</w:t>
      </w:r>
      <w:r>
        <w:rPr>
          <w:rFonts w:ascii="Arial" w:cs="Arial" w:eastAsia="Arial" w:hAnsi="Arial"/>
          <w:sz w:val="18"/>
          <w:szCs w:val="18"/>
          <w:color w:val="auto"/>
        </w:rPr>
        <w:t xml:space="preserve"> was 24.0% in 2006, 22.9% in 2005 and 20.9% in 2004. The Charges and Credits noted below decreased the effective rate by 1.5% in 2005 and increased the effective tax rate by 0.4% in 2004. The impact of Charges and Credits on the effective tax rate in 2006 was not significant.</w:t>
      </w:r>
    </w:p>
    <w:p>
      <w:pPr>
        <w:ind w:right="40" w:firstLine="228"/>
        <w:spacing w:after="0" w:line="250" w:lineRule="auto"/>
        <w:rPr>
          <w:sz w:val="20"/>
          <w:szCs w:val="20"/>
          <w:color w:val="auto"/>
        </w:rPr>
      </w:pPr>
      <w:r>
        <w:rPr>
          <w:rFonts w:ascii="Arial" w:cs="Arial" w:eastAsia="Arial" w:hAnsi="Arial"/>
          <w:sz w:val="18"/>
          <w:szCs w:val="18"/>
          <w:color w:val="auto"/>
        </w:rPr>
        <w:t>The effective tax rate in 2005 reflects the impact of the $163 million gain on the sale of the Montrouge facility. This transaction allowed for the utilization of a deferred tax asset that was previously offset by a valuation allowance and had the effect of lowering the effective tax rate during 2005 by 1.3%. Excluding the impact of this transaction, the effective tax rate was relatively flat in 2006 as compared to 2005.</w:t>
      </w:r>
    </w:p>
    <w:p>
      <w:pPr>
        <w:spacing w:after="0" w:line="1" w:lineRule="exact"/>
        <w:rPr>
          <w:sz w:val="20"/>
          <w:szCs w:val="20"/>
          <w:color w:val="auto"/>
        </w:rPr>
      </w:pPr>
    </w:p>
    <w:p>
      <w:pPr>
        <w:ind w:right="180" w:firstLine="228"/>
        <w:spacing w:after="0" w:line="302" w:lineRule="auto"/>
        <w:rPr>
          <w:sz w:val="20"/>
          <w:szCs w:val="20"/>
          <w:color w:val="auto"/>
        </w:rPr>
      </w:pPr>
      <w:r>
        <w:rPr>
          <w:rFonts w:ascii="Arial" w:cs="Arial" w:eastAsia="Arial" w:hAnsi="Arial"/>
          <w:sz w:val="16"/>
          <w:szCs w:val="16"/>
          <w:color w:val="auto"/>
        </w:rPr>
        <w:t>The increase in the reported effective tax from 2004 to 2005 is primarily attributable to the country mix of results in Oilfield Services, which experienced a higher proportion of pretax profitability in higher-tax jurisdictions in 2005. This increase was somewhat mitigated by the impact of the $163 million gain on the sale of the Montrouge facility. This transaction, as described above, had the impact of lowering the effective tax rate in 2005.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and Credits</w:t>
      </w:r>
    </w:p>
    <w:p>
      <w:pPr>
        <w:spacing w:after="0" w:line="7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During each of 2006, 2005 and 2004, Schlumberger recorded significant charges and credits. These charges and credits,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8"/>
          <w:szCs w:val="18"/>
          <w:color w:val="auto"/>
        </w:rPr>
        <w:t>The following is a summary of the 2006 Charges and Credits: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8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Minority</w:t>
            </w: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Pretax</w:t>
            </w:r>
          </w:p>
        </w:tc>
        <w:tc>
          <w:tcPr>
            <w:tcW w:w="220" w:type="dxa"/>
            <w:vAlign w:val="bottom"/>
          </w:tcPr>
          <w:p>
            <w:pPr>
              <w:spacing w:after="0"/>
              <w:rPr>
                <w:sz w:val="14"/>
                <w:szCs w:val="14"/>
                <w:color w:val="auto"/>
              </w:rPr>
            </w:pPr>
          </w:p>
        </w:tc>
        <w:tc>
          <w:tcPr>
            <w:tcW w:w="6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Interest</w:t>
            </w:r>
          </w:p>
        </w:tc>
        <w:tc>
          <w:tcPr>
            <w:tcW w:w="5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w:t>
            </w:r>
          </w:p>
        </w:tc>
        <w:tc>
          <w:tcPr>
            <w:tcW w:w="2800" w:type="dxa"/>
            <w:vAlign w:val="bottom"/>
          </w:tcPr>
          <w:p>
            <w:pPr>
              <w:ind w:left="20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320"/>
              <w:spacing w:after="0" w:line="149" w:lineRule="exact"/>
              <w:rPr>
                <w:sz w:val="20"/>
                <w:szCs w:val="20"/>
                <w:color w:val="auto"/>
              </w:rPr>
            </w:pPr>
            <w:r>
              <w:rPr>
                <w:rFonts w:ascii="Arial" w:cs="Arial" w:eastAsia="Arial" w:hAnsi="Arial"/>
                <w:sz w:val="14"/>
                <w:szCs w:val="14"/>
                <w:color w:val="auto"/>
              </w:rPr>
              <w:t>- WesternGeco in-process R&amp;D charge</w:t>
            </w:r>
          </w:p>
        </w:tc>
        <w:tc>
          <w:tcPr>
            <w:tcW w:w="94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21.0</w:t>
            </w:r>
          </w:p>
        </w:tc>
        <w:tc>
          <w:tcPr>
            <w:tcW w:w="20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5"/>
              </w:rPr>
              <w:t>$21.0</w:t>
            </w:r>
          </w:p>
        </w:tc>
        <w:tc>
          <w:tcPr>
            <w:tcW w:w="28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Research &amp; engineering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on liquidation of investments to fund WesternGeco transaction</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w:t>
            </w: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ind w:left="320"/>
              <w:spacing w:after="0" w:line="149" w:lineRule="exact"/>
              <w:rPr>
                <w:sz w:val="20"/>
                <w:szCs w:val="20"/>
                <w:color w:val="auto"/>
              </w:rPr>
            </w:pPr>
            <w:r>
              <w:rPr>
                <w:rFonts w:ascii="Arial" w:cs="Arial" w:eastAsia="Arial" w:hAnsi="Arial"/>
                <w:sz w:val="14"/>
                <w:szCs w:val="14"/>
                <w:color w:val="auto"/>
              </w:rPr>
              <w:t>- WesternGeco visa settlement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71"/>
              </w:rPr>
              <w:t>0.3</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w:t>
            </w:r>
          </w:p>
        </w:tc>
        <w:tc>
          <w:tcPr>
            <w:tcW w:w="5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w:t>
            </w:r>
          </w:p>
        </w:tc>
        <w:tc>
          <w:tcPr>
            <w:tcW w:w="28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Other in-process R&amp;D charges</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w:t>
            </w:r>
          </w:p>
        </w:tc>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Research &amp; engineering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940" w:type="dxa"/>
            <w:vAlign w:val="bottom"/>
            <w:gridSpan w:val="2"/>
            <w:shd w:val="clear" w:color="auto" w:fill="CCEEFF"/>
          </w:tcPr>
          <w:p>
            <w:pPr>
              <w:jc w:val="center"/>
              <w:ind w:left="692"/>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45.7</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71"/>
              </w:rPr>
              <w:t>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w:t>
            </w:r>
          </w:p>
        </w:tc>
        <w:tc>
          <w:tcPr>
            <w:tcW w:w="5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$42.8</w:t>
            </w:r>
          </w:p>
        </w:tc>
        <w:tc>
          <w:tcPr>
            <w:tcW w:w="2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940" w:type="dxa"/>
            <w:vAlign w:val="bottom"/>
            <w:gridSpan w:val="2"/>
          </w:tcPr>
          <w:p>
            <w:pPr>
              <w:jc w:val="center"/>
              <w:ind w:left="692"/>
              <w:spacing w:after="0"/>
              <w:rPr>
                <w:sz w:val="20"/>
                <w:szCs w:val="20"/>
                <w:color w:val="auto"/>
              </w:rPr>
            </w:pPr>
            <w:r>
              <w:rPr>
                <w:rFonts w:ascii="Arial" w:cs="Arial" w:eastAsia="Arial" w:hAnsi="Arial"/>
                <w:sz w:val="14"/>
                <w:szCs w:val="14"/>
                <w:color w:val="auto"/>
                <w:w w:val="89"/>
              </w:rPr>
              <w:t>23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2005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3"/>
              </w:rPr>
              <w:t>Pretax</w:t>
            </w:r>
          </w:p>
        </w:tc>
        <w:tc>
          <w:tcPr>
            <w:tcW w:w="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Tax</w:t>
            </w: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Net</w:t>
            </w:r>
          </w:p>
        </w:tc>
        <w:tc>
          <w:tcPr>
            <w:tcW w:w="444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320"/>
              <w:spacing w:after="0" w:line="149" w:lineRule="exact"/>
              <w:rPr>
                <w:sz w:val="20"/>
                <w:szCs w:val="20"/>
                <w:color w:val="auto"/>
              </w:rPr>
            </w:pPr>
            <w:r>
              <w:rPr>
                <w:rFonts w:ascii="Arial" w:cs="Arial" w:eastAsia="Arial" w:hAnsi="Arial"/>
                <w:sz w:val="14"/>
                <w:szCs w:val="14"/>
                <w:color w:val="auto"/>
              </w:rPr>
              <w:t>- Gain on sale of Hanover Compressor stock</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w:t>
            </w:r>
          </w:p>
        </w:tc>
        <w:tc>
          <w:tcPr>
            <w:tcW w:w="4440" w:type="dxa"/>
            <w:vAlign w:val="bottom"/>
          </w:tcPr>
          <w:p>
            <w:pPr>
              <w:ind w:left="100"/>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Gain on sale of Montrouge facility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(163.4)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(163.4)</w:t>
            </w:r>
          </w:p>
        </w:tc>
        <w:tc>
          <w:tcPr>
            <w:tcW w:w="44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Arial" w:cs="Arial" w:eastAsia="Arial" w:hAnsi="Arial"/>
                <w:sz w:val="14"/>
                <w:szCs w:val="14"/>
                <w:color w:val="auto"/>
              </w:rPr>
              <w:t>- Other real estate related charges</w:t>
            </w:r>
          </w:p>
        </w:tc>
        <w:tc>
          <w:tcPr>
            <w:tcW w:w="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12.1</w:t>
            </w:r>
          </w:p>
        </w:tc>
        <w:tc>
          <w:tcPr>
            <w:tcW w:w="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1"/>
              </w:rPr>
              <w:t>0.8</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11.3</w:t>
            </w:r>
          </w:p>
        </w:tc>
        <w:tc>
          <w:tcPr>
            <w:tcW w:w="160" w:type="dxa"/>
            <w:vAlign w:val="bottom"/>
          </w:tcPr>
          <w:p>
            <w:pPr>
              <w:spacing w:after="0"/>
              <w:rPr>
                <w:sz w:val="14"/>
                <w:szCs w:val="14"/>
                <w:color w:val="auto"/>
              </w:rPr>
            </w:pPr>
          </w:p>
        </w:tc>
        <w:tc>
          <w:tcPr>
            <w:tcW w:w="4440" w:type="dxa"/>
            <w:vAlign w:val="bottom"/>
          </w:tcPr>
          <w:p>
            <w:pPr>
              <w:ind w:left="100"/>
              <w:spacing w:after="0"/>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Credits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(172.2)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0.8</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(173.0)</w:t>
            </w:r>
          </w:p>
        </w:tc>
        <w:tc>
          <w:tcPr>
            <w:tcW w:w="4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-29210</wp:posOffset>
            </wp:positionV>
            <wp:extent cx="29591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2004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4"/>
              </w:rPr>
              <w:t>Pretax</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Tax</w:t>
            </w:r>
          </w:p>
        </w:tc>
        <w:tc>
          <w:tcPr>
            <w:tcW w:w="6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Net</w:t>
            </w:r>
          </w:p>
        </w:tc>
        <w:tc>
          <w:tcPr>
            <w:tcW w:w="43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 Debt extinguishment costs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76"/>
              </w:rPr>
              <w:t>$ 114.9</w:t>
            </w:r>
          </w:p>
        </w:tc>
        <w:tc>
          <w:tcPr>
            <w:tcW w:w="22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w:t>
            </w:r>
          </w:p>
        </w:tc>
        <w:tc>
          <w:tcPr>
            <w:tcW w:w="4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$100.9</w:t>
            </w:r>
          </w:p>
        </w:tc>
        <w:tc>
          <w:tcPr>
            <w:tcW w:w="220" w:type="dxa"/>
            <w:vAlign w:val="bottom"/>
          </w:tcPr>
          <w:p>
            <w:pPr>
              <w:spacing w:after="0"/>
              <w:rPr>
                <w:sz w:val="12"/>
                <w:szCs w:val="12"/>
                <w:color w:val="auto"/>
              </w:rPr>
            </w:pPr>
          </w:p>
        </w:tc>
        <w:tc>
          <w:tcPr>
            <w:tcW w:w="43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Debt extinguishment costs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Restructuring program charges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220" w:type="dxa"/>
            <w:vAlign w:val="bottom"/>
            <w:shd w:val="clear" w:color="auto" w:fill="CCEEFF"/>
          </w:tcPr>
          <w:p>
            <w:pPr>
              <w:spacing w:after="0"/>
              <w:rPr>
                <w:sz w:val="12"/>
                <w:szCs w:val="12"/>
                <w:color w:val="auto"/>
              </w:rPr>
            </w:pPr>
          </w:p>
        </w:tc>
        <w:tc>
          <w:tcPr>
            <w:tcW w:w="4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 Intellectual Property settlement charge</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22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4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2"/>
                <w:szCs w:val="12"/>
                <w:color w:val="auto"/>
              </w:rPr>
            </w:pPr>
          </w:p>
        </w:tc>
        <w:tc>
          <w:tcPr>
            <w:tcW w:w="43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on sale of Atos Origin shares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220" w:type="dxa"/>
            <w:vAlign w:val="bottom"/>
            <w:shd w:val="clear" w:color="auto" w:fill="CCEEFF"/>
          </w:tcPr>
          <w:p>
            <w:pPr>
              <w:spacing w:after="0"/>
              <w:rPr>
                <w:sz w:val="12"/>
                <w:szCs w:val="12"/>
                <w:color w:val="auto"/>
              </w:rPr>
            </w:pPr>
          </w:p>
        </w:tc>
        <w:tc>
          <w:tcPr>
            <w:tcW w:w="4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 US interest-rate swap settlement gain</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(3.3)</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w:t>
            </w:r>
          </w:p>
        </w:tc>
        <w:tc>
          <w:tcPr>
            <w:tcW w:w="43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Interest 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Vacated leased facility reserve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w:t>
            </w:r>
          </w:p>
        </w:tc>
        <w:tc>
          <w:tcPr>
            <w:tcW w:w="4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320"/>
              <w:spacing w:after="0" w:line="149" w:lineRule="exact"/>
              <w:rPr>
                <w:sz w:val="20"/>
                <w:szCs w:val="20"/>
                <w:color w:val="auto"/>
              </w:rPr>
            </w:pPr>
            <w:r>
              <w:rPr>
                <w:rFonts w:ascii="Arial" w:cs="Arial" w:eastAsia="Arial" w:hAnsi="Arial"/>
                <w:sz w:val="14"/>
                <w:szCs w:val="14"/>
                <w:color w:val="auto"/>
              </w:rPr>
              <w:t>- Litigation reserve release</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2"/>
                <w:szCs w:val="12"/>
                <w:color w:val="auto"/>
              </w:rPr>
            </w:pPr>
          </w:p>
        </w:tc>
        <w:tc>
          <w:tcPr>
            <w:tcW w:w="7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w:t>
            </w:r>
          </w:p>
        </w:tc>
        <w:tc>
          <w:tcPr>
            <w:tcW w:w="43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recognized on interest-rate swaps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220" w:type="dxa"/>
            <w:vAlign w:val="bottom"/>
            <w:shd w:val="clear" w:color="auto" w:fill="CCEEFF"/>
          </w:tcPr>
          <w:p>
            <w:pPr>
              <w:spacing w:after="0"/>
              <w:rPr>
                <w:sz w:val="12"/>
                <w:szCs w:val="12"/>
                <w:color w:val="auto"/>
              </w:rPr>
            </w:pPr>
          </w:p>
        </w:tc>
        <w:tc>
          <w:tcPr>
            <w:tcW w:w="4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Interest expense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$ 243.5</w:t>
            </w: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w:t>
            </w: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$198.8</w:t>
            </w:r>
          </w:p>
        </w:tc>
        <w:tc>
          <w:tcPr>
            <w:tcW w:w="22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Divestitures – Discontinued Operations</w:t>
      </w:r>
    </w:p>
    <w:p>
      <w:pPr>
        <w:spacing w:after="0" w:line="72"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 xml:space="preserve">During 2003, Schlumberger began an active program to divest of all of its non-oilfield services businesses, which was completed in 2005. These divestitures, which were accounted for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are more fully described in Note 15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As a result of these transactions, Schlumberger generated cash, including proceeds from the sale of securities received, of approximately $28 million in 2005 and $2.93 billion in 2004. These proceeds were primarily used to further Schlumberger’s deleveraging efforts.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results of these discontinued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590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tcPr>
          <w:p>
            <w:pPr>
              <w:spacing w:after="0" w:line="149" w:lineRule="exact"/>
              <w:rPr>
                <w:sz w:val="20"/>
                <w:szCs w:val="20"/>
                <w:color w:val="auto"/>
              </w:rPr>
            </w:pPr>
            <w:r>
              <w:rPr>
                <w:rFonts w:ascii="Arial" w:cs="Arial" w:eastAsia="Arial" w:hAnsi="Arial"/>
                <w:sz w:val="14"/>
                <w:szCs w:val="14"/>
                <w:color w:val="auto"/>
              </w:rPr>
              <w:t>Tax expense</w:t>
            </w:r>
          </w:p>
        </w:tc>
        <w:tc>
          <w:tcPr>
            <w:tcW w:w="100" w:type="dxa"/>
            <w:vAlign w:val="bottom"/>
          </w:tcPr>
          <w:p>
            <w:pPr>
              <w:spacing w:after="0"/>
              <w:rPr>
                <w:sz w:val="12"/>
                <w:szCs w:val="12"/>
                <w:color w:val="auto"/>
              </w:rPr>
            </w:pPr>
          </w:p>
        </w:tc>
        <w:tc>
          <w:tcPr>
            <w:tcW w:w="6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Gains on disposal, net of tax</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-715010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-715010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-715010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-715010</wp:posOffset>
            </wp:positionV>
            <wp:extent cx="17589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589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Other</w:t>
      </w:r>
    </w:p>
    <w:p>
      <w:pPr>
        <w:spacing w:after="0" w:line="72"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 xml:space="preserve">Stock-based compensation expense was $114 million in 2006 compared to $40 million in 2005. This increase is principally attributable to the following: (i) the adoption of FAS 123R, as discussed in Note 14 to the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which requires companies to expense the unamortized portion of stock options granted prior to 2003 when Schlumberger adopted the fair value recognition provisions of SFAS 123, (ii) 2006 was the first year that the full 4-year impact of the adoption of the fair value recognition provisions of SFAS 123 (adopted by Schlumberger in January 2003) was reflected in Schlumberger’s results and (iii) valuations of 2006 stock-based compensation awards increased due to the upward movement in Schlumberger’s stock price as compared to prior years.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jc w:val="both"/>
        <w:ind w:right="20" w:firstLine="228"/>
        <w:spacing w:after="0" w:line="283" w:lineRule="auto"/>
        <w:rPr>
          <w:sz w:val="20"/>
          <w:szCs w:val="20"/>
          <w:color w:val="auto"/>
        </w:rPr>
      </w:pPr>
      <w:r>
        <w:rPr>
          <w:rFonts w:ascii="Arial" w:cs="Arial" w:eastAsia="Arial" w:hAnsi="Arial"/>
          <w:sz w:val="16"/>
          <w:szCs w:val="16"/>
          <w:color w:val="auto"/>
        </w:rPr>
        <w:t>Stock-based compensation expense is currently estimated to be approximately $150 million in 2007. This represents an increase of approximately $36 million as compared to 2006 and is primarily attributable to (i) the fact that Schlumberger began granting restricted stock in 2006 to a targeted population of employees in order to promote retention and this practice is expected to continue in future years and (ii) the impact of increased valuations of stock-based compensation awards due to the upward movement in Schlumberger’s stock price as compared to prior years.</w:t>
      </w:r>
    </w:p>
    <w:p>
      <w:pPr>
        <w:spacing w:after="0" w:line="3" w:lineRule="exact"/>
        <w:rPr>
          <w:sz w:val="20"/>
          <w:szCs w:val="20"/>
          <w:color w:val="auto"/>
        </w:rPr>
      </w:pPr>
    </w:p>
    <w:p>
      <w:pPr>
        <w:ind w:right="20" w:firstLine="228"/>
        <w:spacing w:after="0" w:line="302" w:lineRule="auto"/>
        <w:rPr>
          <w:sz w:val="20"/>
          <w:szCs w:val="20"/>
          <w:color w:val="auto"/>
        </w:rPr>
      </w:pPr>
      <w:r>
        <w:rPr>
          <w:rFonts w:ascii="Arial" w:cs="Arial" w:eastAsia="Arial" w:hAnsi="Arial"/>
          <w:sz w:val="16"/>
          <w:szCs w:val="16"/>
          <w:color w:val="auto"/>
        </w:rPr>
        <w:t>During 2006, Schlumberger relocated its United States corporate office from New York to Houston and its United States research center from Ridgefield to Boston. Schlumberger incurred approximately $30 million of incremental expenses in connection with these moves in 2006. The vast majority of these costs were incurred in the third and fourth quarters of 2006 ($10 million in the third quarter; $15 million in the fourth quarter).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7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“Net Debt” is gross debt less cash, short-term investments and fixed income investments held to maturity. Management believes that Net Debt provides useful information regarding the level of Schlumberger’s indebtedness by reflecting cash and investments that could be used to repay debt, and that the level of net debt provides useful information as to the results of Schlumberger’s deleveraging efforts. Details of the change in Net Debt follows: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40" w:type="dxa"/>
            <w:vAlign w:val="bottom"/>
            <w:tcBorders>
              <w:top w:val="single" w:sz="8" w:color="auto"/>
            </w:tcBorders>
          </w:tcPr>
          <w:p>
            <w:pPr>
              <w:spacing w:after="0"/>
              <w:rPr>
                <w:sz w:val="12"/>
                <w:szCs w:val="12"/>
                <w:color w:val="auto"/>
              </w:rPr>
            </w:pPr>
          </w:p>
        </w:tc>
        <w:tc>
          <w:tcPr>
            <w:tcW w:w="4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beginning of year</w:t>
            </w:r>
          </w:p>
        </w:tc>
        <w:tc>
          <w:tcPr>
            <w:tcW w:w="4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(532)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(1,459)</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Income from continuing operations</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3,710</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2,199</w:t>
            </w:r>
          </w:p>
        </w:tc>
        <w:tc>
          <w:tcPr>
            <w:tcW w:w="3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Excess of equity income over dividends received</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(181)</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(86)</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Charges and credits, net of tax &amp; minority interest</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(173)</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4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1</w:t>
            </w:r>
          </w:p>
        </w:tc>
        <w:tc>
          <w:tcPr>
            <w:tcW w:w="4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1,561</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1,351</w:t>
            </w: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Increase in working capital</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(351)</w:t>
            </w:r>
          </w:p>
        </w:tc>
        <w:tc>
          <w:tcPr>
            <w:tcW w:w="6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(286)</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qualified pension and postretirement benefit contributions</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(225)</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(172)</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40" w:type="dxa"/>
            <w:vAlign w:val="bottom"/>
          </w:tcPr>
          <w:p>
            <w:pPr>
              <w:ind w:left="120"/>
              <w:spacing w:after="0" w:line="176" w:lineRule="exact"/>
              <w:rPr>
                <w:sz w:val="20"/>
                <w:szCs w:val="20"/>
                <w:color w:val="auto"/>
              </w:rPr>
            </w:pPr>
            <w:r>
              <w:rPr>
                <w:rFonts w:ascii="Arial" w:cs="Arial" w:eastAsia="Arial" w:hAnsi="Arial"/>
                <w:sz w:val="13"/>
                <w:szCs w:val="13"/>
                <w:color w:val="auto"/>
              </w:rPr>
              <w:t xml:space="preserve">Capital expenditures </w:t>
            </w:r>
            <w:r>
              <w:rPr>
                <w:rFonts w:ascii="Arial" w:cs="Arial" w:eastAsia="Arial" w:hAnsi="Arial"/>
                <w:sz w:val="20"/>
                <w:szCs w:val="20"/>
                <w:color w:val="auto"/>
                <w:vertAlign w:val="superscript"/>
              </w:rPr>
              <w:t>1</w:t>
            </w:r>
          </w:p>
        </w:tc>
        <w:tc>
          <w:tcPr>
            <w:tcW w:w="4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(2,637)</w:t>
            </w:r>
          </w:p>
        </w:tc>
        <w:tc>
          <w:tcPr>
            <w:tcW w:w="6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w w:val="85"/>
              </w:rPr>
              <w:t>(1,652)</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employee stock plans</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Stock repurchase program</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(1,068)</w:t>
            </w:r>
          </w:p>
        </w:tc>
        <w:tc>
          <w:tcPr>
            <w:tcW w:w="6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(612)</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(568)</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(482)</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Proceeds from business divestitures</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3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the sale of the Montrouge facility</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3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Sale of Hanover Compressor stock</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3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debt acquired</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Acquisiton of minority interest in WesternGeco</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(2,406)</w:t>
            </w:r>
          </w:p>
        </w:tc>
        <w:tc>
          <w:tcPr>
            <w:tcW w:w="6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business acquisitions</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(577)</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(117)</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Distribution to joint venture partner</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(60)</w:t>
            </w:r>
          </w:p>
        </w:tc>
        <w:tc>
          <w:tcPr>
            <w:tcW w:w="6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Sale of Axalto stock</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Sale of Atos Origin stock</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extinguishment costs</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Settlement of US interest rate swap</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Translation effect on net debt</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(66)</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3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40" w:type="dxa"/>
            <w:vAlign w:val="bottom"/>
          </w:tcPr>
          <w:p>
            <w:pPr>
              <w:ind w:left="120"/>
              <w:spacing w:after="0" w:line="149" w:lineRule="exact"/>
              <w:rPr>
                <w:sz w:val="20"/>
                <w:szCs w:val="20"/>
                <w:color w:val="auto"/>
              </w:rPr>
            </w:pPr>
            <w:r>
              <w:rPr>
                <w:rFonts w:ascii="Arial" w:cs="Arial" w:eastAsia="Arial" w:hAnsi="Arial"/>
                <w:sz w:val="14"/>
                <w:szCs w:val="14"/>
                <w:color w:val="auto"/>
              </w:rPr>
              <w:t>Discontinued operations</w:t>
            </w:r>
          </w:p>
        </w:tc>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w:t>
            </w:r>
          </w:p>
        </w:tc>
        <w:tc>
          <w:tcPr>
            <w:tcW w:w="4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Borders>
              <w:bottom w:val="single" w:sz="8" w:color="auto"/>
            </w:tcBorders>
            <w:gridSpan w:val="2"/>
          </w:tcPr>
          <w:p>
            <w:pPr>
              <w:spacing w:after="0"/>
              <w:rPr>
                <w:sz w:val="9"/>
                <w:szCs w:val="9"/>
                <w:color w:val="auto"/>
              </w:rPr>
            </w:pPr>
          </w:p>
        </w:tc>
        <w:tc>
          <w:tcPr>
            <w:tcW w:w="46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end of year</w:t>
            </w:r>
          </w:p>
        </w:tc>
        <w:tc>
          <w:tcPr>
            <w:tcW w:w="4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(2,834)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(532)</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$(1,459)</w:t>
            </w: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4440" w:type="dxa"/>
            <w:vAlign w:val="bottom"/>
            <w:vMerge w:val="restart"/>
          </w:tcPr>
          <w:p>
            <w:pPr>
              <w:ind w:left="120"/>
              <w:spacing w:after="0"/>
              <w:rPr>
                <w:sz w:val="20"/>
                <w:szCs w:val="20"/>
                <w:color w:val="auto"/>
              </w:rPr>
            </w:pPr>
            <w:r>
              <w:rPr>
                <w:rFonts w:ascii="Arial" w:cs="Arial" w:eastAsia="Arial" w:hAnsi="Arial"/>
                <w:sz w:val="14"/>
                <w:szCs w:val="14"/>
                <w:color w:val="auto"/>
              </w:rPr>
              <w:t>Includes Multiclient seismic data costs.</w:t>
            </w:r>
          </w:p>
        </w:tc>
        <w:tc>
          <w:tcPr>
            <w:tcW w:w="4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20" w:type="dxa"/>
            <w:vAlign w:val="bottom"/>
            <w:gridSpan w:val="2"/>
            <w:vMerge w:val="continue"/>
          </w:tcPr>
          <w:p>
            <w:pPr>
              <w:spacing w:after="0"/>
              <w:rPr>
                <w:sz w:val="23"/>
                <w:szCs w:val="23"/>
                <w:color w:val="auto"/>
              </w:rPr>
            </w:pPr>
          </w:p>
        </w:tc>
        <w:tc>
          <w:tcPr>
            <w:tcW w:w="4440" w:type="dxa"/>
            <w:vAlign w:val="bottom"/>
            <w:vMerge w:val="continue"/>
          </w:tcPr>
          <w:p>
            <w:pPr>
              <w:spacing w:after="0"/>
              <w:rPr>
                <w:sz w:val="23"/>
                <w:szCs w:val="23"/>
                <w:color w:val="auto"/>
              </w:rPr>
            </w:pPr>
          </w:p>
        </w:tc>
        <w:tc>
          <w:tcPr>
            <w:tcW w:w="4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60" w:type="dxa"/>
            <w:vAlign w:val="bottom"/>
          </w:tcPr>
          <w:p>
            <w:pPr>
              <w:jc w:val="right"/>
              <w:ind w:right="3472"/>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-481330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-481330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-481330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-481330</wp:posOffset>
            </wp:positionV>
            <wp:extent cx="29591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-481330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-481330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-481330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90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Dec.</w:t>
            </w: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r>
      <w:tr>
        <w:trPr>
          <w:trHeight w:val="149"/>
        </w:trPr>
        <w:tc>
          <w:tcPr>
            <w:tcW w:w="90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50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31</w:t>
            </w:r>
          </w:p>
        </w:tc>
        <w:tc>
          <w:tcPr>
            <w:tcW w:w="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Dec. 31</w:t>
            </w:r>
          </w:p>
        </w:tc>
      </w:tr>
      <w:tr>
        <w:trPr>
          <w:trHeight w:val="161"/>
        </w:trPr>
        <w:tc>
          <w:tcPr>
            <w:tcW w:w="9080" w:type="dxa"/>
            <w:vAlign w:val="bottom"/>
          </w:tcPr>
          <w:p>
            <w:pPr>
              <w:spacing w:after="0"/>
              <w:rPr>
                <w:sz w:val="20"/>
                <w:szCs w:val="20"/>
                <w:color w:val="auto"/>
              </w:rPr>
            </w:pPr>
            <w:r>
              <w:rPr>
                <w:rFonts w:ascii="Arial" w:cs="Arial" w:eastAsia="Arial" w:hAnsi="Arial"/>
                <w:sz w:val="14"/>
                <w:szCs w:val="14"/>
                <w:b w:val="1"/>
                <w:bCs w:val="1"/>
                <w:color w:val="auto"/>
              </w:rPr>
              <w:t>Components of Net Debt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149"/>
        </w:trPr>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short-term investments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$ 2,999</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3,496</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2,997</w:t>
            </w:r>
          </w:p>
        </w:tc>
        <w:tc>
          <w:tcPr>
            <w:tcW w:w="60" w:type="dxa"/>
            <w:vAlign w:val="bottom"/>
            <w:shd w:val="clear" w:color="auto" w:fill="CCEEFF"/>
          </w:tcPr>
          <w:p>
            <w:pPr>
              <w:spacing w:after="0"/>
              <w:rPr>
                <w:sz w:val="12"/>
                <w:szCs w:val="12"/>
                <w:color w:val="auto"/>
              </w:rPr>
            </w:pPr>
          </w:p>
        </w:tc>
      </w:tr>
      <w:tr>
        <w:trPr>
          <w:trHeight w:val="149"/>
        </w:trPr>
        <w:tc>
          <w:tcPr>
            <w:tcW w:w="9080" w:type="dxa"/>
            <w:vAlign w:val="bottom"/>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153</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60" w:type="dxa"/>
            <w:vAlign w:val="bottom"/>
          </w:tcPr>
          <w:p>
            <w:pPr>
              <w:spacing w:after="0"/>
              <w:rPr>
                <w:sz w:val="12"/>
                <w:szCs w:val="12"/>
                <w:color w:val="auto"/>
              </w:rPr>
            </w:pPr>
          </w:p>
        </w:tc>
      </w:tr>
      <w:tr>
        <w:trPr>
          <w:trHeight w:val="149"/>
        </w:trPr>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Bank loans and current portion of long-term debt</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(1,322)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(797)</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(716)</w:t>
            </w:r>
          </w:p>
        </w:tc>
      </w:tr>
      <w:tr>
        <w:trPr>
          <w:trHeight w:val="149"/>
        </w:trPr>
        <w:tc>
          <w:tcPr>
            <w:tcW w:w="9080" w:type="dxa"/>
            <w:vAlign w:val="bottom"/>
          </w:tcPr>
          <w:p>
            <w:pPr>
              <w:spacing w:after="0" w:line="149" w:lineRule="exact"/>
              <w:rPr>
                <w:sz w:val="20"/>
                <w:szCs w:val="20"/>
                <w:color w:val="auto"/>
              </w:rPr>
            </w:pPr>
            <w:r>
              <w:rPr>
                <w:rFonts w:ascii="Arial" w:cs="Arial" w:eastAsia="Arial" w:hAnsi="Arial"/>
                <w:sz w:val="14"/>
                <w:szCs w:val="14"/>
                <w:color w:val="auto"/>
              </w:rPr>
              <w:t>Convertible debentures</w:t>
            </w: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(1,425)</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0"/>
              </w:rPr>
              <w:t>(1,425)</w:t>
            </w:r>
          </w:p>
        </w:tc>
        <w:tc>
          <w:tcPr>
            <w:tcW w:w="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(1,425)</w:t>
            </w:r>
          </w:p>
        </w:tc>
      </w:tr>
      <w:tr>
        <w:trPr>
          <w:trHeight w:val="149"/>
        </w:trPr>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debt</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(3,239)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90"/>
              </w:rPr>
              <w:t>(2,166)</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(2,519)</w:t>
            </w:r>
          </w:p>
        </w:tc>
      </w:tr>
      <w:tr>
        <w:trPr>
          <w:trHeight w:val="108"/>
        </w:trPr>
        <w:tc>
          <w:tcPr>
            <w:tcW w:w="90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90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4"/>
              </w:rPr>
              <w:t>$(2,834)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(532)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(1,459)</w:t>
            </w:r>
          </w:p>
        </w:tc>
      </w:tr>
      <w:tr>
        <w:trPr>
          <w:trHeight w:val="132"/>
        </w:trPr>
        <w:tc>
          <w:tcPr>
            <w:tcW w:w="90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30416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On April 28, 2006, Schlumberger acquired the 30% minority interest in WesternGeco from Baker Hughes Incorporated for $2.4 billion in cash. Approximately 50% of the purchase price was funded from Schlumberger’s cash and investments. The remaining 50% was financed through existing Schlumberger credit facilities.</w:t>
      </w:r>
    </w:p>
    <w:p>
      <w:pPr>
        <w:ind w:right="40" w:firstLine="228"/>
        <w:spacing w:after="0" w:line="250" w:lineRule="auto"/>
        <w:rPr>
          <w:sz w:val="20"/>
          <w:szCs w:val="20"/>
          <w:color w:val="auto"/>
        </w:rPr>
      </w:pPr>
      <w:r>
        <w:rPr>
          <w:rFonts w:ascii="Arial" w:cs="Arial" w:eastAsia="Arial" w:hAnsi="Arial"/>
          <w:sz w:val="18"/>
          <w:szCs w:val="18"/>
          <w:color w:val="auto"/>
        </w:rPr>
        <w:t>In September 2006, Schlumberger Finance B.V. issued €400 million Guaranteed Floating Rate Notes due 2009. Interest is payable quarterly at the rate of 10 basis points over 3-month Euribor. Schlumberger entered into an agreement to swap these Euro notes for US dollars on the date of issue until maturity, effectively making this US dollar denominated debt on which Schlumberger Finance B.V. will pay interest in US dollars at the rate of 3-month LIBOR plus 0.0875%. The proceeds from these notes were used to repay commercial paper borrowings.</w:t>
      </w:r>
    </w:p>
    <w:p>
      <w:pPr>
        <w:spacing w:after="0" w:line="2"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On July 22, 2004, the Board of Directors of Schlumberger approved a share buyback program of up to 30 million shares to be acquired in the open market before December 2006, subject to market conditions. This program was completed during the first quarter of 2006. On April 20, 2006, the Board of Directors of Schlumberger approved another share buy-back program of up to 40 million shares to be acquired in the open market before April 2010, subject to market conditions, of which approximately 13.6 million shares have been repurchased as of December 31, 2006. The following table summarizes the activity under these share buy-back programs during 2006, 2005 and 2004:</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980" w:type="dxa"/>
            <w:vAlign w:val="bottom"/>
            <w:tcBorders>
              <w:top w:val="single" w:sz="8" w:color="auto"/>
            </w:tcBorders>
          </w:tcPr>
          <w:p>
            <w:pPr>
              <w:spacing w:after="0"/>
              <w:rPr>
                <w:sz w:val="11"/>
                <w:szCs w:val="11"/>
                <w:color w:val="auto"/>
              </w:rPr>
            </w:pPr>
          </w:p>
        </w:tc>
        <w:tc>
          <w:tcPr>
            <w:tcW w:w="4700" w:type="dxa"/>
            <w:vAlign w:val="bottom"/>
            <w:tcBorders>
              <w:top w:val="single" w:sz="8" w:color="auto"/>
            </w:tcBorders>
            <w:gridSpan w:val="2"/>
          </w:tcPr>
          <w:p>
            <w:pPr>
              <w:jc w:val="right"/>
              <w:ind w:right="312"/>
              <w:spacing w:after="0" w:line="129" w:lineRule="exact"/>
              <w:rPr>
                <w:sz w:val="20"/>
                <w:szCs w:val="20"/>
                <w:color w:val="auto"/>
              </w:rPr>
            </w:pPr>
            <w:r>
              <w:rPr>
                <w:rFonts w:ascii="Arial" w:cs="Arial" w:eastAsia="Arial" w:hAnsi="Arial"/>
                <w:sz w:val="14"/>
                <w:szCs w:val="14"/>
                <w:b w:val="1"/>
                <w:bCs w:val="1"/>
                <w:color w:val="auto"/>
              </w:rPr>
              <w:t>Total cost</w:t>
            </w:r>
          </w:p>
        </w:tc>
        <w:tc>
          <w:tcPr>
            <w:tcW w:w="1540" w:type="dxa"/>
            <w:vAlign w:val="bottom"/>
            <w:tcBorders>
              <w:top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Total number</w:t>
            </w:r>
          </w:p>
        </w:tc>
        <w:tc>
          <w:tcPr>
            <w:tcW w:w="1200" w:type="dxa"/>
            <w:vAlign w:val="bottom"/>
            <w:tcBorders>
              <w:top w:val="single" w:sz="8" w:color="auto"/>
            </w:tcBorders>
            <w:gridSpan w:val="3"/>
          </w:tcPr>
          <w:p>
            <w:pPr>
              <w:ind w:left="380"/>
              <w:spacing w:after="0" w:line="129" w:lineRule="exact"/>
              <w:rPr>
                <w:sz w:val="20"/>
                <w:szCs w:val="20"/>
                <w:color w:val="auto"/>
              </w:rPr>
            </w:pPr>
            <w:r>
              <w:rPr>
                <w:rFonts w:ascii="Arial" w:cs="Arial" w:eastAsia="Arial" w:hAnsi="Arial"/>
                <w:sz w:val="14"/>
                <w:szCs w:val="14"/>
                <w:b w:val="1"/>
                <w:bCs w:val="1"/>
                <w:color w:val="auto"/>
                <w:w w:val="86"/>
              </w:rPr>
              <w:t>Average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2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w w:val="83"/>
              </w:rPr>
              <w:t>of shares</w:t>
            </w:r>
          </w:p>
        </w:tc>
        <w:tc>
          <w:tcPr>
            <w:tcW w:w="154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of shares</w:t>
            </w:r>
          </w:p>
        </w:tc>
        <w:tc>
          <w:tcPr>
            <w:tcW w:w="5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paid per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700" w:type="dxa"/>
            <w:vAlign w:val="bottom"/>
            <w:gridSpan w:val="2"/>
          </w:tcPr>
          <w:p>
            <w:pPr>
              <w:ind w:left="3720"/>
              <w:spacing w:after="0"/>
              <w:rPr>
                <w:sz w:val="20"/>
                <w:szCs w:val="20"/>
                <w:color w:val="auto"/>
              </w:rPr>
            </w:pPr>
            <w:r>
              <w:rPr>
                <w:rFonts w:ascii="Arial" w:cs="Arial" w:eastAsia="Arial" w:hAnsi="Arial"/>
                <w:sz w:val="14"/>
                <w:szCs w:val="14"/>
                <w:b w:val="1"/>
                <w:bCs w:val="1"/>
                <w:color w:val="auto"/>
              </w:rPr>
              <w:t>purchased</w:t>
            </w:r>
          </w:p>
        </w:tc>
        <w:tc>
          <w:tcPr>
            <w:tcW w:w="1540" w:type="dxa"/>
            <w:vAlign w:val="bottom"/>
          </w:tcPr>
          <w:p>
            <w:pPr>
              <w:jc w:val="right"/>
              <w:ind w:right="312"/>
              <w:spacing w:after="0"/>
              <w:rPr>
                <w:sz w:val="20"/>
                <w:szCs w:val="20"/>
                <w:color w:val="auto"/>
              </w:rPr>
            </w:pPr>
            <w:r>
              <w:rPr>
                <w:rFonts w:ascii="Arial" w:cs="Arial" w:eastAsia="Arial" w:hAnsi="Arial"/>
                <w:sz w:val="14"/>
                <w:szCs w:val="14"/>
                <w:b w:val="1"/>
                <w:bCs w:val="1"/>
                <w:color w:val="auto"/>
              </w:rPr>
              <w:t>purchased</w:t>
            </w:r>
          </w:p>
        </w:tc>
        <w:tc>
          <w:tcPr>
            <w:tcW w:w="58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jc w:val="right"/>
              <w:ind w:right="3652"/>
              <w:spacing w:after="0" w:line="149" w:lineRule="exact"/>
              <w:rPr>
                <w:sz w:val="20"/>
                <w:szCs w:val="20"/>
                <w:color w:val="auto"/>
              </w:rPr>
            </w:pPr>
            <w:r>
              <w:rPr>
                <w:rFonts w:ascii="Arial" w:cs="Arial" w:eastAsia="Arial" w:hAnsi="Arial"/>
                <w:sz w:val="14"/>
                <w:szCs w:val="14"/>
                <w:color w:val="auto"/>
                <w:w w:val="76"/>
              </w:rPr>
              <w:t>2006</w:t>
            </w:r>
          </w:p>
        </w:tc>
        <w:tc>
          <w:tcPr>
            <w:tcW w:w="3780" w:type="dxa"/>
            <w:vAlign w:val="bottom"/>
            <w:shd w:val="clear" w:color="auto" w:fill="CCEEFF"/>
          </w:tcPr>
          <w:p>
            <w:pPr>
              <w:ind w:left="37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83"/>
              </w:rPr>
              <w:t>1,067,842</w:t>
            </w:r>
          </w:p>
        </w:tc>
        <w:tc>
          <w:tcPr>
            <w:tcW w:w="15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17,992.7</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jc w:val="right"/>
              <w:ind w:right="3652"/>
              <w:spacing w:after="0" w:line="149" w:lineRule="exact"/>
              <w:rPr>
                <w:sz w:val="20"/>
                <w:szCs w:val="20"/>
                <w:color w:val="auto"/>
              </w:rPr>
            </w:pPr>
            <w:r>
              <w:rPr>
                <w:rFonts w:ascii="Arial" w:cs="Arial" w:eastAsia="Arial" w:hAnsi="Arial"/>
                <w:sz w:val="14"/>
                <w:szCs w:val="14"/>
                <w:color w:val="auto"/>
                <w:w w:val="76"/>
              </w:rPr>
              <w:t>2005</w:t>
            </w:r>
          </w:p>
        </w:tc>
        <w:tc>
          <w:tcPr>
            <w:tcW w:w="3780" w:type="dxa"/>
            <w:vAlign w:val="bottom"/>
          </w:tcPr>
          <w:p>
            <w:pPr>
              <w:ind w:left="37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611,641</w:t>
            </w:r>
          </w:p>
        </w:tc>
        <w:tc>
          <w:tcPr>
            <w:tcW w:w="15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15,274.8</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jc w:val="right"/>
              <w:ind w:right="3652"/>
              <w:spacing w:after="0" w:line="149" w:lineRule="exact"/>
              <w:rPr>
                <w:sz w:val="20"/>
                <w:szCs w:val="20"/>
                <w:color w:val="auto"/>
              </w:rPr>
            </w:pPr>
            <w:r>
              <w:rPr>
                <w:rFonts w:ascii="Arial" w:cs="Arial" w:eastAsia="Arial" w:hAnsi="Arial"/>
                <w:sz w:val="14"/>
                <w:szCs w:val="14"/>
                <w:color w:val="auto"/>
                <w:w w:val="76"/>
              </w:rPr>
              <w:t>2004</w:t>
            </w:r>
          </w:p>
        </w:tc>
        <w:tc>
          <w:tcPr>
            <w:tcW w:w="3780" w:type="dxa"/>
            <w:vAlign w:val="bottom"/>
            <w:shd w:val="clear" w:color="auto" w:fill="CCEEFF"/>
          </w:tcPr>
          <w:p>
            <w:pPr>
              <w:ind w:left="370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320,224</w:t>
            </w:r>
          </w:p>
        </w:tc>
        <w:tc>
          <w:tcPr>
            <w:tcW w:w="154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10,296.4</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2006 and 2005, Schlumberger announced that the Board of Directors had approved increases in the quarterly dividend of 19% and 12%, respectively. On January 18, 2007, Schlumberger announced that the Board of Directors approved a 40% increase in the quarterly dividend to $0.175 per share effective commencing with the dividend payable on April 6, 2007. Total dividends paid during 2006, 2005 and 2004 were approximately $568 million, $482 million and $441 million, respectively.</w:t>
      </w:r>
    </w:p>
    <w:p>
      <w:pPr>
        <w:spacing w:after="0" w:line="1"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In 2006, cash provided by operations was $4.8 billion as net income plus depreciation &amp; amortization were partly offset by increases in customer receivables and inventories, due to higher activity levels.</w:t>
      </w:r>
    </w:p>
    <w:p>
      <w:pPr>
        <w:spacing w:after="0" w:line="1" w:lineRule="exact"/>
        <w:rPr>
          <w:sz w:val="20"/>
          <w:szCs w:val="20"/>
          <w:color w:val="auto"/>
        </w:rPr>
      </w:pPr>
    </w:p>
    <w:p>
      <w:pPr>
        <w:jc w:val="both"/>
        <w:ind w:right="200" w:firstLine="228"/>
        <w:spacing w:after="0" w:line="255" w:lineRule="auto"/>
        <w:rPr>
          <w:sz w:val="20"/>
          <w:szCs w:val="20"/>
          <w:color w:val="auto"/>
        </w:rPr>
      </w:pPr>
      <w:r>
        <w:rPr>
          <w:rFonts w:ascii="Arial" w:cs="Arial" w:eastAsia="Arial" w:hAnsi="Arial"/>
          <w:sz w:val="18"/>
          <w:szCs w:val="18"/>
          <w:color w:val="auto"/>
        </w:rPr>
        <w:t>In 2006, cash used in investing activities was $5.1 billion and included investments in fixed assets ($2.5 billion), multiclient seismic data ($180 million), the acquisition of the minority interest in WesternGeco ($2.4 billion) and other business acquisitions ($584 million). These investments were partially offset by the proceeds received from the sale of short-term investments ($701 million).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jc w:val="both"/>
        <w:ind w:right="260" w:firstLine="228"/>
        <w:spacing w:after="0" w:line="253" w:lineRule="auto"/>
        <w:rPr>
          <w:sz w:val="20"/>
          <w:szCs w:val="20"/>
          <w:color w:val="auto"/>
        </w:rPr>
      </w:pPr>
      <w:r>
        <w:rPr>
          <w:rFonts w:ascii="Arial" w:cs="Arial" w:eastAsia="Arial" w:hAnsi="Arial"/>
          <w:sz w:val="18"/>
          <w:szCs w:val="18"/>
          <w:color w:val="auto"/>
        </w:rPr>
        <w:t>In 2006, cash provided by financing activities was $291 million which was primarily due to the proceeds from employee stock plans ($442 million) and an increase in debt of $1.5 billion partially offset by the repurchase of 17.99 million shares of Schlumberger stock ($1.07 billion) and the payment of dividends to shareholders ($568 million).</w:t>
      </w:r>
    </w:p>
    <w:p>
      <w:pPr>
        <w:ind w:right="80" w:firstLine="228"/>
        <w:spacing w:after="0" w:line="261" w:lineRule="auto"/>
        <w:rPr>
          <w:sz w:val="20"/>
          <w:szCs w:val="20"/>
          <w:color w:val="auto"/>
        </w:rPr>
      </w:pPr>
      <w:r>
        <w:rPr>
          <w:rFonts w:ascii="Arial" w:cs="Arial" w:eastAsia="Arial" w:hAnsi="Arial"/>
          <w:sz w:val="18"/>
          <w:szCs w:val="18"/>
          <w:color w:val="auto"/>
        </w:rPr>
        <w:t>Schlumberger believes that at December 31, 2006, cash and short-term investments of $3.0 billion and available and unused credit facilities of $2.2 billion are sufficient to meet future business requirements for at least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Major Contractual Commitments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2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Payment Period</w:t>
            </w:r>
          </w:p>
        </w:tc>
        <w:tc>
          <w:tcPr>
            <w:tcW w:w="6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3940" w:type="dxa"/>
            <w:vAlign w:val="bottom"/>
            <w:gridSpan w:val="2"/>
          </w:tcPr>
          <w:p>
            <w:pPr>
              <w:spacing w:after="0"/>
              <w:rPr>
                <w:sz w:val="6"/>
                <w:szCs w:val="6"/>
                <w:color w:val="auto"/>
              </w:rPr>
            </w:pPr>
          </w:p>
        </w:tc>
        <w:tc>
          <w:tcPr>
            <w:tcW w:w="2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gridSpan w:val="2"/>
          </w:tcPr>
          <w:p>
            <w:pPr>
              <w:spacing w:after="0"/>
              <w:rPr>
                <w:sz w:val="6"/>
                <w:szCs w:val="6"/>
                <w:color w:val="auto"/>
              </w:rPr>
            </w:pPr>
          </w:p>
        </w:tc>
        <w:tc>
          <w:tcPr>
            <w:tcW w:w="1240" w:type="dxa"/>
            <w:vAlign w:val="bottom"/>
            <w:tcBorders>
              <w:bottom w:val="single" w:sz="8" w:color="auto"/>
            </w:tcBorders>
            <w:gridSpan w:val="2"/>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Contractual Commitments</w:t>
            </w:r>
          </w:p>
        </w:tc>
        <w:tc>
          <w:tcPr>
            <w:tcW w:w="2440" w:type="dxa"/>
            <w:vAlign w:val="bottom"/>
          </w:tcPr>
          <w:p>
            <w:pPr>
              <w:spacing w:after="0"/>
              <w:rPr>
                <w:sz w:val="22"/>
                <w:szCs w:val="22"/>
                <w:color w:val="auto"/>
              </w:rPr>
            </w:pPr>
          </w:p>
        </w:tc>
        <w:tc>
          <w:tcPr>
            <w:tcW w:w="620" w:type="dxa"/>
            <w:vAlign w:val="bottom"/>
          </w:tcPr>
          <w:p>
            <w:pPr>
              <w:jc w:val="right"/>
              <w:ind w:right="232"/>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232"/>
              <w:spacing w:after="0"/>
              <w:rPr>
                <w:sz w:val="20"/>
                <w:szCs w:val="20"/>
                <w:color w:val="auto"/>
              </w:rPr>
            </w:pPr>
            <w:r>
              <w:rPr>
                <w:rFonts w:ascii="Arial" w:cs="Arial" w:eastAsia="Arial" w:hAnsi="Arial"/>
                <w:sz w:val="14"/>
                <w:szCs w:val="14"/>
                <w:b w:val="1"/>
                <w:bCs w:val="1"/>
                <w:color w:val="auto"/>
                <w:w w:val="89"/>
              </w:rPr>
              <w:t>2007</w:t>
            </w:r>
          </w:p>
        </w:tc>
        <w:tc>
          <w:tcPr>
            <w:tcW w:w="12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2008 - 2009</w:t>
            </w:r>
          </w:p>
        </w:tc>
        <w:tc>
          <w:tcPr>
            <w:tcW w:w="12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2010 - 2011</w:t>
            </w:r>
          </w:p>
        </w:tc>
        <w:tc>
          <w:tcPr>
            <w:tcW w:w="920" w:type="dxa"/>
            <w:vAlign w:val="bottom"/>
            <w:gridSpan w:val="2"/>
          </w:tcPr>
          <w:p>
            <w:pPr>
              <w:ind w:left="320"/>
              <w:spacing w:after="0"/>
              <w:rPr>
                <w:sz w:val="20"/>
                <w:szCs w:val="20"/>
                <w:color w:val="auto"/>
              </w:rPr>
            </w:pPr>
            <w:r>
              <w:rPr>
                <w:rFonts w:ascii="Arial" w:cs="Arial" w:eastAsia="Arial" w:hAnsi="Arial"/>
                <w:sz w:val="14"/>
                <w:szCs w:val="14"/>
                <w:b w:val="1"/>
                <w:bCs w:val="1"/>
                <w:color w:val="auto"/>
                <w:w w:val="85"/>
              </w:rPr>
              <w:t>After 2011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Debt </w:t>
            </w:r>
            <w:r>
              <w:rPr>
                <w:rFonts w:ascii="Arial" w:cs="Arial" w:eastAsia="Arial" w:hAnsi="Arial"/>
                <w:sz w:val="20"/>
                <w:szCs w:val="20"/>
                <w:color w:val="auto"/>
                <w:vertAlign w:val="superscript"/>
              </w:rPr>
              <w:t>1</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85"/>
              </w:rPr>
              <w:t>5,986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9"/>
              </w:rPr>
              <w:t>1,322</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2,055</w:t>
            </w: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91"/>
              </w:rPr>
              <w:t>1,961</w:t>
            </w: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Operating Leases</w:t>
            </w:r>
          </w:p>
        </w:tc>
        <w:tc>
          <w:tcPr>
            <w:tcW w:w="2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691</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191</w:t>
            </w: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205</w:t>
            </w:r>
          </w:p>
        </w:tc>
        <w:tc>
          <w:tcPr>
            <w:tcW w:w="6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106</w:t>
            </w: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Purchase Obligations </w:t>
            </w:r>
            <w:r>
              <w:rPr>
                <w:rFonts w:ascii="Arial" w:cs="Arial" w:eastAsia="Arial" w:hAnsi="Arial"/>
                <w:sz w:val="20"/>
                <w:szCs w:val="20"/>
                <w:color w:val="auto"/>
                <w:vertAlign w:val="superscript"/>
              </w:rPr>
              <w:t>2</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85"/>
              </w:rPr>
              <w:t>1,526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9"/>
              </w:rPr>
              <w:t>1,490</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36</w:t>
            </w: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Excludes future payments for interest. Includes amounts relating to the $1,425 million of Convertible Debentures which are described in Note 11 of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22" w:lineRule="exact"/>
        <w:rPr>
          <w:rFonts w:ascii="Arial" w:cs="Arial" w:eastAsia="Arial" w:hAnsi="Arial"/>
          <w:sz w:val="12"/>
          <w:szCs w:val="12"/>
          <w:color w:val="auto"/>
        </w:rPr>
      </w:pPr>
    </w:p>
    <w:p>
      <w:pPr>
        <w:ind w:left="340" w:right="440" w:hanging="332"/>
        <w:spacing w:after="0" w:line="23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an estimate of contractual obligations in the ordinary course of business. Although these contractual obligations are considered enforceable and legally binding, the terms generally allow Schlumberger the option to reschedule and adjust their requirements based on business needs prior to the delivery of goods.</w:t>
      </w:r>
    </w:p>
    <w:p>
      <w:pPr>
        <w:spacing w:after="0" w:line="128" w:lineRule="exact"/>
        <w:rPr>
          <w:sz w:val="20"/>
          <w:szCs w:val="20"/>
          <w:color w:val="auto"/>
        </w:rPr>
      </w:pPr>
    </w:p>
    <w:p>
      <w:pPr>
        <w:ind w:right="720" w:firstLine="228"/>
        <w:spacing w:after="0" w:line="254" w:lineRule="auto"/>
        <w:rPr>
          <w:sz w:val="20"/>
          <w:szCs w:val="20"/>
          <w:color w:val="auto"/>
        </w:rPr>
      </w:pPr>
      <w:r>
        <w:rPr>
          <w:rFonts w:ascii="Arial" w:cs="Arial" w:eastAsia="Arial" w:hAnsi="Arial"/>
          <w:sz w:val="18"/>
          <w:szCs w:val="18"/>
          <w:color w:val="auto"/>
        </w:rPr>
        <w:t xml:space="preserve">Refer to Note 4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details regarding potential commitments associated with Schlumberger’s prior business acquisitions.</w:t>
      </w:r>
    </w:p>
    <w:p>
      <w:pPr>
        <w:ind w:left="240" w:right="260"/>
        <w:spacing w:after="0" w:line="300" w:lineRule="auto"/>
        <w:rPr>
          <w:sz w:val="20"/>
          <w:szCs w:val="20"/>
          <w:color w:val="auto"/>
        </w:rPr>
      </w:pPr>
      <w:r>
        <w:rPr>
          <w:rFonts w:ascii="Arial" w:cs="Arial" w:eastAsia="Arial" w:hAnsi="Arial"/>
          <w:sz w:val="15"/>
          <w:szCs w:val="15"/>
          <w:color w:val="auto"/>
        </w:rPr>
        <w:t xml:space="preserve">Refer to Note 20 of the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xml:space="preserve"> for details regarding Schlumberger’s pension and other postretirement benefit obligations. Schlumberger has outstanding letters of credit/guarantees which relate to business performance bonds, custom/excise tax commitments, facility lease/rental</w:t>
      </w:r>
    </w:p>
    <w:p>
      <w:pPr>
        <w:spacing w:after="0" w:line="1" w:lineRule="exact"/>
        <w:rPr>
          <w:sz w:val="20"/>
          <w:szCs w:val="20"/>
          <w:color w:val="auto"/>
        </w:rPr>
      </w:pPr>
    </w:p>
    <w:p>
      <w:pPr>
        <w:ind w:right="300"/>
        <w:spacing w:after="0" w:line="364" w:lineRule="auto"/>
        <w:rPr>
          <w:sz w:val="20"/>
          <w:szCs w:val="20"/>
          <w:color w:val="auto"/>
        </w:rPr>
      </w:pPr>
      <w:r>
        <w:rPr>
          <w:rFonts w:ascii="Arial" w:cs="Arial" w:eastAsia="Arial" w:hAnsi="Arial"/>
          <w:sz w:val="18"/>
          <w:szCs w:val="18"/>
          <w:color w:val="auto"/>
        </w:rPr>
        <w:t xml:space="preserve">obligations, etc. These were entered into in the ordinary course of business and are customary practices in the various countries where Schlumberger operates. </w:t>
      </w:r>
      <w:r>
        <w:rPr>
          <w:rFonts w:ascii="Arial" w:cs="Arial" w:eastAsia="Arial" w:hAnsi="Arial"/>
          <w:sz w:val="18"/>
          <w:szCs w:val="18"/>
          <w:b w:val="1"/>
          <w:bCs w:val="1"/>
          <w:i w:val="1"/>
          <w:iCs w:val="1"/>
          <w:color w:val="auto"/>
        </w:rPr>
        <w:t>Critical Accounting Policies and Estimates</w:t>
      </w:r>
    </w:p>
    <w:p>
      <w:pPr>
        <w:spacing w:after="0" w:line="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summary of all of Schlumberger’s significant accounting policies is included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 w:lineRule="exact"/>
        <w:rPr>
          <w:sz w:val="20"/>
          <w:szCs w:val="20"/>
          <w:color w:val="auto"/>
        </w:rPr>
      </w:pPr>
    </w:p>
    <w:p>
      <w:pPr>
        <w:jc w:val="both"/>
        <w:ind w:right="280" w:firstLine="228"/>
        <w:spacing w:after="0" w:line="255" w:lineRule="auto"/>
        <w:rPr>
          <w:sz w:val="20"/>
          <w:szCs w:val="20"/>
          <w:color w:val="auto"/>
        </w:rPr>
      </w:pPr>
      <w:r>
        <w:rPr>
          <w:rFonts w:ascii="Arial" w:cs="Arial" w:eastAsia="Arial" w:hAnsi="Arial"/>
          <w:sz w:val="18"/>
          <w:szCs w:val="18"/>
          <w:color w:val="auto"/>
        </w:rPr>
        <w:t>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7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The WesternGeco segment capitalizes the costs associated with obtaining multiclient seismic data. The carrying value of the multiclient seismic data library at December 31, 2006, 2005 and 2004 was $227 million, $222 million and $347 million, respectively. Such costs are charged to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except as described below under “</w:t>
      </w:r>
      <w:r>
        <w:rPr>
          <w:rFonts w:ascii="Arial" w:cs="Arial" w:eastAsia="Arial" w:hAnsi="Arial"/>
          <w:sz w:val="18"/>
          <w:szCs w:val="18"/>
          <w:i w:val="1"/>
          <w:iCs w:val="1"/>
          <w:color w:val="auto"/>
        </w:rPr>
        <w:t>WesternGeco Purchase Accounting</w:t>
      </w:r>
      <w:r>
        <w:rPr>
          <w:rFonts w:ascii="Arial" w:cs="Arial" w:eastAsia="Arial" w:hAnsi="Arial"/>
          <w:sz w:val="18"/>
          <w:szCs w:val="18"/>
          <w:color w:val="auto"/>
        </w:rPr>
        <w:t>,” under no circumstance will an individual survey carry a net book value greater than a 4-year straight-lined amortized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future cash flows are analyzed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WesternGeco Purchase Accounting</w:t>
      </w:r>
    </w:p>
    <w:p>
      <w:pPr>
        <w:spacing w:after="0" w:line="7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 xml:space="preserve">As described in Note 4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on April 28, 2006, Schlumberger acquired the 30% minority interest in WesternGeco from Baker Hughes Incorporated for $2.4 billion in cash. As a result of this transaction, Schlumberger owns 100% of WesternGeco.</w:t>
      </w:r>
    </w:p>
    <w:p>
      <w:pPr>
        <w:ind w:firstLine="228"/>
        <w:spacing w:after="0" w:line="281" w:lineRule="auto"/>
        <w:rPr>
          <w:sz w:val="20"/>
          <w:szCs w:val="20"/>
          <w:color w:val="auto"/>
        </w:rPr>
      </w:pPr>
      <w:r>
        <w:rPr>
          <w:rFonts w:ascii="Arial" w:cs="Arial" w:eastAsia="Arial" w:hAnsi="Arial"/>
          <w:sz w:val="16"/>
          <w:szCs w:val="16"/>
          <w:color w:val="auto"/>
        </w:rPr>
        <w:t>During the process of allocating the purchase price to the proportionate share of net assets acquired based upon their estimated fair values, Schlumberger made certain significant estimates and assumptions relating to the accounting for WesternGeco’s vessels and multiclient seismic data.</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In analyzing the fair value of the WesternGeco vessels, it was determined that the remaining estimated useful lives of these assets exceeded the remaining estimated life currently being used to calculate depreciation expense. Therefore, the estimated remaining useful lives of the vessels were extended an additional 4 years (on a weighted average basis) as of the date of the acquisition. The impact of the fair value adjustments for all fixed assets, combined with the change in estimate regarding the depreciable lives of the vessels, resulted in a net reduction in depreciation expense of approximately $2 million in 2006.</w:t>
      </w:r>
    </w:p>
    <w:p>
      <w:pPr>
        <w:spacing w:after="0" w:line="3"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 xml:space="preserve">The carrying value of the multiclient library immediately after the acquisition increased to $243 million from $202 million, reflecting the impact of a $41 million fair value adjustment. These capitalized costs will be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on the balance sheet to the estimated total revenue that Schlumberger expects to receive from the sales of such data. Schlumberger policy has been that under no circumstance will an individual survey carry a net book value greater than a 4-year straight-line amortized value. After consideration of the estimated number of future years that revenues are expected to be derived from the multiclient seismic data at the time of the acquisition, Schlumberger concluded that the remaining minimum amortization period should be 3 years for all surveys in the multiclient seismic library at the time of the transaction, effectively resetting the minimum amortization period. Therefore, the $243 million of capitalized multiclient seismic data costs will be charged to expense over a period no longer than the next 3 years from the date of the transaction. Surveys comprising the $202 million of multiclient seismic data costs prior to this transaction had a weighted average remaining life for purposes of computing the minimum amortization of approximately 1.8 years. Given the current emphasis on requiring multiclient projects to be significantly prefunded before the project commences, Schlumberger currently estimates that the majority of revenues to be derived from sales of new surveys will be achieved within a 4-year period. Therefore, Schlumberger will continue its policy that under no circumstance will an individual survey carry a net book value greater than a 4-year straight-line amortized value for all surveys added to the library after the date of this transaction.</w:t>
      </w:r>
    </w:p>
    <w:p>
      <w:pPr>
        <w:spacing w:after="0" w:line="8"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The net impact of the $41 million fair value adjustment combined with the resetting of the minimum amortization period resulted in an approximate $28 million net reduction in multiclient amortization expense in 2006 as compared to what multiclient amortization expense would have been had this transaction not been consummated.</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Schlumberger maintains an allowance for doubtful accounts in order to record accounts receivable at their net realizable value. A significant amount of judgment is involved in recording and making adjustments to this reserve. Allowances have been recorded for receivables believed to be uncollectible, including amounts for the resolution of potential credit and other collection issues such as disputed invoices, customer satisfaction claims and pricing discrepancies. Depending on how such potential issues are resolved, or if the financial condition of Schlumberger’s customers were to deteriorate resulting in an impairment of their ability to make payments, adjustments to the allowance may be required.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Schlumberger records as goodwill the excess of purchase price over the fair value of the tangible and identifiable intangible assets acquired. Statement of Financial Accounting Standards No. 142, “Goodwill and Other Intangible Assets” (SFAS 142), requires goodwill to be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4" w:lineRule="exact"/>
        <w:rPr>
          <w:sz w:val="20"/>
          <w:szCs w:val="20"/>
          <w:color w:val="auto"/>
        </w:rPr>
      </w:pPr>
    </w:p>
    <w:p>
      <w:pPr>
        <w:ind w:right="60" w:firstLine="228"/>
        <w:spacing w:after="0" w:line="252" w:lineRule="auto"/>
        <w:rPr>
          <w:sz w:val="20"/>
          <w:szCs w:val="20"/>
          <w:color w:val="auto"/>
        </w:rPr>
      </w:pPr>
      <w:r>
        <w:rPr>
          <w:rFonts w:ascii="Arial" w:cs="Arial" w:eastAsia="Arial" w:hAnsi="Arial"/>
          <w:sz w:val="18"/>
          <w:szCs w:val="18"/>
          <w:color w:val="auto"/>
        </w:rPr>
        <w:t>For purposes of performing the impairment test for goodwill as required by SFAS 142, Schlumberger’s reporting units are primarily the geographic areas comprising the Oilfield Services segment in addition to the WesternGeco segment. Schlumberger estimates the fair value of these reporting units using a discounted cash flow analysis and/or applying various market multiples. From time to time a third-party valuation expert may be utilized to assist in the determination of fair value. Determining the fair value of a reporting unit is a matter of judgment and often involves the use of significant estimates and assumptions. Schlumberger’s estimates of the fair value of each of its reporting units were significantly in excess of their respective carrying values at the time of the annual goodwill impairment tests for 2006, 2005 and 2004.</w:t>
      </w:r>
    </w:p>
    <w:p>
      <w:pPr>
        <w:spacing w:after="0" w:line="135" w:lineRule="exact"/>
        <w:rPr>
          <w:sz w:val="20"/>
          <w:szCs w:val="20"/>
          <w:color w:val="auto"/>
        </w:rPr>
      </w:pPr>
    </w:p>
    <w:p>
      <w:pPr>
        <w:ind w:right="20" w:firstLine="228"/>
        <w:spacing w:after="0" w:line="310" w:lineRule="auto"/>
        <w:rPr>
          <w:sz w:val="20"/>
          <w:szCs w:val="20"/>
          <w:color w:val="auto"/>
        </w:rPr>
      </w:pPr>
      <w:r>
        <w:rPr>
          <w:rFonts w:ascii="Arial" w:cs="Arial" w:eastAsia="Arial" w:hAnsi="Arial"/>
          <w:sz w:val="15"/>
          <w:szCs w:val="15"/>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In order to estimate the fair value of a long-lived asset, Schlumberger may engage a third-party to assist with the valuation. If there is a material change in economic conditions or other circumstances influencing the estimate of future cash flows or fair value, Schlumberger could be required to recognize impairment charges in the future. Schlumberger evaluates the remaining useful life of its intangible assets on a periodic basis to determine whether events and circumstances warrant a revision to the remaining estimated amortization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Schlumberger’s tax filings are subject to regular audit by the tax authorities in most of the over 100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estimated future expenditures, relating to contractual obligations, associated with business divestitures that have been completed. It is possible that the ultimate expenditures may differ from the amounts recorded. In the opinion of management, such differences are not expected to be material relative to consolidated liquidity, financial position or future results of operations.</w:t>
      </w:r>
    </w:p>
    <w:p>
      <w:pPr>
        <w:spacing w:after="0" w:line="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natural resource or property damage claims and other factors, it is possible that the ultimate remediation costs may exceed the amounts estimated. However, in the opinion of management, any such additional costs are not expected to be material relative to consolidated liquidity, financial position or future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77"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Schlumberger’s pension benefit and postretirement medical benefit obligations and related costs are calculated using actuarial concepts, which include critical assumptions related to the discount rate, expected return on plan assets and medical cost trend rates. These assumptions are important elements of expense and/or liability measurement and are updated on an annual basis at the beginning of each fiscal year, or more frequently upon the occurrence of significant events.</w:t>
      </w:r>
    </w:p>
    <w:p>
      <w:pPr>
        <w:spacing w:after="0" w:line="1"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The discount rate Schlumberger uses reflects the prevailing market rate of a portfolio of high-quality debt instruments with maturities matching the expected timing of the payment of the benefit obligations. The discount rate utilized to determine both the liability for Schlumberger’s United States pension plans and for Schlumberger’s United States postretirement medical plans was increased from 5.75% at December 31, 2005 to 6.00% at December 31, 2006. The discount rate utilized to determine expense for Schlumberger’s United States pension plans and postretirement medical plans was reduced from 6.00% in 2005 to 5.75% in 2006. The change in the discount rate was made to reflect market interest rate conditions. A lower discount rate increases the present value of benefit obligations and increases expense.</w:t>
      </w:r>
    </w:p>
    <w:p>
      <w:pPr>
        <w:spacing w:after="0" w:line="4" w:lineRule="exact"/>
        <w:rPr>
          <w:sz w:val="20"/>
          <w:szCs w:val="20"/>
          <w:color w:val="auto"/>
        </w:rPr>
      </w:pPr>
    </w:p>
    <w:p>
      <w:pPr>
        <w:ind w:right="260" w:firstLine="228"/>
        <w:spacing w:after="0" w:line="250" w:lineRule="auto"/>
        <w:rPr>
          <w:sz w:val="20"/>
          <w:szCs w:val="20"/>
          <w:color w:val="auto"/>
        </w:rPr>
      </w:pPr>
      <w:r>
        <w:rPr>
          <w:rFonts w:ascii="Arial" w:cs="Arial" w:eastAsia="Arial" w:hAnsi="Arial"/>
          <w:sz w:val="18"/>
          <w:szCs w:val="18"/>
          <w:color w:val="auto"/>
        </w:rPr>
        <w:t>The expected rate of return for our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expectations regarding future rates of return for the investment portfolio, with consideration given to the distribution of investments by asset class and historical rates of return for each individual asset class. The expected rate of return on plan assets was 8.50% in both 2006 and 2005. A lower expected rate of return would increase pension expense.</w:t>
      </w:r>
    </w:p>
    <w:p>
      <w:pPr>
        <w:spacing w:after="0" w:line="2" w:lineRule="exact"/>
        <w:rPr>
          <w:sz w:val="20"/>
          <w:szCs w:val="20"/>
          <w:color w:val="auto"/>
        </w:rPr>
      </w:pPr>
    </w:p>
    <w:p>
      <w:pPr>
        <w:ind w:right="180" w:firstLine="228"/>
        <w:spacing w:after="0" w:line="323" w:lineRule="auto"/>
        <w:rPr>
          <w:sz w:val="20"/>
          <w:szCs w:val="20"/>
          <w:color w:val="auto"/>
        </w:rPr>
      </w:pPr>
      <w:r>
        <w:rPr>
          <w:rFonts w:ascii="Arial" w:cs="Arial" w:eastAsia="Arial" w:hAnsi="Arial"/>
          <w:sz w:val="16"/>
          <w:szCs w:val="16"/>
          <w:color w:val="auto"/>
        </w:rPr>
        <w:t>Schlumberger’s medical cost trend rate assumptions are developed based on historical cost data, the near-term outlook and an assessment of likely long-term trends. The overall medical cost trend rate assumption utilized in both 2006 and 2005 was 10% graded to 6% over the next four years and 5% thereafter.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7,7A</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illustrates the sensitivity to changes in certain assumptions, holding all other assumptions constant, for the United States pension plans: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220" w:type="dxa"/>
            <w:vAlign w:val="bottom"/>
          </w:tcPr>
          <w:p>
            <w:pPr>
              <w:jc w:val="right"/>
              <w:ind w:right="452"/>
              <w:spacing w:after="0"/>
              <w:rPr>
                <w:sz w:val="20"/>
                <w:szCs w:val="20"/>
                <w:color w:val="auto"/>
              </w:rPr>
            </w:pPr>
            <w:r>
              <w:rPr>
                <w:rFonts w:ascii="Arial" w:cs="Arial" w:eastAsia="Arial" w:hAnsi="Arial"/>
                <w:sz w:val="14"/>
                <w:szCs w:val="14"/>
                <w:b w:val="1"/>
                <w:bCs w:val="1"/>
                <w:color w:val="auto"/>
              </w:rPr>
              <w:t>Effect on 2006</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22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Pretax Pension</w:t>
            </w: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Dec. 31, 2006</w:t>
            </w:r>
          </w:p>
        </w:tc>
        <w:tc>
          <w:tcPr>
            <w:tcW w:w="0" w:type="dxa"/>
            <w:vAlign w:val="bottom"/>
          </w:tcPr>
          <w:p>
            <w:pPr>
              <w:spacing w:after="0"/>
              <w:rPr>
                <w:sz w:val="1"/>
                <w:szCs w:val="1"/>
                <w:color w:val="auto"/>
              </w:rPr>
            </w:pPr>
          </w:p>
        </w:tc>
      </w:tr>
      <w:tr>
        <w:trPr>
          <w:trHeight w:val="174"/>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4220" w:type="dxa"/>
            <w:vAlign w:val="bottom"/>
          </w:tcPr>
          <w:p>
            <w:pPr>
              <w:jc w:val="right"/>
              <w:ind w:right="452"/>
              <w:spacing w:after="0"/>
              <w:rPr>
                <w:sz w:val="20"/>
                <w:szCs w:val="20"/>
                <w:color w:val="auto"/>
              </w:rPr>
            </w:pPr>
            <w:r>
              <w:rPr>
                <w:rFonts w:ascii="Arial" w:cs="Arial" w:eastAsia="Arial" w:hAnsi="Arial"/>
                <w:sz w:val="14"/>
                <w:szCs w:val="14"/>
                <w:b w:val="1"/>
                <w:bCs w:val="1"/>
                <w:color w:val="auto"/>
              </w:rPr>
              <w:t>Expense</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discount rate</w:t>
            </w:r>
          </w:p>
        </w:tc>
        <w:tc>
          <w:tcPr>
            <w:tcW w:w="422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+$7.1</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42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-$7.0</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 $63.6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expected return on plan assets</w:t>
            </w:r>
          </w:p>
        </w:tc>
        <w:tc>
          <w:tcPr>
            <w:tcW w:w="422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+$3.9</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25 basis point increase in expected return on plan assets</w:t>
            </w:r>
          </w:p>
        </w:tc>
        <w:tc>
          <w:tcPr>
            <w:tcW w:w="4220" w:type="dxa"/>
            <w:vAlign w:val="bottom"/>
          </w:tcPr>
          <w:p>
            <w:pPr>
              <w:jc w:val="right"/>
              <w:ind w:right="452"/>
              <w:spacing w:after="0"/>
              <w:rPr>
                <w:sz w:val="20"/>
                <w:szCs w:val="20"/>
                <w:color w:val="auto"/>
              </w:rPr>
            </w:pPr>
            <w:r>
              <w:rPr>
                <w:rFonts w:ascii="Arial" w:cs="Arial" w:eastAsia="Arial" w:hAnsi="Arial"/>
                <w:sz w:val="14"/>
                <w:szCs w:val="14"/>
                <w:color w:val="auto"/>
              </w:rPr>
              <w:t>-$3.9</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820" w:firstLine="228"/>
        <w:spacing w:after="0" w:line="268"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postretirement medical plans: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20" w:type="dxa"/>
            <w:vAlign w:val="bottom"/>
          </w:tcPr>
          <w:p>
            <w:pPr>
              <w:jc w:val="right"/>
              <w:ind w:right="592"/>
              <w:spacing w:after="0"/>
              <w:rPr>
                <w:sz w:val="20"/>
                <w:szCs w:val="20"/>
                <w:color w:val="auto"/>
              </w:rPr>
            </w:pPr>
            <w:r>
              <w:rPr>
                <w:rFonts w:ascii="Arial" w:cs="Arial" w:eastAsia="Arial" w:hAnsi="Arial"/>
                <w:sz w:val="14"/>
                <w:szCs w:val="14"/>
                <w:b w:val="1"/>
                <w:bCs w:val="1"/>
                <w:color w:val="auto"/>
              </w:rPr>
              <w:t>Effect on 2006</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20" w:type="dxa"/>
            <w:vAlign w:val="bottom"/>
            <w:gridSpan w:val="2"/>
          </w:tcPr>
          <w:p>
            <w:pPr>
              <w:ind w:left="2700"/>
              <w:spacing w:after="0" w:line="149" w:lineRule="exact"/>
              <w:rPr>
                <w:sz w:val="20"/>
                <w:szCs w:val="20"/>
                <w:color w:val="auto"/>
              </w:rPr>
            </w:pPr>
            <w:r>
              <w:rPr>
                <w:rFonts w:ascii="Arial" w:cs="Arial" w:eastAsia="Arial" w:hAnsi="Arial"/>
                <w:sz w:val="14"/>
                <w:szCs w:val="14"/>
                <w:b w:val="1"/>
                <w:bCs w:val="1"/>
                <w:color w:val="auto"/>
              </w:rPr>
              <w:t>Pretax Postretirement</w:t>
            </w:r>
          </w:p>
        </w:tc>
        <w:tc>
          <w:tcPr>
            <w:tcW w:w="1420" w:type="dxa"/>
            <w:vAlign w:val="bottom"/>
            <w:gridSpan w:val="3"/>
          </w:tcPr>
          <w:p>
            <w:pPr>
              <w:jc w:val="center"/>
              <w:ind w:left="552"/>
              <w:spacing w:after="0" w:line="149" w:lineRule="exact"/>
              <w:rPr>
                <w:sz w:val="20"/>
                <w:szCs w:val="20"/>
                <w:color w:val="auto"/>
              </w:rPr>
            </w:pPr>
            <w:r>
              <w:rPr>
                <w:rFonts w:ascii="Arial" w:cs="Arial" w:eastAsia="Arial" w:hAnsi="Arial"/>
                <w:sz w:val="14"/>
                <w:szCs w:val="14"/>
                <w:b w:val="1"/>
                <w:bCs w:val="1"/>
                <w:color w:val="auto"/>
                <w:w w:val="86"/>
              </w:rPr>
              <w:t>Dec. 31, 2006</w:t>
            </w:r>
          </w:p>
        </w:tc>
        <w:tc>
          <w:tcPr>
            <w:tcW w:w="0" w:type="dxa"/>
            <w:vAlign w:val="bottom"/>
          </w:tcPr>
          <w:p>
            <w:pPr>
              <w:spacing w:after="0"/>
              <w:rPr>
                <w:sz w:val="1"/>
                <w:szCs w:val="1"/>
                <w:color w:val="auto"/>
              </w:rPr>
            </w:pPr>
          </w:p>
        </w:tc>
      </w:tr>
      <w:tr>
        <w:trPr>
          <w:trHeight w:val="174"/>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2900" w:type="dxa"/>
            <w:vAlign w:val="bottom"/>
          </w:tcPr>
          <w:p>
            <w:pPr>
              <w:spacing w:after="0"/>
              <w:rPr>
                <w:sz w:val="15"/>
                <w:szCs w:val="15"/>
                <w:color w:val="auto"/>
              </w:rPr>
            </w:pPr>
          </w:p>
        </w:tc>
        <w:tc>
          <w:tcPr>
            <w:tcW w:w="1720" w:type="dxa"/>
            <w:vAlign w:val="bottom"/>
          </w:tcPr>
          <w:p>
            <w:pPr>
              <w:jc w:val="right"/>
              <w:ind w:right="592"/>
              <w:spacing w:after="0"/>
              <w:rPr>
                <w:sz w:val="20"/>
                <w:szCs w:val="20"/>
                <w:color w:val="auto"/>
              </w:rPr>
            </w:pPr>
            <w:r>
              <w:rPr>
                <w:rFonts w:ascii="Arial" w:cs="Arial" w:eastAsia="Arial" w:hAnsi="Arial"/>
                <w:sz w:val="14"/>
                <w:szCs w:val="14"/>
                <w:b w:val="1"/>
                <w:bCs w:val="1"/>
                <w:color w:val="auto"/>
                <w:w w:val="92"/>
              </w:rPr>
              <w:t>Medical Expense</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discount rate</w:t>
            </w:r>
          </w:p>
        </w:tc>
        <w:tc>
          <w:tcPr>
            <w:tcW w:w="2900" w:type="dxa"/>
            <w:vAlign w:val="bottom"/>
            <w:shd w:val="clear" w:color="auto" w:fill="CCEEFF"/>
          </w:tcPr>
          <w:p>
            <w:pPr>
              <w:ind w:left="268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3.2</w:t>
            </w:r>
          </w:p>
        </w:tc>
        <w:tc>
          <w:tcPr>
            <w:tcW w:w="1100" w:type="dxa"/>
            <w:vAlign w:val="bottom"/>
            <w:shd w:val="clear" w:color="auto" w:fill="CCEEFF"/>
          </w:tcPr>
          <w:p>
            <w:pPr>
              <w:jc w:val="center"/>
              <w:ind w:left="892"/>
              <w:spacing w:after="0" w:line="149" w:lineRule="exact"/>
              <w:rPr>
                <w:sz w:val="20"/>
                <w:szCs w:val="20"/>
                <w:color w:val="auto"/>
              </w:rPr>
            </w:pPr>
            <w:r>
              <w:rPr>
                <w:rFonts w:ascii="Arial" w:cs="Arial" w:eastAsia="Arial" w:hAnsi="Arial"/>
                <w:sz w:val="14"/>
                <w:szCs w:val="14"/>
                <w:color w:val="auto"/>
                <w:w w:val="87"/>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2900" w:type="dxa"/>
            <w:vAlign w:val="bottom"/>
          </w:tcPr>
          <w:p>
            <w:pPr>
              <w:ind w:left="2680"/>
              <w:spacing w:after="0" w:line="149" w:lineRule="exact"/>
              <w:rPr>
                <w:sz w:val="20"/>
                <w:szCs w:val="20"/>
                <w:color w:val="auto"/>
              </w:rPr>
            </w:pPr>
            <w:r>
              <w:rPr>
                <w:rFonts w:ascii="Arial" w:cs="Arial" w:eastAsia="Arial" w:hAnsi="Arial"/>
                <w:sz w:val="14"/>
                <w:szCs w:val="14"/>
                <w:color w:val="auto"/>
              </w:rPr>
              <w:t>- $</w:t>
            </w:r>
          </w:p>
        </w:tc>
        <w:tc>
          <w:tcPr>
            <w:tcW w:w="172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3.1</w:t>
            </w:r>
          </w:p>
        </w:tc>
        <w:tc>
          <w:tcPr>
            <w:tcW w:w="1100" w:type="dxa"/>
            <w:vAlign w:val="bottom"/>
          </w:tcPr>
          <w:p>
            <w:pPr>
              <w:jc w:val="center"/>
              <w:ind w:left="872"/>
              <w:spacing w:after="0" w:line="149" w:lineRule="exact"/>
              <w:rPr>
                <w:sz w:val="20"/>
                <w:szCs w:val="20"/>
                <w:color w:val="auto"/>
              </w:rPr>
            </w:pPr>
            <w:r>
              <w:rPr>
                <w:rFonts w:ascii="Arial" w:cs="Arial" w:eastAsia="Arial" w:hAnsi="Arial"/>
                <w:sz w:val="14"/>
                <w:szCs w:val="14"/>
                <w:color w:val="auto"/>
                <w:w w:val="97"/>
              </w:rPr>
              <w:t>- $</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basis point decrease in medical cost trend rate</w:t>
            </w:r>
          </w:p>
        </w:tc>
        <w:tc>
          <w:tcPr>
            <w:tcW w:w="2900" w:type="dxa"/>
            <w:vAlign w:val="bottom"/>
            <w:shd w:val="clear" w:color="auto" w:fill="CCEEFF"/>
          </w:tcPr>
          <w:p>
            <w:pPr>
              <w:ind w:left="2680"/>
              <w:spacing w:after="0" w:line="149" w:lineRule="exact"/>
              <w:rPr>
                <w:sz w:val="20"/>
                <w:szCs w:val="20"/>
                <w:color w:val="auto"/>
              </w:rPr>
            </w:pPr>
            <w:r>
              <w:rPr>
                <w:rFonts w:ascii="Arial" w:cs="Arial" w:eastAsia="Arial" w:hAnsi="Arial"/>
                <w:sz w:val="14"/>
                <w:szCs w:val="14"/>
                <w:color w:val="auto"/>
              </w:rPr>
              <w:t>- $</w:t>
            </w:r>
          </w:p>
        </w:tc>
        <w:tc>
          <w:tcPr>
            <w:tcW w:w="172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17.7</w:t>
            </w:r>
          </w:p>
        </w:tc>
        <w:tc>
          <w:tcPr>
            <w:tcW w:w="1100" w:type="dxa"/>
            <w:vAlign w:val="bottom"/>
            <w:shd w:val="clear" w:color="auto" w:fill="CCEEFF"/>
          </w:tcPr>
          <w:p>
            <w:pPr>
              <w:jc w:val="center"/>
              <w:ind w:left="872"/>
              <w:spacing w:after="0" w:line="149" w:lineRule="exact"/>
              <w:rPr>
                <w:sz w:val="20"/>
                <w:szCs w:val="20"/>
                <w:color w:val="auto"/>
              </w:rPr>
            </w:pPr>
            <w:r>
              <w:rPr>
                <w:rFonts w:ascii="Arial" w:cs="Arial" w:eastAsia="Arial" w:hAnsi="Arial"/>
                <w:sz w:val="14"/>
                <w:szCs w:val="14"/>
                <w:color w:val="auto"/>
                <w:w w:val="97"/>
              </w:rPr>
              <w:t>- $</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4"/>
                <w:szCs w:val="14"/>
                <w:color w:val="auto"/>
              </w:rPr>
              <w:t>100 basis point increase in medical cost trend rate</w:t>
            </w:r>
          </w:p>
        </w:tc>
        <w:tc>
          <w:tcPr>
            <w:tcW w:w="2900" w:type="dxa"/>
            <w:vAlign w:val="bottom"/>
          </w:tcPr>
          <w:p>
            <w:pPr>
              <w:ind w:left="268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592"/>
              <w:spacing w:after="0"/>
              <w:rPr>
                <w:sz w:val="20"/>
                <w:szCs w:val="20"/>
                <w:color w:val="auto"/>
              </w:rPr>
            </w:pPr>
            <w:r>
              <w:rPr>
                <w:rFonts w:ascii="Arial" w:cs="Arial" w:eastAsia="Arial" w:hAnsi="Arial"/>
                <w:sz w:val="14"/>
                <w:szCs w:val="14"/>
                <w:color w:val="auto"/>
              </w:rPr>
              <w:t>21.8</w:t>
            </w:r>
          </w:p>
        </w:tc>
        <w:tc>
          <w:tcPr>
            <w:tcW w:w="1100" w:type="dxa"/>
            <w:vAlign w:val="bottom"/>
          </w:tcPr>
          <w:p>
            <w:pPr>
              <w:jc w:val="center"/>
              <w:ind w:left="892"/>
              <w:spacing w:after="0"/>
              <w:rPr>
                <w:sz w:val="20"/>
                <w:szCs w:val="20"/>
                <w:color w:val="auto"/>
              </w:rPr>
            </w:pPr>
            <w:r>
              <w:rPr>
                <w:rFonts w:ascii="Arial" w:cs="Arial" w:eastAsia="Arial" w:hAnsi="Arial"/>
                <w:sz w:val="14"/>
                <w:szCs w:val="14"/>
                <w:color w:val="auto"/>
                <w:w w:val="87"/>
              </w:rPr>
              <w:t>+$</w:t>
            </w: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121.8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is subject to market risk primarily associated with changes in foreign currency exchange rates and interest rates.</w:t>
      </w:r>
    </w:p>
    <w:p>
      <w:pPr>
        <w:spacing w:after="0" w:line="15" w:lineRule="exact"/>
        <w:rPr>
          <w:sz w:val="20"/>
          <w:szCs w:val="20"/>
          <w:color w:val="auto"/>
        </w:rPr>
      </w:pPr>
    </w:p>
    <w:p>
      <w:pPr>
        <w:ind w:right="480" w:firstLine="228"/>
        <w:spacing w:after="0" w:line="281" w:lineRule="auto"/>
        <w:rPr>
          <w:sz w:val="20"/>
          <w:szCs w:val="20"/>
          <w:color w:val="auto"/>
        </w:rPr>
      </w:pPr>
      <w:r>
        <w:rPr>
          <w:rFonts w:ascii="Arial" w:cs="Arial" w:eastAsia="Arial" w:hAnsi="Arial"/>
          <w:sz w:val="16"/>
          <w:szCs w:val="16"/>
          <w:color w:val="auto"/>
        </w:rPr>
        <w:t>As a multinational company, Schlumberger conducts its business in approximately 80 countries. Schlumberger’s functional currency is primarily the US dollar, which is consistent with the oil and gas industry. Approximately 80% of Schlumberger’s operating revenue in 2006 was denominated in US dollars. However, outside the United States, a significant portion of Schlumberger’s expenses are incurred in foreign currencies. Therefore, when the US dollar strengthens in relation to the foreign currencies of the countries in which Schlumberger conducts business, the US dollar-reported expenses will decrease.</w:t>
      </w:r>
    </w:p>
    <w:p>
      <w:pPr>
        <w:spacing w:after="0" w:line="3" w:lineRule="exact"/>
        <w:rPr>
          <w:sz w:val="20"/>
          <w:szCs w:val="20"/>
          <w:color w:val="auto"/>
        </w:rPr>
      </w:pPr>
    </w:p>
    <w:p>
      <w:pPr>
        <w:ind w:right="240" w:firstLine="228"/>
        <w:spacing w:after="0" w:line="300" w:lineRule="auto"/>
        <w:rPr>
          <w:sz w:val="20"/>
          <w:szCs w:val="20"/>
          <w:color w:val="auto"/>
        </w:rPr>
      </w:pPr>
      <w:r>
        <w:rPr>
          <w:rFonts w:ascii="Arial" w:cs="Arial" w:eastAsia="Arial" w:hAnsi="Arial"/>
          <w:sz w:val="15"/>
          <w:szCs w:val="15"/>
          <w:color w:val="auto"/>
        </w:rPr>
        <w:t>A 5% change in the average exchange rates of all the foreign currencies in 2006 would have changed operating revenue by approximately 1%. If the 2006 average exchange rates of the US dollar against all foreign currencies had strengthened by 5%, Schlumberger’s income from continuing operations would have increased by 2%. Conversely, a 5% weakening of the US dollar average exchange rates would have decreased income from continuing operations by 3%.</w:t>
      </w:r>
    </w:p>
    <w:p>
      <w:pPr>
        <w:spacing w:after="0" w:line="1"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provide a hedge against currency fluctuations either on assets/liabilities denominated in other than a functional currency or on expenses.</w:t>
      </w:r>
    </w:p>
    <w:p>
      <w:pPr>
        <w:spacing w:after="0" w:line="1" w:lineRule="exact"/>
        <w:rPr>
          <w:sz w:val="20"/>
          <w:szCs w:val="20"/>
          <w:color w:val="auto"/>
        </w:rPr>
      </w:pPr>
    </w:p>
    <w:p>
      <w:pPr>
        <w:ind w:right="540" w:firstLine="228"/>
        <w:spacing w:after="0" w:line="250" w:lineRule="auto"/>
        <w:rPr>
          <w:sz w:val="20"/>
          <w:szCs w:val="20"/>
          <w:color w:val="auto"/>
        </w:rPr>
      </w:pPr>
      <w:r>
        <w:rPr>
          <w:rFonts w:ascii="Arial" w:cs="Arial" w:eastAsia="Arial" w:hAnsi="Arial"/>
          <w:sz w:val="18"/>
          <w:szCs w:val="18"/>
          <w:color w:val="auto"/>
        </w:rPr>
        <w:t>On December 31, 2006, contracts were outstanding for the US dollar equivalent of $2.9 billion in various foreign currencies. These contracts mature on various dates in 2007.</w:t>
      </w:r>
    </w:p>
    <w:p>
      <w:pPr>
        <w:spacing w:after="0" w:line="1"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Schlumberger is subject to interest rate risk on its debt. Schlumberger maintains an interest rate risk management strategy that uses a mix of variable- and fixed-rate debt together with interest rate swaps, where appropriate, to fix or lower borrowing costs.</w:t>
      </w:r>
    </w:p>
    <w:p>
      <w:pPr>
        <w:spacing w:after="0" w:line="1" w:lineRule="exact"/>
        <w:rPr>
          <w:sz w:val="20"/>
          <w:szCs w:val="20"/>
          <w:color w:val="auto"/>
        </w:rPr>
      </w:pPr>
    </w:p>
    <w:p>
      <w:pPr>
        <w:ind w:right="540" w:firstLine="228"/>
        <w:spacing w:after="0" w:line="261" w:lineRule="auto"/>
        <w:rPr>
          <w:sz w:val="20"/>
          <w:szCs w:val="20"/>
          <w:color w:val="auto"/>
        </w:rPr>
      </w:pPr>
      <w:r>
        <w:rPr>
          <w:rFonts w:ascii="Arial" w:cs="Arial" w:eastAsia="Arial" w:hAnsi="Arial"/>
          <w:sz w:val="18"/>
          <w:szCs w:val="18"/>
          <w:color w:val="auto"/>
        </w:rPr>
        <w:t>At December 31, 2006, Schlumberger had fixed rate debt aggregating approximately $2.8 billion and variable rate debt aggregating approximately $3.2 billion.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7A</w:t>
      </w:r>
    </w:p>
    <w:p>
      <w:pPr>
        <w:spacing w:after="0" w:line="206" w:lineRule="exact"/>
        <w:rPr>
          <w:sz w:val="20"/>
          <w:szCs w:val="20"/>
          <w:color w:val="auto"/>
        </w:rPr>
      </w:pPr>
    </w:p>
    <w:p>
      <w:pPr>
        <w:jc w:val="both"/>
        <w:ind w:right="20" w:firstLine="228"/>
        <w:spacing w:after="0" w:line="252" w:lineRule="auto"/>
        <w:rPr>
          <w:sz w:val="20"/>
          <w:szCs w:val="20"/>
          <w:color w:val="auto"/>
        </w:rPr>
      </w:pPr>
      <w:r>
        <w:rPr>
          <w:rFonts w:ascii="Arial" w:cs="Arial" w:eastAsia="Arial" w:hAnsi="Arial"/>
          <w:sz w:val="18"/>
          <w:szCs w:val="18"/>
          <w:color w:val="auto"/>
        </w:rPr>
        <w:t xml:space="preserve">Schlumberger’s exposure to interest rate risk associated with its debt is also somewhat mitigated by its investment portfolio. Both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Fixed income investments, held to maturity</w:t>
      </w:r>
      <w:r>
        <w:rPr>
          <w:rFonts w:ascii="Arial" w:cs="Arial" w:eastAsia="Arial" w:hAnsi="Arial"/>
          <w:sz w:val="18"/>
          <w:szCs w:val="18"/>
          <w:color w:val="auto"/>
        </w:rPr>
        <w:t>, which totaled approximately $3.0 billion at December 31, 2006, are comprised primarily of eurodollar time deposits,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of deposit and commercial paper, euronotes and eurobonds, and are substantially all denominated in US dollars. The average return on investment was 4.5% in 2006.</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represents principal amounts of Schlumberger’s debt at December 31, 2006 by year of maturity: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(Stated in millions)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Expected Maturity Dates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22"/>
                <w:szCs w:val="22"/>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Fixed rate debt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1.5% Series A Convertible Debentures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6.5% Notes</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2.125% Series B Convertible Debentures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5.875% Guaranteed Bonds (Euro denominated)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5.25% Guaranteed Bonds (Euro denominated)</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6.25% Guaranteed Bonds (British pound denominated)</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fixed rate debt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1,327</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2,758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Variable rate debt</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1,322</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670</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1,061</w:t>
            </w:r>
          </w:p>
        </w:tc>
        <w:tc>
          <w:tcPr>
            <w:tcW w:w="34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5"/>
              </w:rPr>
              <w:t>3,228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1,322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1,394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5,986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30416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21844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844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0416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20" w:firstLine="228"/>
        <w:spacing w:after="0" w:line="283" w:lineRule="auto"/>
        <w:rPr>
          <w:sz w:val="20"/>
          <w:szCs w:val="20"/>
          <w:color w:val="auto"/>
        </w:rPr>
      </w:pPr>
      <w:r>
        <w:rPr>
          <w:rFonts w:ascii="Arial" w:cs="Arial" w:eastAsia="Arial" w:hAnsi="Arial"/>
          <w:sz w:val="16"/>
          <w:szCs w:val="16"/>
          <w:color w:val="auto"/>
        </w:rPr>
        <w:t>The 1.5% Series A Convertible Debentures and the 2.125% Series B Convertible Debentures are convertible, at the holders’ option, into shares of Schlumberger common stock. Holders of the Series A debentures may convert their debentures into common stock at a conversion rate of 27.651 shares for each $1,000 principal amount of Series A debentures (equivalent to an initial conversion price of $36.165 per share). Holders of the Series B debentures may convert their debentures into common stock at a conversion rate of 25.000 shares for each $1,000 principal amount of Series B debentures (equivalent to an initial conversion price of $40.00 per share). Each conversion rate may be adjusted for certain events, but it will not be adjusted for accrued interest.</w:t>
      </w:r>
    </w:p>
    <w:p>
      <w:pPr>
        <w:spacing w:after="0" w:line="2" w:lineRule="exact"/>
        <w:rPr>
          <w:sz w:val="20"/>
          <w:szCs w:val="20"/>
          <w:color w:val="auto"/>
        </w:rPr>
      </w:pPr>
    </w:p>
    <w:p>
      <w:pPr>
        <w:ind w:firstLine="228"/>
        <w:spacing w:after="0" w:line="285" w:lineRule="auto"/>
        <w:rPr>
          <w:sz w:val="20"/>
          <w:szCs w:val="20"/>
          <w:color w:val="auto"/>
        </w:rPr>
      </w:pPr>
      <w:r>
        <w:rPr>
          <w:rFonts w:ascii="Arial" w:cs="Arial" w:eastAsia="Arial" w:hAnsi="Arial"/>
          <w:sz w:val="16"/>
          <w:szCs w:val="16"/>
          <w:color w:val="auto"/>
        </w:rPr>
        <w:t>On or after June 6, 2008 (in the case of the Series A Convertible Debentures) or June 6, 2010 (in the case of the Series B Convertible Debentures), Schlumberger may redeem for cash all or part of the applicable series of debentures, upon notice to the holders, at the redemption prices of 100% of the principal amount of the debentures, plus accrued and unpaid interest to the date of redemption. On June 1, 2008, June 1, 2013, and June 1, 2018, holders of Series A debentures may require Schlumberger to repurchase their Series A debentures. On June 1, 2010, June 1, 2013 and June 1, 2018, holders of Series B debentures may require Schlumberger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Schlumberger may choose to pay the repurchase price in cash or common stock or any combination of cash and common stock. In addition, upon the occurrence of a Fundamental Change (defined as a change in control or a termination of trading of Schlumberger’s common stock), holders may require Schlumberger to repurchase all or a portion of their debentures for an amount equal to 100% of the principal amount of the debentures plus accrued and unpaid interest to the repurchase date. The repurchase price may be paid in cash, Schlumberger common stock (or if Schlumberger is not the surviving entity in a merger, the securities of the surviving entity) or a combination of cash and the applicable securities, at Schlumberger’s option. The applicable securities will be valued at 99% of their market price. Schlumberger’s option to pay the repurchase price with securities is subject to certain conditions. The debentures will mature on June 1, 2023 unless earlier redeemed or repurchased.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7A</w:t>
      </w:r>
    </w:p>
    <w:p>
      <w:pPr>
        <w:spacing w:after="0" w:line="206" w:lineRule="exact"/>
        <w:rPr>
          <w:sz w:val="20"/>
          <w:szCs w:val="20"/>
          <w:color w:val="auto"/>
        </w:rPr>
      </w:pPr>
    </w:p>
    <w:p>
      <w:pPr>
        <w:ind w:right="260" w:firstLine="228"/>
        <w:spacing w:after="0" w:line="254" w:lineRule="auto"/>
        <w:rPr>
          <w:sz w:val="20"/>
          <w:szCs w:val="20"/>
          <w:color w:val="auto"/>
        </w:rPr>
      </w:pPr>
      <w:r>
        <w:rPr>
          <w:rFonts w:ascii="Arial" w:cs="Arial" w:eastAsia="Arial" w:hAnsi="Arial"/>
          <w:sz w:val="18"/>
          <w:szCs w:val="18"/>
          <w:color w:val="auto"/>
        </w:rPr>
        <w:t>The fair market value of the outstanding fixed rate debt was approximately $3.8 billion as of December 31, 2006. The weighted average interest rate on the variable rate debt as of December 31, 2006 was approximately 5.1%.</w:t>
      </w:r>
    </w:p>
    <w:p>
      <w:pPr>
        <w:ind w:right="300" w:firstLine="228"/>
        <w:spacing w:after="0" w:line="281" w:lineRule="auto"/>
        <w:rPr>
          <w:sz w:val="20"/>
          <w:szCs w:val="20"/>
          <w:color w:val="auto"/>
        </w:rPr>
      </w:pPr>
      <w:r>
        <w:rPr>
          <w:rFonts w:ascii="Arial" w:cs="Arial" w:eastAsia="Arial" w:hAnsi="Arial"/>
          <w:sz w:val="16"/>
          <w:szCs w:val="16"/>
          <w:color w:val="auto"/>
        </w:rPr>
        <w:t>On December 31, 2006, interest rate swap arrangements outstanding were pay floating/receive fixed on US dollar debt of $68 million. These arrangements mature at various dates to December 2009. Interest rate swap arrangements decreased consolidated interest expense in 2006 by $0.8 million.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does not enter into foreign currency or interest rate derivatives for speculative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72"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This Report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margins; operating and capital expenditures by Schlumberger and the oil and gas industry; the business strategies of Schlumberger's customers; expected depreciation and amortization expense; expected pension and post-retirement funding; expected stock compensation costs;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described elsewhere in this Report, including under “Item 1A, Risk Factors” of this Report.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71" w:lineRule="exact"/>
        <w:rPr>
          <w:sz w:val="20"/>
          <w:szCs w:val="20"/>
          <w:color w:val="auto"/>
        </w:rPr>
      </w:pPr>
    </w:p>
    <w:p>
      <w:pPr>
        <w:ind w:right="3000"/>
        <w:spacing w:after="0" w:line="339" w:lineRule="auto"/>
        <w:rPr>
          <w:sz w:val="20"/>
          <w:szCs w:val="20"/>
          <w:color w:val="auto"/>
        </w:rPr>
      </w:pPr>
      <w:r>
        <w:rPr>
          <w:rFonts w:ascii="Arial" w:cs="Arial" w:eastAsia="Arial" w:hAnsi="Arial"/>
          <w:sz w:val="14"/>
          <w:szCs w:val="14"/>
          <w:color w:val="auto"/>
        </w:rPr>
        <w:t>SCHLUMBERGER LIMITED (SCHLUMBERGER N.V., INCORPORATED IN THE NETHERLANDS ANTILLES) AND SUBSIDIARY COMPANIES CONSOLIDATED STATEMENT OF INCOME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-76200</wp:posOffset>
            </wp:positionV>
            <wp:extent cx="19983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820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18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Operating revenue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19,230,478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14,309,182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11,480,165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286,716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407,769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128,698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80" w:type="dxa"/>
            <w:vAlign w:val="bottom"/>
          </w:tcPr>
          <w:p>
            <w:pPr>
              <w:ind w:left="120"/>
              <w:spacing w:after="0" w:line="149" w:lineRule="exact"/>
              <w:rPr>
                <w:sz w:val="20"/>
                <w:szCs w:val="20"/>
                <w:color w:val="auto"/>
              </w:rPr>
            </w:pPr>
            <w:r>
              <w:rPr>
                <w:rFonts w:ascii="Arial" w:cs="Arial" w:eastAsia="Arial" w:hAnsi="Arial"/>
                <w:sz w:val="14"/>
                <w:szCs w:val="14"/>
                <w:color w:val="auto"/>
              </w:rPr>
              <w:t>Cost of goods sold and services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13,214,043</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10,639,377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9,057,370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Research &amp; engineering</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619,316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505,513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467,354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80" w:type="dxa"/>
            <w:vAlign w:val="bottom"/>
          </w:tcPr>
          <w:p>
            <w:pPr>
              <w:ind w:left="120"/>
              <w:spacing w:after="0" w:line="149" w:lineRule="exact"/>
              <w:rPr>
                <w:sz w:val="20"/>
                <w:szCs w:val="20"/>
                <w:color w:val="auto"/>
              </w:rPr>
            </w:pPr>
            <w:r>
              <w:rPr>
                <w:rFonts w:ascii="Arial" w:cs="Arial" w:eastAsia="Arial" w:hAnsi="Arial"/>
                <w:sz w:val="14"/>
                <w:szCs w:val="14"/>
                <w:color w:val="auto"/>
              </w:rPr>
              <w:t>Marketing</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75,704</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53,964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43,947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&amp; administrative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425,057</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349,277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325,413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80" w:type="dxa"/>
            <w:vAlign w:val="bottom"/>
          </w:tcPr>
          <w:p>
            <w:pPr>
              <w:ind w:left="120"/>
              <w:spacing w:after="0" w:line="149" w:lineRule="exact"/>
              <w:rPr>
                <w:sz w:val="20"/>
                <w:szCs w:val="20"/>
                <w:color w:val="auto"/>
              </w:rPr>
            </w:pPr>
            <w:r>
              <w:rPr>
                <w:rFonts w:ascii="Arial" w:cs="Arial" w:eastAsia="Arial" w:hAnsi="Arial"/>
                <w:sz w:val="14"/>
                <w:szCs w:val="14"/>
                <w:color w:val="auto"/>
              </w:rPr>
              <w:t>Debt extinguishment costs</w:t>
            </w:r>
          </w:p>
        </w:tc>
        <w:tc>
          <w:tcPr>
            <w:tcW w:w="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114,894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234,916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197,090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272,448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taxes and minority interest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4,948,158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2,971,730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80" w:type="dxa"/>
            <w:vAlign w:val="bottom"/>
          </w:tcPr>
          <w:p>
            <w:pPr>
              <w:ind w:left="120"/>
              <w:spacing w:after="0"/>
              <w:rPr>
                <w:sz w:val="20"/>
                <w:szCs w:val="20"/>
                <w:color w:val="auto"/>
              </w:rPr>
            </w:pPr>
            <w:r>
              <w:rPr>
                <w:rFonts w:ascii="Arial" w:cs="Arial" w:eastAsia="Arial" w:hAnsi="Arial"/>
                <w:sz w:val="14"/>
                <w:szCs w:val="14"/>
                <w:color w:val="auto"/>
              </w:rPr>
              <w:t>Taxes on income</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1,189,568</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681,927</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276,949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minority interest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3,758,590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2,289,803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1,050,488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80" w:type="dxa"/>
            <w:vAlign w:val="bottom"/>
          </w:tcPr>
          <w:p>
            <w:pPr>
              <w:ind w:left="120"/>
              <w:spacing w:after="0"/>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(48,739)</w:t>
            </w:r>
          </w:p>
        </w:tc>
        <w:tc>
          <w:tcPr>
            <w:tcW w:w="12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(90,808)</w:t>
            </w:r>
          </w:p>
        </w:tc>
        <w:tc>
          <w:tcPr>
            <w:tcW w:w="8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(36,436)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3,709,851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2,198,995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1,014,052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80" w:type="dxa"/>
            <w:vAlign w:val="bottom"/>
            <w:gridSpan w:val="2"/>
          </w:tcPr>
          <w:p>
            <w:pPr>
              <w:spacing w:after="0"/>
              <w:rPr>
                <w:sz w:val="20"/>
                <w:szCs w:val="20"/>
                <w:color w:val="auto"/>
              </w:rPr>
            </w:pPr>
            <w:r>
              <w:rPr>
                <w:rFonts w:ascii="Arial" w:cs="Arial" w:eastAsia="Arial" w:hAnsi="Arial"/>
                <w:sz w:val="14"/>
                <w:szCs w:val="14"/>
                <w:i w:val="1"/>
                <w:iCs w:val="1"/>
                <w:color w:val="auto"/>
              </w:rPr>
              <w:t>Income from Discontinued Operations</w:t>
            </w:r>
          </w:p>
        </w:tc>
        <w:tc>
          <w:tcPr>
            <w:tcW w:w="8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7,972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209,818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1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3,709,851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2,206,967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1,223,870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8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80" w:type="dxa"/>
            <w:vAlign w:val="bottom"/>
          </w:tcPr>
          <w:p>
            <w:pPr>
              <w:ind w:left="12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3.14</w:t>
            </w:r>
          </w:p>
        </w:tc>
        <w:tc>
          <w:tcPr>
            <w:tcW w:w="3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from Discontinued Operations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98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Net Income</w:t>
            </w:r>
            <w:r>
              <w:rPr>
                <w:rFonts w:ascii="Arial" w:cs="Arial" w:eastAsia="Arial" w:hAnsi="Arial"/>
                <w:sz w:val="20"/>
                <w:szCs w:val="20"/>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3.14</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8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80" w:type="dxa"/>
            <w:vAlign w:val="bottom"/>
          </w:tcPr>
          <w:p>
            <w:pPr>
              <w:ind w:left="12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3.01</w:t>
            </w:r>
          </w:p>
        </w:tc>
        <w:tc>
          <w:tcPr>
            <w:tcW w:w="3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3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from Discontinued Operations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8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shares outstanding</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1,181,683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1,178,576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1,178,178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80" w:type="dxa"/>
            <w:vAlign w:val="bottom"/>
            <w:gridSpan w:val="2"/>
          </w:tcPr>
          <w:p>
            <w:pPr>
              <w:spacing w:after="0"/>
              <w:rPr>
                <w:sz w:val="20"/>
                <w:szCs w:val="20"/>
                <w:color w:val="auto"/>
              </w:rPr>
            </w:pPr>
            <w:r>
              <w:rPr>
                <w:rFonts w:ascii="Arial" w:cs="Arial" w:eastAsia="Arial" w:hAnsi="Arial"/>
                <w:sz w:val="14"/>
                <w:szCs w:val="14"/>
                <w:color w:val="auto"/>
              </w:rPr>
              <w:t>Average shares outstanding assuming dilution</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1,242,196</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1,229,716</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1,225,745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 w:type="dxa"/>
            <w:vAlign w:val="bottom"/>
            <w:gridSpan w:val="2"/>
          </w:tcPr>
          <w:p>
            <w:pPr>
              <w:spacing w:after="0"/>
              <w:rPr>
                <w:sz w:val="20"/>
                <w:szCs w:val="20"/>
                <w:color w:val="auto"/>
              </w:rPr>
            </w:pPr>
            <w:r>
              <w:rPr>
                <w:rFonts w:ascii="Arial" w:cs="Arial" w:eastAsia="Arial" w:hAnsi="Arial"/>
                <w:sz w:val="14"/>
                <w:szCs w:val="14"/>
                <w:color w:val="auto"/>
              </w:rPr>
              <w:t>1.</w:t>
            </w:r>
          </w:p>
        </w:tc>
        <w:tc>
          <w:tcPr>
            <w:tcW w:w="7980" w:type="dxa"/>
            <w:vAlign w:val="bottom"/>
          </w:tcPr>
          <w:p>
            <w:pPr>
              <w:ind w:left="120"/>
              <w:spacing w:after="0"/>
              <w:rPr>
                <w:sz w:val="20"/>
                <w:szCs w:val="20"/>
                <w:color w:val="auto"/>
              </w:rPr>
            </w:pPr>
            <w:r>
              <w:rPr>
                <w:rFonts w:ascii="Arial" w:cs="Arial" w:eastAsia="Arial" w:hAnsi="Arial"/>
                <w:sz w:val="14"/>
                <w:szCs w:val="14"/>
                <w:color w:val="auto"/>
              </w:rPr>
              <w:t>Amounts may not add due to rounding</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-1819275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-1819275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-1819275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-1819275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-1819275</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-1819275</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-1819275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-1819275</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-1819275</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-1115695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-1115695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-1115695</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-1115695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-1115695</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-1115695</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-1115695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-1115695</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-1115695</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-429895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-429895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-429895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-429895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-429895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-429895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-429895</wp:posOffset>
            </wp:positionV>
            <wp:extent cx="54419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74"/>
        </w:trPr>
        <w:tc>
          <w:tcPr>
            <w:tcW w:w="93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ASSETS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Current Assets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165,817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Short-term investments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2,833,056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3,304,727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Receivables less allowance for doubtful accounts</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4,242,000</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(2006 – $114,654; 2005 – $102,879)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3,383,803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1,246,887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1,010,448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162,884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40" w:type="dxa"/>
            <w:vAlign w:val="bottom"/>
          </w:tcPr>
          <w:p>
            <w:pPr>
              <w:ind w:left="320"/>
              <w:spacing w:after="0"/>
              <w:rPr>
                <w:sz w:val="20"/>
                <w:szCs w:val="20"/>
                <w:color w:val="auto"/>
              </w:rPr>
            </w:pPr>
            <w:r>
              <w:rPr>
                <w:rFonts w:ascii="Arial" w:cs="Arial" w:eastAsia="Arial" w:hAnsi="Arial"/>
                <w:sz w:val="14"/>
                <w:szCs w:val="14"/>
                <w:color w:val="auto"/>
              </w:rPr>
              <w:t>Other current assets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535,018</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430,814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3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9,185,662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8,553,913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153,000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359,750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1,208,323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988,781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 less accumulated depreciation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5,576,041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4,200,638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226,681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4,988,558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2,922,465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907,874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319,929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412,802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331,037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Assets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173,197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22,832,138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18,077,492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LIABILITIES AND STOCKHOLDERS’ EQUITY</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3,848,017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3,564,854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Estimated liability for taxes on income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1,136,529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946,723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Dividend payable</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148,720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Long-term debt – current portion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602,919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269,158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Bank &amp; short-term loans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718,610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527,420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6,454,795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5,432,888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Convertible Debentures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1,424,990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1,424,993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Long-term Debt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3,238,952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2,166,345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1,036,169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707,040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Liabilities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257,349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249,459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12,412,255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9,980,725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Minority Interest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Stockholders’ Equity</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3,381,946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2,750,570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retained for use in the business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11,118,479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7,999,770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Treasury stock at cost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(2,911,793)</w:t>
            </w:r>
          </w:p>
        </w:tc>
        <w:tc>
          <w:tcPr>
            <w:tcW w:w="8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(2,113,276)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(1,168,749)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(1,045,479)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10,419,883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7,591,585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22,832,138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18,077,492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-3048000</wp:posOffset>
            </wp:positionV>
            <wp:extent cx="52705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-3048000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-3048000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-3048000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55308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3085"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CASH FLOWS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74"/>
        </w:trPr>
        <w:tc>
          <w:tcPr>
            <w:tcW w:w="83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8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3,709,851</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2,206,967</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1,223,870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Income from discontinued operations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209,818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10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1,561,410</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1,350,969</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1,307,931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00" w:type="dxa"/>
            <w:vAlign w:val="bottom"/>
          </w:tcPr>
          <w:p>
            <w:pPr>
              <w:ind w:left="440"/>
              <w:spacing w:after="0" w:line="176" w:lineRule="exact"/>
              <w:rPr>
                <w:sz w:val="20"/>
                <w:szCs w:val="20"/>
                <w:color w:val="auto"/>
              </w:rPr>
            </w:pPr>
            <w:r>
              <w:rPr>
                <w:rFonts w:ascii="Arial" w:cs="Arial" w:eastAsia="Arial" w:hAnsi="Arial"/>
                <w:sz w:val="13"/>
                <w:szCs w:val="13"/>
                <w:color w:val="auto"/>
              </w:rPr>
              <w:t xml:space="preserve">Charges and credits, net of tax &amp; minority interest </w:t>
            </w:r>
            <w:r>
              <w:rPr>
                <w:rFonts w:ascii="Arial" w:cs="Arial" w:eastAsia="Arial" w:hAnsi="Arial"/>
                <w:sz w:val="20"/>
                <w:szCs w:val="20"/>
                <w:color w:val="auto"/>
                <w:vertAlign w:val="superscript"/>
              </w:rPr>
              <w:t>2</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42,822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(173,010)</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198,801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Earnings of companies carried at equity, less dividends received</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(179,084)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(85,941)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4,598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30,482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41,872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113,843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40,204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Provision for losses on accounts receivable</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24,392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24,239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25,744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10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Change in operating assets and liabilities: </w:t>
            </w:r>
            <w:r>
              <w:rPr>
                <w:rFonts w:ascii="Arial" w:cs="Arial" w:eastAsia="Arial" w:hAnsi="Arial"/>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Increase in receivables</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(860,564)</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(716,218)</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(414,856)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in inventories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(222,142)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(180,099)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(166,698)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(Increase) decrease in other current assets</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(94,612)</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(126,306)</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7,856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(decrease) in accounts payable and accrued liabilities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408,216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(295,633)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Increase in estimated liability for taxes on income</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162,576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209,182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88,034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in postretirement benefits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5,827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36,097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00" w:type="dxa"/>
            <w:vAlign w:val="bottom"/>
          </w:tcPr>
          <w:p>
            <w:pPr>
              <w:ind w:left="440"/>
              <w:spacing w:after="0"/>
              <w:rPr>
                <w:sz w:val="20"/>
                <w:szCs w:val="20"/>
                <w:color w:val="auto"/>
              </w:rPr>
            </w:pPr>
            <w:r>
              <w:rPr>
                <w:rFonts w:ascii="Arial" w:cs="Arial" w:eastAsia="Arial" w:hAnsi="Arial"/>
                <w:sz w:val="14"/>
                <w:szCs w:val="14"/>
                <w:color w:val="auto"/>
              </w:rPr>
              <w:t>Other – net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104,276</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89,032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23,059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30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4,781,409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3,003,885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1,845,878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Purchases of fixed assets</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(2,457,093)</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6"/>
              </w:rPr>
              <w:t>(1,592,511)</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(1,215,847)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Multiclient seismic data capitalized</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(179,623)</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(59,868)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Capitalization of intangible assets</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(10,714)</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(33,403)</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the sale of the Montrouge facility</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229,801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Sale of investment in Hanover Compressor</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110,175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minority interest in WesternGeco</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(2,406,331)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Other business acquisitions, net of cash acquired</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(584,097)</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(108,782)</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business divestitures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1,664,310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the sale of Atos shares</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1,164,662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the sale of Axalto shares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Sale (purchase) of investments, net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700,986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(706,762)</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104,820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(159,859)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94,994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INVESTING ACTIVITIES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(5,096,731)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6"/>
              </w:rPr>
              <w:t>(2,044,485)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1,681,889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(567,673)</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(481,583)</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(441,219)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 to joint venture partner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(59,647)</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111,679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81,733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71,565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exercise of stock options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329,866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263,496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Stock options windfall tax benefit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27,883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repurchase program</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(1,067,842)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(611,641)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Debt extinguishment costs</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Settlement of US Interest Rate Swap</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issuance of long-term debt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1,413,874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83,042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Repayment of long-term debt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(91,811)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(253,708)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(2,989,916)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00" w:type="dxa"/>
            <w:vAlign w:val="bottom"/>
          </w:tcPr>
          <w:p>
            <w:pPr>
              <w:ind w:left="120"/>
              <w:spacing w:after="0"/>
              <w:rPr>
                <w:sz w:val="20"/>
                <w:szCs w:val="20"/>
                <w:color w:val="auto"/>
              </w:rPr>
            </w:pPr>
            <w:r>
              <w:rPr>
                <w:rFonts w:ascii="Arial" w:cs="Arial" w:eastAsia="Arial" w:hAnsi="Arial"/>
                <w:sz w:val="14"/>
                <w:szCs w:val="14"/>
                <w:color w:val="auto"/>
              </w:rPr>
              <w:t>Net increase (decrease) in short-term debt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194,177</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(45,031)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64,364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30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290,506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(993,692)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(3,590,416)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discontinued operations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Discontinued operations – Operating activities</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2,972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66,399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Discontinued operations – Investing activities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(15,612)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decrease in cash before translation effect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(24,816)</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(31,320)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Translation effect on cash</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(321)</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(1,229)</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beginning of year</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190,954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223,503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234,192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end of year</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165,817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190,954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8100" w:type="dxa"/>
            <w:vAlign w:val="bottom"/>
            <w:vMerge w:val="restart"/>
          </w:tcPr>
          <w:p>
            <w:pPr>
              <w:ind w:left="120"/>
              <w:spacing w:after="0"/>
              <w:rPr>
                <w:sz w:val="20"/>
                <w:szCs w:val="20"/>
                <w:color w:val="auto"/>
              </w:rPr>
            </w:pPr>
            <w:r>
              <w:rPr>
                <w:rFonts w:ascii="Arial" w:cs="Arial" w:eastAsia="Arial" w:hAnsi="Arial"/>
                <w:sz w:val="14"/>
                <w:szCs w:val="14"/>
                <w:color w:val="auto"/>
              </w:rPr>
              <w:t>Includes multiclient seismic data costs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20" w:type="dxa"/>
            <w:vAlign w:val="bottom"/>
            <w:gridSpan w:val="2"/>
            <w:vMerge w:val="continue"/>
          </w:tcPr>
          <w:p>
            <w:pPr>
              <w:spacing w:after="0"/>
              <w:rPr>
                <w:sz w:val="24"/>
                <w:szCs w:val="24"/>
                <w:color w:val="auto"/>
              </w:rPr>
            </w:pPr>
          </w:p>
        </w:tc>
        <w:tc>
          <w:tcPr>
            <w:tcW w:w="8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gridSpan w:val="2"/>
          </w:tcPr>
          <w:p>
            <w:pPr>
              <w:spacing w:after="0" w:line="149" w:lineRule="exact"/>
              <w:rPr>
                <w:sz w:val="20"/>
                <w:szCs w:val="20"/>
                <w:color w:val="auto"/>
              </w:rPr>
            </w:pPr>
            <w:r>
              <w:rPr>
                <w:rFonts w:ascii="Arial" w:cs="Arial" w:eastAsia="Arial" w:hAnsi="Arial"/>
                <w:sz w:val="14"/>
                <w:szCs w:val="14"/>
                <w:color w:val="auto"/>
              </w:rPr>
              <w:t>2.</w:t>
            </w: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 xml:space="preserve">See Note 3 </w:t>
            </w:r>
            <w:r>
              <w:rPr>
                <w:rFonts w:ascii="Arial" w:cs="Arial" w:eastAsia="Arial" w:hAnsi="Arial"/>
                <w:sz w:val="14"/>
                <w:szCs w:val="14"/>
                <w:i w:val="1"/>
                <w:iCs w:val="1"/>
                <w:color w:val="auto"/>
              </w:rPr>
              <w:t>Charges and Credits.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gridSpan w:val="2"/>
          </w:tcPr>
          <w:p>
            <w:pPr>
              <w:spacing w:after="0"/>
              <w:rPr>
                <w:sz w:val="20"/>
                <w:szCs w:val="20"/>
                <w:color w:val="auto"/>
              </w:rPr>
            </w:pPr>
            <w:r>
              <w:rPr>
                <w:rFonts w:ascii="Arial" w:cs="Arial" w:eastAsia="Arial" w:hAnsi="Arial"/>
                <w:sz w:val="14"/>
                <w:szCs w:val="14"/>
                <w:color w:val="auto"/>
              </w:rPr>
              <w:t>3.</w:t>
            </w:r>
          </w:p>
        </w:tc>
        <w:tc>
          <w:tcPr>
            <w:tcW w:w="8100" w:type="dxa"/>
            <w:vAlign w:val="bottom"/>
          </w:tcPr>
          <w:p>
            <w:pPr>
              <w:ind w:left="120"/>
              <w:spacing w:after="0"/>
              <w:rPr>
                <w:sz w:val="20"/>
                <w:szCs w:val="20"/>
                <w:color w:val="auto"/>
              </w:rPr>
            </w:pPr>
            <w:r>
              <w:rPr>
                <w:rFonts w:ascii="Arial" w:cs="Arial" w:eastAsia="Arial" w:hAnsi="Arial"/>
                <w:sz w:val="14"/>
                <w:szCs w:val="14"/>
                <w:color w:val="auto"/>
              </w:rPr>
              <w:t>Net of the effect of business acquisitions and divestitures.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-429895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-429895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-429895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-429895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-429895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-429895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-429895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-429895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-429895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ectPr>
          <w:pgSz w:w="11900" w:h="16838" w:orient="portrait"/>
          <w:cols w:equalWidth="0" w:num="1">
            <w:col w:w="11420"/>
          </w:cols>
          <w:pgMar w:left="240" w:top="459" w:right="23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ind w:right="3000"/>
        <w:spacing w:after="0" w:line="339" w:lineRule="auto"/>
        <w:rPr>
          <w:sz w:val="20"/>
          <w:szCs w:val="20"/>
          <w:color w:val="auto"/>
        </w:rPr>
      </w:pPr>
      <w:r>
        <w:rPr>
          <w:rFonts w:ascii="Arial" w:cs="Arial" w:eastAsia="Arial" w:hAnsi="Arial"/>
          <w:sz w:val="14"/>
          <w:szCs w:val="14"/>
          <w:color w:val="auto"/>
        </w:rPr>
        <w:t>SCHLUMBERGER LIMITED (SCHLUMBERGER N.V., INCORPORATED IN THE NETHERLANDS ANTILLES) AND SUBSIDIARY COMPANIES CONSOLIDATED STATEMENT OF STOCKHOLDERS’ EQUITY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8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20" w:type="dxa"/>
            <w:vAlign w:val="bottom"/>
            <w:tcBorders>
              <w:top w:val="single" w:sz="8" w:color="auto"/>
            </w:tcBorders>
            <w:gridSpan w:val="8"/>
          </w:tcPr>
          <w:p>
            <w:pPr>
              <w:jc w:val="right"/>
              <w:ind w:right="560"/>
              <w:spacing w:after="0" w:line="129" w:lineRule="exact"/>
              <w:rPr>
                <w:sz w:val="20"/>
                <w:szCs w:val="20"/>
                <w:color w:val="auto"/>
              </w:rPr>
            </w:pPr>
            <w:r>
              <w:rPr>
                <w:rFonts w:ascii="Arial" w:cs="Arial" w:eastAsia="Arial" w:hAnsi="Arial"/>
                <w:sz w:val="14"/>
                <w:szCs w:val="14"/>
                <w:b w:val="1"/>
                <w:bCs w:val="1"/>
                <w:color w:val="auto"/>
                <w:w w:val="94"/>
              </w:rPr>
              <w:t>Accumulated Other Comprehensive</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Retained</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Marked to</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Postretirement</w:t>
            </w: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7"/>
              </w:rPr>
              <w:t>Translation</w:t>
            </w: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Issued</w:t>
            </w: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Liability</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5"/>
                <w:szCs w:val="15"/>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$2,258,488</w:t>
            </w:r>
          </w:p>
        </w:tc>
        <w:tc>
          <w:tcPr>
            <w:tcW w:w="2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$(1,508,239)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5,505,744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(22,504)</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(283,075)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(69,125)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555,479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(27,370)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1,097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Hanover stock marked to market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31,618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31,618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Interest rate swap cancellation</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42,562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42,562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SchlumbergerSema</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75,346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(552,000)</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(476,654)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Sale of Axalto</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(110,000)</w:t>
            </w:r>
          </w:p>
        </w:tc>
        <w:tc>
          <w:tcPr>
            <w:tcW w:w="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(44,337)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16,795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101,329</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105,214</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560</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46,812</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30,747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Stock repurchase plan</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(320,224)</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PetroAlliance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16,430</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7,838</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Stock based compensation cost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26,466</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1,223,870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1,223,870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($0.375 per share)</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(441,709)</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600" w:type="dxa"/>
            <w:vAlign w:val="bottom"/>
          </w:tcPr>
          <w:p>
            <w:pPr>
              <w:jc w:val="right"/>
              <w:spacing w:after="0"/>
              <w:rPr>
                <w:sz w:val="20"/>
                <w:szCs w:val="20"/>
                <w:color w:val="auto"/>
              </w:rPr>
            </w:pPr>
            <w:r>
              <w:rPr>
                <w:rFonts w:ascii="Arial" w:cs="Arial" w:eastAsia="Arial" w:hAnsi="Arial"/>
                <w:sz w:val="14"/>
                <w:szCs w:val="14"/>
                <w:color w:val="auto"/>
              </w:rPr>
              <w:t>4,132</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8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2,454,219</w:t>
            </w:r>
          </w:p>
        </w:tc>
        <w:tc>
          <w:tcPr>
            <w:tcW w:w="2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(1,684,394)</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6,287,905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52,773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(235,271)</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(758,495)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657,581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28,587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(38,197)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Hanover Compressor stock</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(31,618)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Sale of Essentis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(7,043)</w:t>
            </w:r>
          </w:p>
        </w:tc>
        <w:tc>
          <w:tcPr>
            <w:tcW w:w="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(80,505)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24,290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135,257</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128,239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1,012</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49,499</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28,484</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Stock repurchase plan</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(611,641)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PetroAlliance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53,438</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Stock based compensation cost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40,204</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2,206,967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2,206,967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($0.42 per share)</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(495,102)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600" w:type="dxa"/>
            <w:vAlign w:val="bottom"/>
          </w:tcPr>
          <w:p>
            <w:pPr>
              <w:jc w:val="right"/>
              <w:spacing w:after="0"/>
              <w:rPr>
                <w:sz w:val="20"/>
                <w:szCs w:val="20"/>
                <w:color w:val="auto"/>
              </w:rPr>
            </w:pPr>
            <w:r>
              <w:rPr>
                <w:rFonts w:ascii="Arial" w:cs="Arial" w:eastAsia="Arial" w:hAnsi="Arial"/>
                <w:sz w:val="14"/>
                <w:szCs w:val="14"/>
                <w:color w:val="auto"/>
              </w:rPr>
              <w:t>16,934</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8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2,750,570</w:t>
            </w:r>
          </w:p>
        </w:tc>
        <w:tc>
          <w:tcPr>
            <w:tcW w:w="2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(2,113,276)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7,999,770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(17,042)</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(291,486)</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(736,951)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2,102,481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(50,862)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37,754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37,754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286,152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286,152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(105,860)</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initially apply FASB Statement No. 158</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(489,579)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Tax benefit on adjustment to initially apply FASB Statement No. 158</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199,125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165,286</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164,581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1,852</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61,912</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34,457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Stock repurchase plan</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7"/>
              </w:rPr>
              <w:t>(1,067,842)</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PetroAlliance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260,600</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69,782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Stock based compensation cost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113,843</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3,709,851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3,709,851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($0.50 per share)</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(591,142)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600" w:type="dxa"/>
            <w:vAlign w:val="bottom"/>
          </w:tcPr>
          <w:p>
            <w:pPr>
              <w:jc w:val="right"/>
              <w:spacing w:after="0"/>
              <w:rPr>
                <w:sz w:val="20"/>
                <w:szCs w:val="20"/>
                <w:color w:val="auto"/>
              </w:rPr>
            </w:pPr>
            <w:r>
              <w:rPr>
                <w:rFonts w:ascii="Arial" w:cs="Arial" w:eastAsia="Arial" w:hAnsi="Arial"/>
                <w:sz w:val="14"/>
                <w:szCs w:val="14"/>
                <w:color w:val="auto"/>
              </w:rPr>
              <w:t>27,883</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8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$3,381,946</w:t>
            </w:r>
          </w:p>
        </w:tc>
        <w:tc>
          <w:tcPr>
            <w:tcW w:w="2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4"/>
              </w:rPr>
              <w:t>$ (2,911,793)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11,118,479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20,712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(401,648)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(787,813)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3,877,035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-5955030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-5955030</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-5955030</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-3853815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-3853815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-3853815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-1941830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-1941830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-1941830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-29210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7759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5970"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OF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Issued</w:t>
            </w: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Treasury</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2004</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1,334,211,976</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(162,315,320)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1,171,896,656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11,220,518</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11,220,518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3,309,758</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3,309,758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(10,296,400)</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(10,296,400)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Purchase of PetroAlliance</w:t>
            </w: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843,740</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843,740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2004</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1,334,212,030</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(157,208,704)</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1,177,003,326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10,913,414</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10,913,414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2,617,498</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2,617,498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(15,274,800)</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(15,274,800)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Purchase of PetroAlliance</w:t>
            </w: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2,300,646</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2,300,646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(156,607,946)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1,177,604,218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11,169,313</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11,169,313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2,347,586</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2,347,586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(17,992,700)</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(17,992,700)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Purchase of PetroAlliance</w:t>
            </w: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4,730,960</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4,730,960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 of debentures</w:t>
            </w: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(156,318,705)</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1,177,893,459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Schlumberger Limited (Schlumberger) is the world’s leading oilfield services company, supplying technology, project management, and information solutions that optimize performance in the oil and gas industry. Schlumberger consists of two business segments: Oilfield Services and WesternGeco. Oilfield Services is the world’s premier oilfield service company supplying a wide range of technology services and solutions to the international petroleum industry. The Oilfield Services segment provides virtually all exploration and production services required during the life of an oil and gas reservoir. WesternGeco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w:t>
      </w:r>
    </w:p>
    <w:p>
      <w:pPr>
        <w:spacing w:after="0" w:line="12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Limited have been prepared in accordance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Schlumberger, its wholly owned subsidiaries, and subsidiaries over which it exercises a controlling financial interest. All significant intercompany transactions and balances have been eliminated. Investments in entities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Investments in which Schlumberger does not have the ability to exercise significant influence are accounted for using the cost method. Both equity and cost method investments are classified in </w:t>
      </w:r>
      <w:r>
        <w:rPr>
          <w:rFonts w:ascii="Arial" w:cs="Arial" w:eastAsia="Arial" w:hAnsi="Arial"/>
          <w:sz w:val="18"/>
          <w:szCs w:val="18"/>
          <w:i w:val="1"/>
          <w:iCs w:val="1"/>
          <w:color w:val="auto"/>
        </w:rPr>
        <w:t>Investments in Affiliated</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On January 19, 2006, the Board of Directors of Schlumberger approved a two-for-one split of Schlumberger’s common stock. Stockholders of record as of March 1, 2006 were entitled to one additional share for every share outstanding, which was distributed on April 7, 2006. The total number of authorized common stock shares and associated par value were unchanged by this action. However, as a consequence of the two-for-one stock split, Schlumberger requested, and its stockholders approved, an increase in the authorized common share capital of Schlumberger from 1,500,000,000 shares to 3,000,000,000 shares on April 12, 2006 (see Note 13 </w:t>
      </w:r>
      <w:r>
        <w:rPr>
          <w:rFonts w:ascii="Arial" w:cs="Arial" w:eastAsia="Arial" w:hAnsi="Arial"/>
          <w:sz w:val="18"/>
          <w:szCs w:val="18"/>
          <w:i w:val="1"/>
          <w:iCs w:val="1"/>
          <w:color w:val="auto"/>
        </w:rPr>
        <w:t>Capital Stock</w:t>
      </w:r>
      <w:r>
        <w:rPr>
          <w:rFonts w:ascii="Arial" w:cs="Arial" w:eastAsia="Arial" w:hAnsi="Arial"/>
          <w:sz w:val="18"/>
          <w:szCs w:val="18"/>
          <w:color w:val="auto"/>
        </w:rPr>
        <w:t>).</w:t>
      </w:r>
    </w:p>
    <w:p>
      <w:pPr>
        <w:ind w:right="60" w:firstLine="228"/>
        <w:spacing w:after="0" w:line="261" w:lineRule="auto"/>
        <w:rPr>
          <w:sz w:val="20"/>
          <w:szCs w:val="20"/>
          <w:color w:val="auto"/>
        </w:rPr>
      </w:pPr>
      <w:r>
        <w:rPr>
          <w:rFonts w:ascii="Arial" w:cs="Arial" w:eastAsia="Arial" w:hAnsi="Arial"/>
          <w:sz w:val="18"/>
          <w:szCs w:val="18"/>
          <w:color w:val="auto"/>
        </w:rPr>
        <w:t xml:space="preserve">All share, per share and stock option amounts included in the accompanying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related notes have been restated to reflect the effect of the stock split.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collectibility of accounts receivable, valuation of inventories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investments, recoverability of goodwill and intangible assets, income taxes, multiclient seismic data, contingencies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Oilfield Services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 Revenue</w:t>
      </w:r>
    </w:p>
    <w:p>
      <w:pPr>
        <w:spacing w:after="0" w:line="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Schlumberger recognizes revenue for products and services based upon purchase orders, contracts or other persuasive evidence of an arrangement with the customer that include fixed or determinable prices and that do not include right of return or other similar provisions or other post delivery obligations. Revenue is recognized for products upon delivery, customer acceptance and when collectibility is reasonably assured. Revenue is recognized for services when they are rendered and collectibility is reasonably assured.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Revenue derived from the sale of licenses of Schlumberger software includes installation, maintenance, consulting and training services.</w:t>
      </w:r>
    </w:p>
    <w:p>
      <w:pPr>
        <w:spacing w:after="0" w:line="15"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2" w:lineRule="exact"/>
        <w:rPr>
          <w:sz w:val="20"/>
          <w:szCs w:val="20"/>
          <w:color w:val="auto"/>
        </w:rPr>
      </w:pPr>
    </w:p>
    <w:p>
      <w:pPr>
        <w:ind w:right="1020" w:firstLine="228"/>
        <w:spacing w:after="0" w:line="372" w:lineRule="auto"/>
        <w:rPr>
          <w:sz w:val="20"/>
          <w:szCs w:val="20"/>
          <w:color w:val="auto"/>
        </w:rPr>
      </w:pPr>
      <w:r>
        <w:rPr>
          <w:rFonts w:ascii="Arial" w:cs="Arial" w:eastAsia="Arial" w:hAnsi="Arial"/>
          <w:sz w:val="18"/>
          <w:szCs w:val="18"/>
          <w:color w:val="auto"/>
        </w:rPr>
        <w:t xml:space="preserve">The percentage of completion method of accounting is applied to contracts whereby software is being customized to a customer’s specifications. </w:t>
      </w:r>
      <w:r>
        <w:rPr>
          <w:rFonts w:ascii="Arial" w:cs="Arial" w:eastAsia="Arial" w:hAnsi="Arial"/>
          <w:sz w:val="18"/>
          <w:szCs w:val="18"/>
          <w:i w:val="1"/>
          <w:iCs w:val="1"/>
          <w:color w:val="auto"/>
        </w:rPr>
        <w:t>WesternGeco</w:t>
      </w:r>
    </w:p>
    <w:p>
      <w:pPr>
        <w:ind w:right="20"/>
        <w:spacing w:after="0" w:line="291" w:lineRule="auto"/>
        <w:rPr>
          <w:sz w:val="20"/>
          <w:szCs w:val="20"/>
          <w:color w:val="auto"/>
        </w:rPr>
      </w:pPr>
      <w:r>
        <w:rPr>
          <w:rFonts w:ascii="Arial" w:cs="Arial" w:eastAsia="Arial" w:hAnsi="Arial"/>
          <w:sz w:val="16"/>
          <w:szCs w:val="16"/>
          <w:color w:val="auto"/>
        </w:rPr>
        <w:t>Revenues from all services are recognized when persuasive evidence of an arrangement exists, the price is fixed or determinable and collectibility is reasonably assured. Revenues from contract services performed on a dayrate basis are recognized as the service is performed. Revenues from other contract services, including pre-funded multiclient surveys, are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Revenues on completed multiclient data surveys are recognized upon obtaining a signed licensing agreement and providing customers access to such data.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Deliverable Arrangements</w:t>
      </w:r>
    </w:p>
    <w:p>
      <w:pPr>
        <w:spacing w:after="0" w:line="7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Sales in both segments may be generated from contractual arrangements that include multiple deliverables. Revenues from these arrangements are recognized as each item is delivered based on their relative fair value and when the delivered items have stand-alone value to the customer.</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Taxes assessed by governmental authorities that are imposed concurrently on specific revenue-producing transaction, such as sales and value added taxes, are excluded from revenues in the </w:t>
      </w:r>
      <w:r>
        <w:rPr>
          <w:rFonts w:ascii="Arial" w:cs="Arial" w:eastAsia="Arial" w:hAnsi="Arial"/>
          <w:sz w:val="18"/>
          <w:szCs w:val="18"/>
          <w:i w:val="1"/>
          <w:iCs w:val="1"/>
          <w:color w:val="auto"/>
        </w:rPr>
        <w:t>Consolidated Statement of Income.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Non-United States Currencies</w:t>
      </w:r>
    </w:p>
    <w:p>
      <w:pPr>
        <w:spacing w:after="0" w:line="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Schlumberger’s functional currency is primarily the US dollar. All assets and liabilities recorded in functional currencies other than US dollars are translated at current exchange rates. The resulting adjustments are charged or credited directly to the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Revenue and expenses are translated at the weighted-average exchange rates for the period. All realized and unrealized transaction gains and losses are included in income in the period in which they occur. Schlumberger’s policy is to hedge against unrealized gains and losses on a monthly basis. Transaction losses of $20 million, $13 million and $9 million were recognized in 2006, 2005 and 2004,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reflects the Schlumberger investment portfolio separated between current and long term, based on maturity. Under normal circumstances it is the intent of Schlumberger to hold the investments until maturity, with the exception of investments that are considered trading (December 31, 2006 – $164 million; December 31, 2005 – $157 million). Both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 Income Investments, held to maturity</w:t>
      </w:r>
      <w:r>
        <w:rPr>
          <w:rFonts w:ascii="Arial" w:cs="Arial" w:eastAsia="Arial" w:hAnsi="Arial"/>
          <w:sz w:val="16"/>
          <w:szCs w:val="16"/>
          <w:color w:val="auto"/>
        </w:rPr>
        <w:t xml:space="preserve"> are comprised primarily of money market funds, eurodollar time deposits, certificates of deposit and commercial paper, euronotes and eurobonds, and are substantially denominated in US dollars. They are stated at cost plus accrued interest, which approximates market. Short-term investments that are designated as trading are stated at market. The unrealized gains/losses on investments designated as trading were not significant at both December 31, 2006 and 2005.</w:t>
      </w:r>
    </w:p>
    <w:p>
      <w:pPr>
        <w:spacing w:after="0" w:line="1"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a significant portion of them have original maturities in excess of three months.</w:t>
      </w:r>
    </w:p>
    <w:p>
      <w:pPr>
        <w:spacing w:after="0" w:line="1" w:lineRule="exact"/>
        <w:rPr>
          <w:sz w:val="20"/>
          <w:szCs w:val="20"/>
          <w:color w:val="auto"/>
        </w:rPr>
      </w:pPr>
    </w:p>
    <w:p>
      <w:pPr>
        <w:ind w:right="20" w:firstLine="228"/>
        <w:spacing w:after="0" w:line="364" w:lineRule="auto"/>
        <w:rPr>
          <w:sz w:val="20"/>
          <w:szCs w:val="20"/>
          <w:color w:val="auto"/>
        </w:rPr>
      </w:pPr>
      <w:r>
        <w:rPr>
          <w:rFonts w:ascii="Arial" w:cs="Arial" w:eastAsia="Arial" w:hAnsi="Arial"/>
          <w:sz w:val="18"/>
          <w:szCs w:val="18"/>
          <w:color w:val="auto"/>
        </w:rPr>
        <w:t xml:space="preserve">Long-term fixed income investments of $153 million mature as follows: $69 million in 2008, $55 million in 2009, $4 million in 2010 and $25 million in 2011. </w:t>
      </w:r>
      <w:r>
        <w:rPr>
          <w:rFonts w:ascii="Arial" w:cs="Arial" w:eastAsia="Arial" w:hAnsi="Arial"/>
          <w:sz w:val="18"/>
          <w:szCs w:val="18"/>
          <w:b w:val="1"/>
          <w:bCs w:val="1"/>
          <w:i w:val="1"/>
          <w:iCs w:val="1"/>
          <w:color w:val="auto"/>
        </w:rPr>
        <w:t>Inventories</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 Costs included in inventories consist of materials, direct labor and manufacturing overhead.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and Depreciation</w:t>
      </w:r>
    </w:p>
    <w:p>
      <w:pPr>
        <w:spacing w:after="0" w:line="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72"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The multiclient library consists of completed and in-process seismic surveys that are licensed on a nonexclusive basis. This data may be acquired and/or processed by Schlumberger or subcontractors. Multiclient surveys are primarily generated utilizing Schlumberger resources. Schlumberger capitalizes costs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directly incurred in acquiring and processing the multiclient seismic data. Such costs are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to the estimated total revenue that Schlumberger expects to receive from the sales of such data. However, except as described in Note 4 </w:t>
      </w: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regarding the accounting for multiclient seismic data at the time of the purchase of the WesternGeco minority interest, under no circumstance will an</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survey carry a net book value greater than a 4- year straight-lined amortized value.</w:t>
      </w:r>
    </w:p>
    <w:p>
      <w:pPr>
        <w:spacing w:after="0" w:line="3"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involves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Other Intangibles and Long-lived Assets</w:t>
      </w:r>
    </w:p>
    <w:p>
      <w:pPr>
        <w:spacing w:after="0" w:line="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Schlumberger records as goodwill the excess of purchase price over the fair value of the tangible and identifiable intangible assets acquired. Statement of Financial Accounting Standards 142, “Goodwill and Other Intangible Assets” (SFAS 142), requires goodwill to be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2" w:lineRule="exact"/>
        <w:rPr>
          <w:sz w:val="20"/>
          <w:szCs w:val="20"/>
          <w:color w:val="auto"/>
        </w:rPr>
      </w:pPr>
    </w:p>
    <w:p>
      <w:pPr>
        <w:ind w:right="340" w:firstLine="228"/>
        <w:spacing w:after="0" w:line="269" w:lineRule="auto"/>
        <w:rPr>
          <w:sz w:val="20"/>
          <w:szCs w:val="20"/>
          <w:color w:val="auto"/>
        </w:rPr>
      </w:pPr>
      <w:r>
        <w:rPr>
          <w:rFonts w:ascii="Arial" w:cs="Arial" w:eastAsia="Arial" w:hAnsi="Arial"/>
          <w:sz w:val="16"/>
          <w:szCs w:val="16"/>
          <w:color w:val="auto"/>
        </w:rPr>
        <w:t>For purposes of performing the impairment test for goodwill as required by SFAS 142, Schlumberger’s reporting units are primarily the geographic areas comprising the Oilfield Services segment in addition to the WesternGeco segment. Schlumberger estimates the fair value of these reporting units using a discounted cash flow analysis and/or applying various market multiples. From time to time a third-party valuation expert may be utilized to assist in the determination of fair value. Determining the fair value of a reporting unit is a matter of judgment and often involves the use of significant estimates and assumptions. Schlumberger’s estimates of the fair value of each of its reporting units were significantly in excess of their respective carrying values for 2006,</w:t>
      </w:r>
    </w:p>
    <w:p>
      <w:pPr>
        <w:spacing w:after="0" w:line="2"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color w:val="auto"/>
        </w:rPr>
        <w:t>2005 and 2004. Schlumberger performs the annual goodwill impairment test of its WesternGeco reporting unit on October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every year while the reporting units comprising the Oilfield Services segment are tested as of December 31</w:t>
      </w:r>
      <w:r>
        <w:rPr>
          <w:rFonts w:ascii="Arial" w:cs="Arial" w:eastAsia="Arial" w:hAnsi="Arial"/>
          <w:sz w:val="22"/>
          <w:szCs w:val="22"/>
          <w:color w:val="auto"/>
          <w:vertAlign w:val="superscript"/>
        </w:rPr>
        <w:t>st</w:t>
      </w:r>
      <w:r>
        <w:rPr>
          <w:rFonts w:ascii="Arial" w:cs="Arial" w:eastAsia="Arial" w:hAnsi="Arial"/>
          <w:sz w:val="18"/>
          <w:szCs w:val="18"/>
          <w:color w:val="auto"/>
        </w:rPr>
        <w:t>.</w:t>
      </w:r>
    </w:p>
    <w:p>
      <w:pPr>
        <w:spacing w:after="0" w:line="2" w:lineRule="exact"/>
        <w:rPr>
          <w:sz w:val="20"/>
          <w:szCs w:val="20"/>
          <w:color w:val="auto"/>
        </w:rPr>
      </w:pPr>
    </w:p>
    <w:p>
      <w:pPr>
        <w:ind w:firstLine="228"/>
        <w:spacing w:after="0" w:line="280"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 significant estimates on the part of management. In order to estimate the fair value of a long-lived asset, Schlumberger may engage a third-party to assist with the valuation. If there is a material change in economic conditions or other circumstances influencing the estimate of future cash flows or fair value, Schlumberger could be required to recognize impairment charges in the future.</w:t>
      </w:r>
    </w:p>
    <w:p>
      <w:pPr>
        <w:spacing w:after="0" w:line="2" w:lineRule="exact"/>
        <w:rPr>
          <w:sz w:val="20"/>
          <w:szCs w:val="20"/>
          <w:color w:val="auto"/>
        </w:rPr>
      </w:pPr>
    </w:p>
    <w:p>
      <w:pPr>
        <w:ind w:right="20" w:firstLine="228"/>
        <w:spacing w:after="0" w:line="295" w:lineRule="auto"/>
        <w:rPr>
          <w:sz w:val="20"/>
          <w:szCs w:val="20"/>
          <w:color w:val="auto"/>
        </w:rPr>
      </w:pPr>
      <w:r>
        <w:rPr>
          <w:rFonts w:ascii="Arial" w:cs="Arial" w:eastAsia="Arial" w:hAnsi="Arial"/>
          <w:sz w:val="16"/>
          <w:szCs w:val="16"/>
          <w:color w:val="auto"/>
        </w:rPr>
        <w:t>Schlumberger capitalizes certain costs of internally developed software. Capitalized costs include purchased materials and services, payroll and payroll related costs. The costs of internally developed software are amortized on a straight-line basis over the estimated useful life, which is principally 5 to 7 years. Other intangible assets consist primarily of technology and customer relationships acquired in business combinations. Acquired technology is generally amortized over periods ranging from 5 to 15 years and acquired customer relationships are generally amortized over periods ranging from 7 years to 20 years.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4"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Approximately $7.8 billion of consolidated income retained for use in the business on December 31, 2006 represented undistributed earnings of consolidated subsidiaries and Schlumberger’s share of equity method investees. No provision is made for deferred income taxes on those earnings considered to be indefinitely reinvested or earnings that would not be taxed when remitted.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7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Schlumberger’s assets that are exposed to concentrations of credit risk consist primarily of cash, short-term investments, fixed income investments held to maturity, and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The receivables from clients are spread over many countries and customers. Schlumberger maintains an allowance for uncollectible accounts receivable based on expected collectibility and performs ongoing credit evaluations of its customers’ financial condition. By using derivative financial instruments to hedge exposure to changes in exchange rates and interest rates, Schlumberger exposes itself to credit risk. Schlumberger minimizes the credit risk by entering into transactions with high-quality counterparties, limiting the exposure to each counterparty and monitoring the financial condition of its counterparties.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Engineering</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All research and engineering expenditures are expensed as incurred, including costs relating to patents or rights that may result from such expenditures.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Basic earnings per share is calculated by dividing net income by the weighted average number of common shares outstanding during the year. Diluted earnings per share is calculated by first adding back to net income the interest expense on the convertible debentures and then dividing this adjusted net income by the sum of (i) unvested restricted stock units; and (ii) the weighted average number of common shares outstanding assuming dilution. The weighted average number of common shares outstanding assuming dilution assumes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40" w:firstLine="8"/>
        <w:spacing w:after="0" w:line="254"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all stock options which are in the money are exercised at the beginning of the period and that the proceeds are used by Schlumberger to purchase shares at the average market price for the period, and (b) the conversion of the convertible debentures.</w:t>
      </w:r>
    </w:p>
    <w:p>
      <w:pPr>
        <w:jc w:val="both"/>
        <w:ind w:right="100" w:firstLine="228"/>
        <w:spacing w:after="0" w:line="300" w:lineRule="auto"/>
        <w:rPr>
          <w:rFonts w:ascii="Arial" w:cs="Arial" w:eastAsia="Arial" w:hAnsi="Arial"/>
          <w:sz w:val="18"/>
          <w:szCs w:val="18"/>
          <w:color w:val="auto"/>
        </w:rPr>
      </w:pPr>
      <w:r>
        <w:rPr>
          <w:rFonts w:ascii="Arial" w:cs="Arial" w:eastAsia="Arial" w:hAnsi="Arial"/>
          <w:sz w:val="15"/>
          <w:szCs w:val="15"/>
          <w:color w:val="auto"/>
        </w:rPr>
        <w:t>If the impact of the adding the interest expense on the convertible debentures back to net income and including the shares from the assumed conversion of the convertible debentures has an anti-dilutive effect on the diluted EPS calculation, then the effects of the convertible debentures are excluded from the calculation.</w:t>
      </w:r>
    </w:p>
    <w:p>
      <w:pPr>
        <w:ind w:left="240"/>
        <w:spacing w:after="0"/>
        <w:rPr>
          <w:rFonts w:ascii="Arial" w:cs="Arial" w:eastAsia="Arial" w:hAnsi="Arial"/>
          <w:sz w:val="18"/>
          <w:szCs w:val="18"/>
          <w:color w:val="auto"/>
        </w:rPr>
      </w:pPr>
      <w:r>
        <w:rPr>
          <w:rFonts w:ascii="Arial" w:cs="Arial" w:eastAsia="Arial" w:hAnsi="Arial"/>
          <w:sz w:val="16"/>
          <w:szCs w:val="16"/>
          <w:color w:val="auto"/>
        </w:rPr>
        <w:t>The following is a reconciliation from basic earnings per share to diluted earnings per share from continuing operations for each of the last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79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rPr>
              <w:t>Income</w:t>
            </w:r>
          </w:p>
        </w:tc>
        <w:tc>
          <w:tcPr>
            <w:tcW w:w="1380" w:type="dxa"/>
            <w:vAlign w:val="bottom"/>
            <w:tcBorders>
              <w:top w:val="single" w:sz="8" w:color="auto"/>
            </w:tcBorders>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rPr>
              <w:t>Weighted</w:t>
            </w:r>
          </w:p>
        </w:tc>
        <w:tc>
          <w:tcPr>
            <w:tcW w:w="8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7"/>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from</w:t>
            </w:r>
          </w:p>
        </w:tc>
        <w:tc>
          <w:tcPr>
            <w:tcW w:w="138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86"/>
              </w:rPr>
              <w:t>Continuing</w:t>
            </w:r>
          </w:p>
        </w:tc>
        <w:tc>
          <w:tcPr>
            <w:tcW w:w="138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6"/>
              </w:rPr>
              <w:t>Operations</w:t>
            </w:r>
          </w:p>
        </w:tc>
        <w:tc>
          <w:tcPr>
            <w:tcW w:w="13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Arial" w:cs="Arial" w:eastAsia="Arial" w:hAnsi="Arial"/>
                <w:sz w:val="14"/>
                <w:szCs w:val="14"/>
                <w:b w:val="1"/>
                <w:bCs w:val="1"/>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$ 3,709,851</w:t>
            </w:r>
          </w:p>
        </w:tc>
        <w:tc>
          <w:tcPr>
            <w:tcW w:w="6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1,181,683</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Assumed conversion of debentures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28,788</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38,210</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Arial" w:cs="Arial" w:eastAsia="Arial" w:hAnsi="Arial"/>
                <w:sz w:val="14"/>
                <w:szCs w:val="14"/>
                <w:b w:val="1"/>
                <w:bCs w:val="1"/>
                <w:color w:val="auto"/>
              </w:rPr>
              <w:t>Assumed exercise of stock options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21,874</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Unvested restricted stock</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429</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$ 3,738,639</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1,242,196</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Arial" w:cs="Arial" w:eastAsia="Arial" w:hAnsi="Arial"/>
                <w:sz w:val="14"/>
                <w:szCs w:val="14"/>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w w:val="86"/>
              </w:rPr>
              <w:t>$ 2,198,995</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1,178,576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28,788</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Arial" w:cs="Arial" w:eastAsia="Arial" w:hAnsi="Arial"/>
                <w:sz w:val="14"/>
                <w:szCs w:val="14"/>
                <w:color w:val="auto"/>
              </w:rPr>
              <w:t>Assumed exercise of stock options</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12,930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$ 2,227,783</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1,229,716</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2004:</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Arial" w:cs="Arial" w:eastAsia="Arial" w:hAnsi="Arial"/>
                <w:sz w:val="14"/>
                <w:szCs w:val="14"/>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w w:val="86"/>
              </w:rPr>
              <w:t>$ 1,014,052</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1,178,178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28,788</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Arial" w:cs="Arial" w:eastAsia="Arial" w:hAnsi="Arial"/>
                <w:sz w:val="14"/>
                <w:szCs w:val="14"/>
                <w:color w:val="auto"/>
              </w:rPr>
              <w:t>Assumed exercise of stock options</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9,357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$ 1,042,840</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1,225,745</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6760845</wp:posOffset>
            </wp:positionH>
            <wp:positionV relativeFrom="paragraph">
              <wp:posOffset>-2602230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-2602230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-2602230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-1915795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-1915795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-1915795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-1915795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-1915795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-1915795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-1915795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-1915795</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-1564005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-1564005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-1564005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-972820</wp:posOffset>
            </wp:positionV>
            <wp:extent cx="42418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-972820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-972820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-972820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-972820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-972820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-621030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-621030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-621030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Employee stock options to purchase approximately 628,000 and 17.4 million shares of common stock at December 31, 2006 and 2004, respectively, were outstanding but not included in the computation of diluted earnings per share because the option exercise price was greater than the average market price of the common stock, and therefore, the effect on diluted earnings per share would have been anti-dilutive. At December 31, 2005 the average market price was greater than the exercise price of all outstanding stock options, therefore there were no options excluded from the computation of diluted earnings per share.</w:t>
      </w:r>
    </w:p>
    <w:p>
      <w:pPr>
        <w:spacing w:after="0" w:line="8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Charges and Credits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Schlumberger recorded the following charges and credits in continuing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2006:</w:t>
      </w:r>
    </w:p>
    <w:p>
      <w:pPr>
        <w:spacing w:after="0" w:line="77" w:lineRule="exact"/>
        <w:rPr>
          <w:sz w:val="20"/>
          <w:szCs w:val="20"/>
          <w:color w:val="auto"/>
        </w:rPr>
      </w:pPr>
    </w:p>
    <w:p>
      <w:pPr>
        <w:ind w:left="780" w:right="40" w:hanging="326"/>
        <w:spacing w:after="0" w:line="25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 discussed in further detail in Note 4 </w:t>
      </w:r>
      <w:r>
        <w:rPr>
          <w:rFonts w:ascii="Arial" w:cs="Arial" w:eastAsia="Arial" w:hAnsi="Arial"/>
          <w:sz w:val="18"/>
          <w:szCs w:val="18"/>
          <w:i w:val="1"/>
          <w:iCs w:val="1"/>
          <w:color w:val="auto"/>
        </w:rPr>
        <w:t>Acquisitions</w:t>
      </w:r>
      <w:r>
        <w:rPr>
          <w:rFonts w:ascii="Arial" w:cs="Arial" w:eastAsia="Arial" w:hAnsi="Arial"/>
          <w:sz w:val="18"/>
          <w:szCs w:val="18"/>
          <w:color w:val="auto"/>
        </w:rPr>
        <w:t>, Schlumberger acquired the 30% minority interest in WesternGeco held by Baker Hughes Incorporated for $2.4 billion in cash during the second quarter of 2006. In connection with this transaction, a pretax and after-tax charge of $21 million was recorded, representing the portion of the purchase price that was allocated to in-process research and development. Schlumberger recorded an additional $6 million of in-process research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800" w:right="300"/>
        <w:spacing w:after="0" w:line="259" w:lineRule="auto"/>
        <w:rPr>
          <w:sz w:val="20"/>
          <w:szCs w:val="20"/>
          <w:color w:val="auto"/>
        </w:rPr>
      </w:pPr>
      <w:r>
        <w:rPr>
          <w:rFonts w:ascii="Arial" w:cs="Arial" w:eastAsia="Arial" w:hAnsi="Arial"/>
          <w:sz w:val="18"/>
          <w:szCs w:val="18"/>
          <w:color w:val="auto"/>
        </w:rPr>
        <w:t xml:space="preserve">development charges, primarily related to a small acquisition which was also completed in the second quarter of 2006. These amounts were determined by identifying research and development projects that had not yet reached technological feasibility at the time of the acquisition. These charges are classified in </w:t>
      </w:r>
      <w:r>
        <w:rPr>
          <w:rFonts w:ascii="Arial" w:cs="Arial" w:eastAsia="Arial" w:hAnsi="Arial"/>
          <w:sz w:val="18"/>
          <w:szCs w:val="18"/>
          <w:i w:val="1"/>
          <w:iCs w:val="1"/>
          <w:color w:val="auto"/>
        </w:rPr>
        <w:t>Research &amp; engineering</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59" w:lineRule="exact"/>
        <w:rPr>
          <w:sz w:val="20"/>
          <w:szCs w:val="20"/>
          <w:color w:val="auto"/>
        </w:rPr>
      </w:pPr>
    </w:p>
    <w:p>
      <w:pPr>
        <w:ind w:left="780" w:right="120" w:hanging="326"/>
        <w:spacing w:after="0" w:line="325"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Schlumberger recorded a pretax and after-tax loss of $9 million relating to the liquidation of certain investments in connection with the funding of the previously mentioned WesternGeco transaction. These losses are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 w:lineRule="exact"/>
        <w:rPr>
          <w:rFonts w:ascii="Arial" w:cs="Arial" w:eastAsia="Arial" w:hAnsi="Arial"/>
          <w:sz w:val="16"/>
          <w:szCs w:val="16"/>
          <w:color w:val="auto"/>
        </w:rPr>
      </w:pPr>
    </w:p>
    <w:p>
      <w:pPr>
        <w:jc w:val="both"/>
        <w:ind w:left="780" w:right="2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connection with the settlement of the WesternGeco visa matter described in Note 18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 pretax charge of $10 million ($7 million after-tax and minority interest) was recorded in the second quarter of 2006 and is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Income</w:t>
      </w:r>
      <w:r>
        <w:rPr>
          <w:rFonts w:ascii="Arial" w:cs="Arial" w:eastAsia="Arial" w:hAnsi="Arial"/>
          <w:sz w:val="18"/>
          <w:szCs w:val="18"/>
          <w:color w:val="auto"/>
        </w:rPr>
        <w: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2006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Minority</w:t>
            </w:r>
          </w:p>
        </w:tc>
        <w:tc>
          <w:tcPr>
            <w:tcW w:w="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Pretax</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Tax</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Interest</w:t>
            </w:r>
          </w:p>
        </w:tc>
        <w:tc>
          <w:tcPr>
            <w:tcW w:w="340" w:type="dxa"/>
            <w:vAlign w:val="bottom"/>
            <w:gridSpan w:val="2"/>
          </w:tcPr>
          <w:p>
            <w:pPr>
              <w:ind w:left="1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gridSpan w:val="2"/>
          </w:tcPr>
          <w:p>
            <w:pPr>
              <w:spacing w:after="0" w:line="149" w:lineRule="exact"/>
              <w:rPr>
                <w:sz w:val="20"/>
                <w:szCs w:val="20"/>
                <w:color w:val="auto"/>
              </w:rPr>
            </w:pPr>
            <w:r>
              <w:rPr>
                <w:rFonts w:ascii="Arial" w:cs="Arial" w:eastAsia="Arial" w:hAnsi="Arial"/>
                <w:sz w:val="14"/>
                <w:szCs w:val="14"/>
                <w:color w:val="auto"/>
              </w:rPr>
              <w:t>– WesternGeco in-process R&amp;D charge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3"/>
          </w:tcPr>
          <w:p>
            <w:pPr>
              <w:ind w:left="4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Loss on liquidation of investments to fund WesternGeco transaction</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gridSpan w:val="2"/>
          </w:tcPr>
          <w:p>
            <w:pPr>
              <w:spacing w:after="0" w:line="149" w:lineRule="exact"/>
              <w:rPr>
                <w:sz w:val="20"/>
                <w:szCs w:val="20"/>
                <w:color w:val="auto"/>
              </w:rPr>
            </w:pPr>
            <w:r>
              <w:rPr>
                <w:rFonts w:ascii="Arial" w:cs="Arial" w:eastAsia="Arial" w:hAnsi="Arial"/>
                <w:sz w:val="14"/>
                <w:szCs w:val="14"/>
                <w:color w:val="auto"/>
              </w:rPr>
              <w:t>– WesternGeco visa settlement</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81"/>
              </w:rPr>
              <w:t>0.3</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Other in-process R&amp;D charges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0.3</w:t>
            </w:r>
          </w:p>
        </w:tc>
        <w:tc>
          <w:tcPr>
            <w:tcW w:w="500" w:type="dxa"/>
            <w:vAlign w:val="bottom"/>
            <w:gridSpan w:val="3"/>
            <w:shd w:val="clear" w:color="auto" w:fill="CCEEFF"/>
          </w:tcPr>
          <w:p>
            <w:pPr>
              <w:ind w:left="44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2005:</w:t>
      </w:r>
    </w:p>
    <w:p>
      <w:pPr>
        <w:spacing w:after="0" w:line="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Schlumberger sold its investment in Hanover Compressor Company common stock for net proceeds of $110 million resulting in a pretax and after-tax gain of $21 million. The pretax gain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of 2005:</w:t>
      </w:r>
    </w:p>
    <w:p>
      <w:pPr>
        <w:spacing w:after="0" w:line="7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 xml:space="preserve">Schlumberger recorded a pretax and after-tax gain of approximately $18 million relating to the resolution of a contingency associated with the March 2005 sale of its facility in Montrouge, France. This gain is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 quarter of 2005:</w:t>
      </w:r>
    </w:p>
    <w:p>
      <w:pPr>
        <w:spacing w:after="0" w:line="77"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 xml:space="preserve">In March 2005, Schlumberger sold its facility in Montrouge, France for $230 million, resulting in a pretax and after-tax gain of $146 million, which is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Schlumberger also recorded other real estate related pretax charges of $12 million ($11 million after-tax), which are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2005 Charges &amp; Credits: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20" w:type="dxa"/>
            <w:vAlign w:val="bottom"/>
            <w:tcBorders>
              <w:top w:val="single" w:sz="8" w:color="auto"/>
            </w:tcBorders>
          </w:tcPr>
          <w:p>
            <w:pPr>
              <w:spacing w:after="0"/>
              <w:rPr>
                <w:sz w:val="12"/>
                <w:szCs w:val="12"/>
                <w:color w:val="auto"/>
              </w:rPr>
            </w:pPr>
          </w:p>
        </w:tc>
        <w:tc>
          <w:tcPr>
            <w:tcW w:w="5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Pretax</w:t>
            </w:r>
          </w:p>
        </w:tc>
        <w:tc>
          <w:tcPr>
            <w:tcW w:w="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Tax</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5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 Gain on sale of Hanover Compressor stock</w:t>
            </w:r>
          </w:p>
        </w:tc>
        <w:tc>
          <w:tcPr>
            <w:tcW w:w="5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Gain on sale of Montrouge facility</w:t>
            </w:r>
          </w:p>
        </w:tc>
        <w:tc>
          <w:tcPr>
            <w:tcW w:w="5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(163.4)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(163.4)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 Other real estate related charges</w:t>
            </w: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1"/>
              </w:rPr>
              <w:t>0.8</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5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Credits</w:t>
            </w:r>
          </w:p>
        </w:tc>
        <w:tc>
          <w:tcPr>
            <w:tcW w:w="5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(172.2)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0.8</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5400" w:type="dxa"/>
            <w:vAlign w:val="bottom"/>
            <w:vMerge w:val="restart"/>
          </w:tcPr>
          <w:p>
            <w:pPr>
              <w:jc w:val="right"/>
              <w:ind w:right="3592"/>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-292735</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-292735</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-292735</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-292735</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-292735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-292735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-292735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-292735</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of 2004:</w:t>
      </w:r>
    </w:p>
    <w:p>
      <w:pPr>
        <w:spacing w:after="0" w:line="77" w:lineRule="exact"/>
        <w:rPr>
          <w:sz w:val="20"/>
          <w:szCs w:val="20"/>
          <w:color w:val="auto"/>
        </w:rPr>
      </w:pPr>
    </w:p>
    <w:p>
      <w:pPr>
        <w:ind w:left="780" w:right="2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$3 million related to employee severance. This charge is classified in </w:t>
      </w:r>
      <w:r>
        <w:rPr>
          <w:rFonts w:ascii="Arial" w:cs="Arial" w:eastAsia="Arial" w:hAnsi="Arial"/>
          <w:sz w:val="18"/>
          <w:szCs w:val="18"/>
          <w:i w:val="1"/>
          <w:iCs w:val="1"/>
          <w:color w:val="auto"/>
        </w:rPr>
        <w:t>Cost of goods sold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Schlumberger recorded a pretax charge of $11 million ($10 million after-tax) related to an Intellectual Property settlement which is classified in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goods sold and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Second quarter of 2004:</w:t>
      </w:r>
    </w:p>
    <w:p>
      <w:pPr>
        <w:spacing w:after="0" w:line="77" w:lineRule="exact"/>
        <w:rPr>
          <w:sz w:val="20"/>
          <w:szCs w:val="20"/>
          <w:color w:val="auto"/>
        </w:rPr>
      </w:pPr>
    </w:p>
    <w:p>
      <w:pPr>
        <w:ind w:left="780" w:right="48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bought back and retired $351 million of its outstanding $1 billion 6.5% Notes due 2012. As a result, Schlumberger recorded a pretax charge of $37 million ($23 million after-tax), which included market premium and transaction costs. The pretax charge is classified in </w:t>
      </w:r>
      <w:r>
        <w:rPr>
          <w:rFonts w:ascii="Arial" w:cs="Arial" w:eastAsia="Arial" w:hAnsi="Arial"/>
          <w:sz w:val="18"/>
          <w:szCs w:val="18"/>
          <w:i w:val="1"/>
          <w:iCs w:val="1"/>
          <w:color w:val="auto"/>
        </w:rPr>
        <w:t>Debt extinguishment costs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45" w:lineRule="exact"/>
        <w:rPr>
          <w:rFonts w:ascii="Arial" w:cs="Arial" w:eastAsia="Arial" w:hAnsi="Arial"/>
          <w:sz w:val="18"/>
          <w:szCs w:val="18"/>
          <w:color w:val="auto"/>
        </w:rPr>
      </w:pPr>
    </w:p>
    <w:p>
      <w:pPr>
        <w:ind w:left="780" w:right="200" w:hanging="326"/>
        <w:spacing w:after="0" w:line="25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Schlumberger sold 9.7 million ordinary shares of Atos Origin SA at a price of €48.50 per share. The net proceeds for the sale were $551 million and Schlumberger recorded a pretax and after-tax loss of $7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As a result of this transaction Schlumberger does not have any remaining ownership interest in Atos Origin SA.</w:t>
      </w:r>
    </w:p>
    <w:p>
      <w:pPr>
        <w:spacing w:after="0" w:line="48"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$4 million related to employee terminations. This charge is classified in </w:t>
      </w:r>
      <w:r>
        <w:rPr>
          <w:rFonts w:ascii="Arial" w:cs="Arial" w:eastAsia="Arial" w:hAnsi="Arial"/>
          <w:sz w:val="18"/>
          <w:szCs w:val="18"/>
          <w:i w:val="1"/>
          <w:iCs w:val="1"/>
          <w:color w:val="auto"/>
        </w:rPr>
        <w:t>Cost of goods sold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settled its United States Interest Rate Swaps resulting in a pretax gain of $10 million ($6 million after-tax) which is classified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expense in the </w:t>
      </w:r>
      <w:r>
        <w:rPr>
          <w:rFonts w:ascii="Arial" w:cs="Arial" w:eastAsia="Arial" w:hAnsi="Arial"/>
          <w:sz w:val="18"/>
          <w:szCs w:val="18"/>
          <w:i w:val="1"/>
          <w:iCs w:val="1"/>
          <w:color w:val="auto"/>
        </w:rPr>
        <w:t>Consolidated Statement of Income.</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charge of $11 million related to a vacated leased facility in the UK which is classified in </w:t>
      </w:r>
      <w:r>
        <w:rPr>
          <w:rFonts w:ascii="Arial" w:cs="Arial" w:eastAsia="Arial" w:hAnsi="Arial"/>
          <w:sz w:val="18"/>
          <w:szCs w:val="18"/>
          <w:i w:val="1"/>
          <w:iCs w:val="1"/>
          <w:color w:val="auto"/>
        </w:rPr>
        <w:t>Cost of goods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sold and services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Schlumberger recorded a pretax and after-tax credit of $5 million related to the release of a litigation reserve which was no longer required and is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 quarter of 2004:</w:t>
      </w:r>
    </w:p>
    <w:p>
      <w:pPr>
        <w:spacing w:after="0" w:line="77" w:lineRule="exact"/>
        <w:rPr>
          <w:sz w:val="20"/>
          <w:szCs w:val="20"/>
          <w:color w:val="auto"/>
        </w:rPr>
      </w:pPr>
    </w:p>
    <w:p>
      <w:pPr>
        <w:ind w:left="780" w:right="80" w:hanging="326"/>
        <w:spacing w:after="0" w:line="286"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Schlumberger plc (SPLC) accepted tenders for the outstanding £175 million SPLC 6.50% Guaranteed Bonds due 2032. In addition, Schlumberger SA (SSA) bought back €25 million of the outstanding €274 million SSA 5.25% Guaranteed Bonds due 2008 and €7 million of the outstanding</w:t>
      </w:r>
    </w:p>
    <w:p>
      <w:pPr>
        <w:ind w:left="780" w:right="5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€259 million SSA 5.875% Guaranteed Bonds due 2011. As a result, Schlumberger recorded a pretax and after-tax charge of $77 million, which included market and tender premiums, and transaction costs. The pretax charge is classified in </w:t>
      </w:r>
      <w:r>
        <w:rPr>
          <w:rFonts w:ascii="Arial" w:cs="Arial" w:eastAsia="Arial" w:hAnsi="Arial"/>
          <w:sz w:val="18"/>
          <w:szCs w:val="18"/>
          <w:i w:val="1"/>
          <w:iCs w:val="1"/>
          <w:color w:val="auto"/>
        </w:rPr>
        <w:t>Debt extinguishment costs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p>
    <w:p>
      <w:pPr>
        <w:spacing w:after="0" w:line="49"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Schlumberger Technology Corporation paid off its then outstanding commercial paper borrowing in the United States. As a result, the $500 million United States interest-rate swaps that were designated as cash-flow hedges became ineffective. Schlumberger recorded a pretax non-cash charge of $73 million ($46 million after-tax) to recognize unrealized losses previously recorded in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xml:space="preserve"> The pretax charge is classified in </w:t>
      </w:r>
      <w:r>
        <w:rPr>
          <w:rFonts w:ascii="Arial" w:cs="Arial" w:eastAsia="Arial" w:hAnsi="Arial"/>
          <w:sz w:val="18"/>
          <w:szCs w:val="18"/>
          <w:i w:val="1"/>
          <w:iCs w:val="1"/>
          <w:color w:val="auto"/>
        </w:rPr>
        <w:t xml:space="preserve">Interest </w:t>
      </w:r>
      <w:r>
        <w:rPr>
          <w:rFonts w:ascii="Arial" w:cs="Arial" w:eastAsia="Arial" w:hAnsi="Arial"/>
          <w:sz w:val="18"/>
          <w:szCs w:val="18"/>
          <w:color w:val="auto"/>
        </w:rPr>
        <w:t>expense 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jc w:val="both"/>
        <w:ind w:left="780" w:right="200" w:hanging="326"/>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Schlumberger sold 9.6 million ordinary shares of Atos Origin SA at a price of €52.95 per share. The net proceeds for the sale were $625 million and Schlumberger recorded a pretax and after-tax loss of $14 million on this transaction which reflects both banking fees and currency effect. The pretax charge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Schlumberger recorded, a pretax charge of $20 million ($14 million after-tax) related to a voluntary early retirement program in the United States and is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2004 Charges &amp;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Pretax</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Tax</w:t>
            </w: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line="149" w:lineRule="exact"/>
              <w:rPr>
                <w:sz w:val="20"/>
                <w:szCs w:val="20"/>
                <w:color w:val="auto"/>
              </w:rPr>
            </w:pPr>
            <w:r>
              <w:rPr>
                <w:rFonts w:ascii="Arial" w:cs="Arial" w:eastAsia="Arial" w:hAnsi="Arial"/>
                <w:sz w:val="14"/>
                <w:szCs w:val="14"/>
                <w:color w:val="auto"/>
              </w:rPr>
              <w:t>- Debt extinguishment costs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1"/>
              </w:rPr>
              <w:t>$ 114.9</w:t>
            </w:r>
          </w:p>
        </w:tc>
        <w:tc>
          <w:tcPr>
            <w:tcW w:w="280" w:type="dxa"/>
            <w:vAlign w:val="bottom"/>
          </w:tcPr>
          <w:p>
            <w:pPr>
              <w:spacing w:after="0"/>
              <w:rPr>
                <w:sz w:val="12"/>
                <w:szCs w:val="12"/>
                <w:color w:val="auto"/>
              </w:rPr>
            </w:pP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$14.0</w:t>
            </w:r>
          </w:p>
        </w:tc>
        <w:tc>
          <w:tcPr>
            <w:tcW w:w="500" w:type="dxa"/>
            <w:vAlign w:val="bottom"/>
          </w:tcPr>
          <w:p>
            <w:pPr>
              <w:spacing w:after="0"/>
              <w:rPr>
                <w:sz w:val="12"/>
                <w:szCs w:val="12"/>
                <w:color w:val="auto"/>
              </w:rPr>
            </w:pPr>
          </w:p>
        </w:tc>
        <w:tc>
          <w:tcPr>
            <w:tcW w:w="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83"/>
              </w:rPr>
              <w:t>$100.9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Restructuring program charges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2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50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line="149" w:lineRule="exact"/>
              <w:rPr>
                <w:sz w:val="20"/>
                <w:szCs w:val="20"/>
                <w:color w:val="auto"/>
              </w:rPr>
            </w:pPr>
            <w:r>
              <w:rPr>
                <w:rFonts w:ascii="Arial" w:cs="Arial" w:eastAsia="Arial" w:hAnsi="Arial"/>
                <w:sz w:val="14"/>
                <w:szCs w:val="14"/>
                <w:color w:val="auto"/>
              </w:rPr>
              <w:t>- Intellectual Property settlement charge</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280" w:type="dxa"/>
            <w:vAlign w:val="bottom"/>
          </w:tcPr>
          <w:p>
            <w:pPr>
              <w:spacing w:after="0"/>
              <w:rPr>
                <w:sz w:val="12"/>
                <w:szCs w:val="12"/>
                <w:color w:val="auto"/>
              </w:rPr>
            </w:pPr>
          </w:p>
        </w:tc>
        <w:tc>
          <w:tcPr>
            <w:tcW w:w="5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w:t>
            </w:r>
          </w:p>
        </w:tc>
        <w:tc>
          <w:tcPr>
            <w:tcW w:w="500" w:type="dxa"/>
            <w:vAlign w:val="bottom"/>
          </w:tcPr>
          <w:p>
            <w:pPr>
              <w:spacing w:after="0"/>
              <w:rPr>
                <w:sz w:val="12"/>
                <w:szCs w:val="12"/>
                <w:color w:val="auto"/>
              </w:rPr>
            </w:pPr>
          </w:p>
        </w:tc>
        <w:tc>
          <w:tcPr>
            <w:tcW w:w="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Loss on sale of Atos Origin shares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line="149" w:lineRule="exact"/>
              <w:rPr>
                <w:sz w:val="20"/>
                <w:szCs w:val="20"/>
                <w:color w:val="auto"/>
              </w:rPr>
            </w:pPr>
            <w:r>
              <w:rPr>
                <w:rFonts w:ascii="Arial" w:cs="Arial" w:eastAsia="Arial" w:hAnsi="Arial"/>
                <w:sz w:val="14"/>
                <w:szCs w:val="14"/>
                <w:color w:val="auto"/>
              </w:rPr>
              <w:t>- US interest-rate swap settlement gain</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w:t>
            </w:r>
          </w:p>
        </w:tc>
        <w:tc>
          <w:tcPr>
            <w:tcW w:w="102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(3.3)</w:t>
            </w: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Vacated leased facility reserve</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line="149" w:lineRule="exact"/>
              <w:rPr>
                <w:sz w:val="20"/>
                <w:szCs w:val="20"/>
                <w:color w:val="auto"/>
              </w:rPr>
            </w:pPr>
            <w:r>
              <w:rPr>
                <w:rFonts w:ascii="Arial" w:cs="Arial" w:eastAsia="Arial" w:hAnsi="Arial"/>
                <w:sz w:val="14"/>
                <w:szCs w:val="14"/>
                <w:color w:val="auto"/>
              </w:rPr>
              <w:t>- Litigation reserve release</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Loss recognized on interest-rate swaps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2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50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$ 243.5</w:t>
            </w:r>
          </w:p>
        </w:tc>
        <w:tc>
          <w:tcPr>
            <w:tcW w:w="2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$44.7</w:t>
            </w:r>
          </w:p>
        </w:tc>
        <w:tc>
          <w:tcPr>
            <w:tcW w:w="50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$198.8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22733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2733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698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WesternGeco Minority Interest</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April 28, 2006, Schlumberger acquired the 30% minority interest in WesternGeco from Baker Hughes Incorporated for $2.4 billion in cash. Schlumberger also incurred direct acquisition costs of $6 million in connection with this transaction. As a result of this transaction, Schlumberger owns 100% of WesternGeco.</w:t>
      </w:r>
    </w:p>
    <w:p>
      <w:pPr>
        <w:ind w:left="240"/>
        <w:spacing w:after="0"/>
        <w:rPr>
          <w:sz w:val="20"/>
          <w:szCs w:val="20"/>
          <w:color w:val="auto"/>
        </w:rPr>
      </w:pPr>
      <w:r>
        <w:rPr>
          <w:rFonts w:ascii="Arial" w:cs="Arial" w:eastAsia="Arial" w:hAnsi="Arial"/>
          <w:sz w:val="18"/>
          <w:szCs w:val="18"/>
          <w:color w:val="auto"/>
        </w:rPr>
        <w:t>The purchase price has been allocated to the proportionate share of net assets acquired based upon their estimated fair values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Book value of minority interest acquired</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16"/>
        </w:trPr>
        <w:tc>
          <w:tcPr>
            <w:tcW w:w="10980" w:type="dxa"/>
            <w:vAlign w:val="bottom"/>
            <w:gridSpan w:val="2"/>
          </w:tcPr>
          <w:p>
            <w:pPr>
              <w:spacing w:after="0"/>
              <w:rPr>
                <w:sz w:val="20"/>
                <w:szCs w:val="20"/>
                <w:color w:val="auto"/>
              </w:rPr>
            </w:pPr>
            <w:r>
              <w:rPr>
                <w:rFonts w:ascii="Arial" w:cs="Arial" w:eastAsia="Arial" w:hAnsi="Arial"/>
                <w:sz w:val="14"/>
                <w:szCs w:val="14"/>
                <w:i w:val="1"/>
                <w:iCs w:val="1"/>
                <w:color w:val="auto"/>
              </w:rPr>
              <w:t>Fair value adjustments: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Technology (weighted average life of 15 years)</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Customer relationships (life of 20 years)</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Vessels (weighted average remaining life of 11 years)</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Other fixed assets (weighted average remaining life of 3 years)</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Multiclient seismic data (maximum life of 3 years)</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Other identifiable intangible assets (life of 15 years)</w:t>
            </w: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In-process research and development (expensed immediately-see Note 3)</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1,338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9"/>
              </w:rPr>
              <w:t>2,406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-27305</wp:posOffset>
            </wp:positionV>
            <wp:extent cx="2698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28" w:lineRule="exact"/>
        <w:rPr>
          <w:sz w:val="20"/>
          <w:szCs w:val="20"/>
          <w:color w:val="auto"/>
        </w:rPr>
      </w:pPr>
    </w:p>
    <w:p>
      <w:pPr>
        <w:jc w:val="both"/>
        <w:ind w:right="120" w:firstLine="228"/>
        <w:spacing w:after="0" w:line="256" w:lineRule="auto"/>
        <w:rPr>
          <w:sz w:val="20"/>
          <w:szCs w:val="20"/>
          <w:color w:val="auto"/>
        </w:rPr>
      </w:pPr>
      <w:r>
        <w:rPr>
          <w:rFonts w:ascii="Arial" w:cs="Arial" w:eastAsia="Arial" w:hAnsi="Arial"/>
          <w:sz w:val="18"/>
          <w:szCs w:val="18"/>
          <w:color w:val="auto"/>
        </w:rPr>
        <w:t>The amount allocated to goodwill represents the excess of the purchase price over the fair value of the net assets acquired. Approximately $0.8 billion of the $1.3 billion of goodwill is estimated to be tax deductible. In addition, $625 million of the goodwill created as a result of this transaction has been allocated to the Oilfield Services business segment (“OFS”) in recognition of the estimated present value of future synergies paid for in this transaction that will directly benefit OFS.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 and other fixed assets</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analyzing the fair value of the WesternGeco vessels it was determined that the remaining estimated useful lives of these assets exceeded the remaining estimated life currently being used to calculate depreciation expense. Therefore, the estimated remaining useful lives of the vessels were extended an additional 4 years (on a weighted average basis) as of the date of the acquisition. The impact of the fair value adjustments for all fixed assets, combined with the change in estimate regarding the depreciable lives of the vessels, resulted in a net reduction in depreciation expense of approximately $2 million in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7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The carrying value of the multiclient library immediately after the acquisition increased to $243 million from $202 million, reflecting the impact of the $41 million fair value adjustment. These capitalized costs will be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on the balance sheet to the estimated total revenue that Schlumberger expects to receive from the sales of such data. Schlumberger policy has been that under no circumstance will an individual survey carry a net book value greater than a 4-year straight-line amortized value. After consideration of the estimated number of future years that revenues are expected to be derived from the multiclient seismic data at the time of the acquisition, Schlumberger concluded that the remaining minimum amortization period should be 3 years for all surveys in the multiclient seismic library at the time of the transaction, effectively resetting the minimum amortization period. Therefore, the $243 million of capitalized multiclient seismic data costs will be charged to expense over a period no longer than the next 3 years from the date of the transaction. Surveys comprising the $202 million of multiclient seismic data costs prior to this transaction had a weighted average remaining life for purposes of computing the minimum amortization of approximately 1.8 years. Given the current emphasis on requiring multiclient projects to be significantly prefunded before the project commences, Schlumberger currently estimates that the majority of revenues to be derived from sales of new surveys will be achieved within a 4-year period. Therefore, Schlumberger will continue its policy that under no circumstance will an individual survey carry a net book value greater than a 4-year straight-line amortized value for all surveys added to the library after the date of this transaction.</w:t>
      </w:r>
    </w:p>
    <w:p>
      <w:pPr>
        <w:spacing w:after="0" w:line="5"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The net impact of the $41 million fair value adjustment combined with the resetting of the minimum amortization period resulted in an approximate $28 million net reduction in multiclient amortization expense in 2006 as compared to what multiclient amortization expense would have been had this transaction not been consummated.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PetroAlliance Minority Interest</w:t>
      </w:r>
    </w:p>
    <w:p>
      <w:pPr>
        <w:spacing w:after="0" w:line="72" w:lineRule="exact"/>
        <w:rPr>
          <w:sz w:val="20"/>
          <w:szCs w:val="20"/>
          <w:color w:val="auto"/>
        </w:rPr>
      </w:pPr>
    </w:p>
    <w:p>
      <w:pPr>
        <w:ind w:right="60" w:firstLine="228"/>
        <w:spacing w:after="0" w:line="283" w:lineRule="auto"/>
        <w:rPr>
          <w:sz w:val="20"/>
          <w:szCs w:val="20"/>
          <w:color w:val="auto"/>
        </w:rPr>
      </w:pPr>
      <w:r>
        <w:rPr>
          <w:rFonts w:ascii="Arial" w:cs="Arial" w:eastAsia="Arial" w:hAnsi="Arial"/>
          <w:sz w:val="16"/>
          <w:szCs w:val="16"/>
          <w:color w:val="auto"/>
        </w:rPr>
        <w:t>On December 9, 2003, Schlumberger announced that it had signed an agreement to acquire PetroAlliance Services Company Limited (“PetroAlliance Services”) over a 3-year period based on a formula determined at that time. Schlumberger acquired 26% of PetroAlliance Services in the second quarter of 2004 for $12 million in cash and 843,740 shares of Schlumberger common stock valued at $24 million. During the second quarter of 2005, Schlumberger acquired an additional 25% of PetroAlliance Services for $40 million in cash and 2,300,646 shares of Schlumberger common stock valued at $79 million bringing its total ownership interest to 51%. During the second quarter of 2006, Schlumberger acquired the remaining 49% of PetroAlliance Services that it did not own for $165 million in cash and 4,730,960 shares of Schlumberger common stock valued at approximately $330 million. The aggregate purchase price paid for PetroAlliance Services over the 3-year period was $650 million.</w:t>
      </w:r>
    </w:p>
    <w:p>
      <w:pPr>
        <w:ind w:right="120" w:firstLine="228"/>
        <w:spacing w:after="0" w:line="261" w:lineRule="auto"/>
        <w:rPr>
          <w:sz w:val="20"/>
          <w:szCs w:val="20"/>
          <w:color w:val="auto"/>
        </w:rPr>
      </w:pPr>
      <w:r>
        <w:rPr>
          <w:rFonts w:ascii="Arial" w:cs="Arial" w:eastAsia="Arial" w:hAnsi="Arial"/>
          <w:sz w:val="18"/>
          <w:szCs w:val="18"/>
          <w:color w:val="auto"/>
        </w:rPr>
        <w:t>Schlumberger began consolidating the results of PetroAlliance Services in the second quarter of 2005. This investment had previously been accounted under the equity method.</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The $495 million purchase price paid in the second quarter of 2006 has been allocated to the proportionate share of net assets acquired based upon their estimated fair values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Book value of minority interest acquired</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100" w:type="dxa"/>
            <w:vAlign w:val="bottom"/>
            <w:gridSpan w:val="2"/>
          </w:tcPr>
          <w:p>
            <w:pPr>
              <w:spacing w:after="0"/>
              <w:rPr>
                <w:sz w:val="20"/>
                <w:szCs w:val="20"/>
                <w:color w:val="auto"/>
              </w:rPr>
            </w:pPr>
            <w:r>
              <w:rPr>
                <w:rFonts w:ascii="Arial" w:cs="Arial" w:eastAsia="Arial" w:hAnsi="Arial"/>
                <w:sz w:val="14"/>
                <w:szCs w:val="14"/>
                <w:color w:val="auto"/>
              </w:rPr>
              <w:t>Fair value adjustments: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Customer relationships (life of 12 years)</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tcPr>
          <w:p>
            <w:pPr>
              <w:ind w:left="320"/>
              <w:spacing w:after="0" w:line="149" w:lineRule="exact"/>
              <w:rPr>
                <w:sz w:val="20"/>
                <w:szCs w:val="20"/>
                <w:color w:val="auto"/>
              </w:rPr>
            </w:pPr>
            <w:r>
              <w:rPr>
                <w:rFonts w:ascii="Arial" w:cs="Arial" w:eastAsia="Arial" w:hAnsi="Arial"/>
                <w:sz w:val="14"/>
                <w:szCs w:val="14"/>
                <w:color w:val="auto"/>
              </w:rPr>
              <w:t>Other identifiable intangible assets (life of 5 years)</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80" w:type="dxa"/>
            <w:vAlign w:val="bottom"/>
          </w:tcPr>
          <w:p>
            <w:pPr>
              <w:ind w:left="320"/>
              <w:spacing w:after="0"/>
              <w:rPr>
                <w:sz w:val="20"/>
                <w:szCs w:val="20"/>
                <w:color w:val="auto"/>
              </w:rPr>
            </w:pPr>
            <w:r>
              <w:rPr>
                <w:rFonts w:ascii="Arial" w:cs="Arial" w:eastAsia="Arial" w:hAnsi="Arial"/>
                <w:sz w:val="14"/>
                <w:szCs w:val="14"/>
                <w:color w:val="auto"/>
              </w:rPr>
              <w:t>Goodwill</w:t>
            </w:r>
          </w:p>
        </w:tc>
        <w:tc>
          <w:tcPr>
            <w:tcW w:w="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404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495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93" w:lineRule="exact"/>
        <w:rPr>
          <w:sz w:val="20"/>
          <w:szCs w:val="20"/>
          <w:color w:val="auto"/>
        </w:rPr>
      </w:pPr>
    </w:p>
    <w:p>
      <w:pPr>
        <w:ind w:left="240" w:right="40" w:hanging="227"/>
        <w:spacing w:after="0" w:line="305" w:lineRule="auto"/>
        <w:rPr>
          <w:sz w:val="20"/>
          <w:szCs w:val="20"/>
          <w:color w:val="auto"/>
        </w:rPr>
      </w:pPr>
      <w:r>
        <w:rPr>
          <w:rFonts w:ascii="Arial" w:cs="Arial" w:eastAsia="Arial" w:hAnsi="Arial"/>
          <w:sz w:val="15"/>
          <w:szCs w:val="15"/>
          <w:color w:val="auto"/>
        </w:rPr>
        <w:t>The amount allocated to goodwill represents the excess of the purchase price over the fair value of the net assets acquired. The goodwill is not tax deductible. The $119 million purchase price paid in the second quarter of 2005 was allocated to the assets acquired and the liabilities assumed according to their fair value</w:t>
      </w:r>
    </w:p>
    <w:p>
      <w:pPr>
        <w:spacing w:after="0"/>
        <w:rPr>
          <w:sz w:val="20"/>
          <w:szCs w:val="20"/>
          <w:color w:val="auto"/>
        </w:rPr>
      </w:pPr>
      <w:r>
        <w:rPr>
          <w:rFonts w:ascii="Arial" w:cs="Arial" w:eastAsia="Arial" w:hAnsi="Arial"/>
          <w:sz w:val="18"/>
          <w:szCs w:val="18"/>
          <w:color w:val="auto"/>
        </w:rPr>
        <w:t>at the date of the transaction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0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80" w:type="dxa"/>
            <w:vAlign w:val="bottom"/>
          </w:tcPr>
          <w:p>
            <w:pPr>
              <w:spacing w:after="0"/>
              <w:rPr>
                <w:sz w:val="20"/>
                <w:szCs w:val="20"/>
                <w:color w:val="auto"/>
              </w:rPr>
            </w:pPr>
            <w:r>
              <w:rPr>
                <w:rFonts w:ascii="Arial" w:cs="Arial" w:eastAsia="Arial" w:hAnsi="Arial"/>
                <w:sz w:val="14"/>
                <w:szCs w:val="14"/>
                <w:color w:val="auto"/>
              </w:rPr>
              <w:t>Other intangible assets</w:t>
            </w:r>
          </w:p>
        </w:tc>
        <w:tc>
          <w:tcPr>
            <w:tcW w:w="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0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auto"/>
              </w:rPr>
              <w:t>Total assets acquired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100" w:type="dxa"/>
            <w:vAlign w:val="bottom"/>
            <w:gridSpan w:val="2"/>
          </w:tcPr>
          <w:p>
            <w:pPr>
              <w:spacing w:after="0"/>
              <w:rPr>
                <w:sz w:val="20"/>
                <w:szCs w:val="20"/>
                <w:color w:val="auto"/>
              </w:rPr>
            </w:pPr>
            <w:r>
              <w:rPr>
                <w:rFonts w:ascii="Arial" w:cs="Arial" w:eastAsia="Arial" w:hAnsi="Arial"/>
                <w:sz w:val="14"/>
                <w:szCs w:val="14"/>
                <w:color w:val="auto"/>
              </w:rPr>
              <w:t>Accounts payable and accrued liabilities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 current portion</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auto"/>
              </w:rPr>
              <w:t>Total liabilities acquired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100" w:type="dxa"/>
            <w:vAlign w:val="bottom"/>
            <w:gridSpan w:val="2"/>
          </w:tcPr>
          <w:p>
            <w:pPr>
              <w:spacing w:after="0"/>
              <w:rPr>
                <w:sz w:val="20"/>
                <w:szCs w:val="20"/>
                <w:color w:val="auto"/>
              </w:rPr>
            </w:pPr>
            <w:r>
              <w:rPr>
                <w:rFonts w:ascii="Arial" w:cs="Arial" w:eastAsia="Arial" w:hAnsi="Arial"/>
                <w:sz w:val="14"/>
                <w:szCs w:val="14"/>
                <w:color w:val="auto"/>
              </w:rPr>
              <w:t>Sub-total</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proportionate share of net assets previously held through equity investment</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acquired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40"/>
        <w:spacing w:after="0" w:line="367" w:lineRule="auto"/>
        <w:rPr>
          <w:sz w:val="20"/>
          <w:szCs w:val="20"/>
          <w:color w:val="auto"/>
        </w:rPr>
      </w:pPr>
      <w:r>
        <w:rPr>
          <w:rFonts w:ascii="Arial" w:cs="Arial" w:eastAsia="Arial" w:hAnsi="Arial"/>
          <w:sz w:val="18"/>
          <w:szCs w:val="18"/>
          <w:color w:val="auto"/>
        </w:rPr>
        <w:t xml:space="preserve">The amount allocated to goodwill represents the excess of the purchase price over the fair value of the net assets acquired. The goodwill is not tax deductible. </w:t>
      </w:r>
      <w:r>
        <w:rPr>
          <w:rFonts w:ascii="Arial" w:cs="Arial" w:eastAsia="Arial" w:hAnsi="Arial"/>
          <w:sz w:val="18"/>
          <w:szCs w:val="18"/>
          <w:b w:val="1"/>
          <w:bCs w:val="1"/>
          <w:i w:val="1"/>
          <w:iCs w:val="1"/>
          <w:color w:val="auto"/>
        </w:rPr>
        <w:t>Other Acquisitions</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Schlumberger has made certain other acquisitions and minority interest investments, none of which were significant on an individual basis, for cash payments of $356 million during 2006, $56 million during 2005 and $31 million during 2004.</w:t>
      </w:r>
    </w:p>
    <w:p>
      <w:pPr>
        <w:ind w:right="180" w:firstLine="228"/>
        <w:spacing w:after="0" w:line="300" w:lineRule="auto"/>
        <w:rPr>
          <w:sz w:val="20"/>
          <w:szCs w:val="20"/>
          <w:color w:val="auto"/>
        </w:rPr>
      </w:pPr>
      <w:r>
        <w:rPr>
          <w:rFonts w:ascii="Arial" w:cs="Arial" w:eastAsia="Arial" w:hAnsi="Arial"/>
          <w:sz w:val="15"/>
          <w:szCs w:val="15"/>
          <w:color w:val="auto"/>
        </w:rPr>
        <w:t>Under the terms of certain past acquisitions, Schlumberger has obligations to pay additional consideration if specific conditions are met. Schlumberger made cash payments of $63 million during 2006 and $21 million during 2005, with respect to certain transactions that were consummated in prior years, which have been recorded as additional goodwill. Under the terms of one of the transactions, Schlumberger may acquire the remaining interest based upon a performance-based formula, payable in Schlumberger common stock, subject to performance requirements, regulatory approval and other customary conditions.</w:t>
      </w:r>
    </w:p>
    <w:p>
      <w:pPr>
        <w:spacing w:after="0" w:line="2"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Pro forma results pertaining to the above acquisitions, including the WesternGeco and PetroAlliance Services transactions, are not presented as the impact was not significant.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7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MI-SWACO drilling fluids joint venture is owned 40% by Schlumberger and 60% by Smith International, Inc. Schlumberger records income using the equity method of accounting. Schlumberger’s investment in the joint venture on December 31, 2006 and 2005 was $970 million and $802 million, respectively. Schlumberger’s equity income from this joint venture in 2006 was $135 million, $83 million in 2005 and $68 million in 2004. Schlumberger received cash distributions from the joint venture of $28 million in 2005 and $28 million in 2004. There were no such distributions in 2006.</w:t>
      </w:r>
    </w:p>
    <w:p>
      <w:pPr>
        <w:spacing w:after="0" w:line="3" w:lineRule="exact"/>
        <w:rPr>
          <w:sz w:val="20"/>
          <w:szCs w:val="20"/>
          <w:color w:val="auto"/>
        </w:rPr>
      </w:pPr>
    </w:p>
    <w:p>
      <w:pPr>
        <w:ind w:right="60" w:firstLine="228"/>
        <w:spacing w:after="0" w:line="331" w:lineRule="auto"/>
        <w:rPr>
          <w:sz w:val="20"/>
          <w:szCs w:val="20"/>
          <w:color w:val="auto"/>
        </w:rPr>
      </w:pPr>
      <w:r>
        <w:rPr>
          <w:rFonts w:ascii="Arial" w:cs="Arial" w:eastAsia="Arial" w:hAnsi="Arial"/>
          <w:sz w:val="15"/>
          <w:szCs w:val="15"/>
          <w:color w:val="auto"/>
        </w:rPr>
        <w:t>Schlumberger's joint venture agreement with Smith International, Inc. contains a provision under which either party to the joint venture may offer to sell its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prices specified in the offer notice.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140" w:type="dxa"/>
            <w:vAlign w:val="bottom"/>
            <w:gridSpan w:val="2"/>
          </w:tcPr>
          <w:p>
            <w:pPr>
              <w:spacing w:after="0"/>
              <w:rPr>
                <w:sz w:val="20"/>
                <w:szCs w:val="20"/>
                <w:color w:val="auto"/>
              </w:rPr>
            </w:pPr>
            <w:r>
              <w:rPr>
                <w:rFonts w:ascii="Arial" w:cs="Arial" w:eastAsia="Arial" w:hAnsi="Arial"/>
                <w:sz w:val="18"/>
                <w:szCs w:val="18"/>
                <w:b w:val="1"/>
                <w:bCs w:val="1"/>
                <w:color w:val="auto"/>
              </w:rPr>
              <w:t>6.  Inventory</w:t>
            </w: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140" w:type="dxa"/>
            <w:vAlign w:val="bottom"/>
            <w:gridSpan w:val="2"/>
          </w:tcPr>
          <w:p>
            <w:pPr>
              <w:spacing w:after="0"/>
              <w:rPr>
                <w:sz w:val="20"/>
                <w:szCs w:val="20"/>
                <w:color w:val="auto"/>
              </w:rPr>
            </w:pPr>
            <w:r>
              <w:rPr>
                <w:rFonts w:ascii="Arial" w:cs="Arial" w:eastAsia="Arial" w:hAnsi="Arial"/>
                <w:sz w:val="18"/>
                <w:szCs w:val="18"/>
                <w:color w:val="auto"/>
              </w:rPr>
              <w:t>A summary of inventory follows:</w:t>
            </w: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0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14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0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Raw Materials &amp; Field Materials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$ 1,186</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Work in Process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127</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1,404</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20" w:type="dxa"/>
            <w:vAlign w:val="bottom"/>
          </w:tcPr>
          <w:p>
            <w:pPr>
              <w:spacing w:after="0"/>
              <w:rPr>
                <w:sz w:val="20"/>
                <w:szCs w:val="20"/>
                <w:color w:val="auto"/>
              </w:rPr>
            </w:pPr>
            <w:r>
              <w:rPr>
                <w:rFonts w:ascii="Arial" w:cs="Arial" w:eastAsia="Arial" w:hAnsi="Arial"/>
                <w:sz w:val="14"/>
                <w:szCs w:val="14"/>
                <w:color w:val="auto"/>
              </w:rPr>
              <w:t>Less reserves for obsolescence</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$ 1,247</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9720" w:type="dxa"/>
            <w:vAlign w:val="bottom"/>
            <w:gridSpan w:val="3"/>
          </w:tcPr>
          <w:p>
            <w:pPr>
              <w:jc w:val="right"/>
              <w:ind w:right="8600"/>
              <w:spacing w:after="0"/>
              <w:rPr>
                <w:sz w:val="20"/>
                <w:szCs w:val="20"/>
                <w:color w:val="auto"/>
              </w:rPr>
            </w:pPr>
            <w:r>
              <w:rPr>
                <w:rFonts w:ascii="Arial" w:cs="Arial" w:eastAsia="Arial" w:hAnsi="Arial"/>
                <w:sz w:val="18"/>
                <w:szCs w:val="18"/>
                <w:b w:val="1"/>
                <w:bCs w:val="1"/>
                <w:color w:val="auto"/>
                <w:w w:val="99"/>
              </w:rPr>
              <w:t>Fixed Assets</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040" w:type="dxa"/>
            <w:vAlign w:val="bottom"/>
            <w:gridSpan w:val="5"/>
          </w:tcPr>
          <w:p>
            <w:pPr>
              <w:spacing w:after="0"/>
              <w:rPr>
                <w:sz w:val="20"/>
                <w:szCs w:val="20"/>
                <w:color w:val="auto"/>
              </w:rPr>
            </w:pPr>
            <w:r>
              <w:rPr>
                <w:rFonts w:ascii="Arial" w:cs="Arial" w:eastAsia="Arial" w:hAnsi="Arial"/>
                <w:sz w:val="18"/>
                <w:szCs w:val="18"/>
                <w:color w:val="auto"/>
              </w:rPr>
              <w:t>A summary of fixed assets follows:</w:t>
            </w: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0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(Stated in millions)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040" w:type="dxa"/>
            <w:vAlign w:val="bottom"/>
            <w:gridSpan w:val="5"/>
          </w:tcPr>
          <w:p>
            <w:pPr>
              <w:spacing w:after="0"/>
              <w:rPr>
                <w:sz w:val="20"/>
                <w:szCs w:val="20"/>
                <w:color w:val="auto"/>
              </w:rPr>
            </w:pPr>
            <w:r>
              <w:rPr>
                <w:rFonts w:ascii="Arial" w:cs="Arial" w:eastAsia="Arial" w:hAnsi="Arial"/>
                <w:sz w:val="14"/>
                <w:szCs w:val="14"/>
                <w:b w:val="1"/>
                <w:bCs w:val="1"/>
                <w:color w:val="auto"/>
              </w:rPr>
              <w:t>As at December 31,</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300" w:type="dxa"/>
            <w:vAlign w:val="bottom"/>
          </w:tcPr>
          <w:p>
            <w:pPr>
              <w:spacing w:after="0"/>
              <w:rPr>
                <w:sz w:val="3"/>
                <w:szCs w:val="3"/>
                <w:color w:val="auto"/>
              </w:rPr>
            </w:pPr>
          </w:p>
        </w:tc>
        <w:tc>
          <w:tcPr>
            <w:tcW w:w="9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Land</w:t>
            </w:r>
          </w:p>
        </w:tc>
        <w:tc>
          <w:tcPr>
            <w:tcW w:w="9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20" w:type="dxa"/>
            <w:vAlign w:val="bottom"/>
            <w:gridSpan w:val="4"/>
          </w:tcPr>
          <w:p>
            <w:pPr>
              <w:spacing w:after="0" w:line="149" w:lineRule="exact"/>
              <w:rPr>
                <w:sz w:val="20"/>
                <w:szCs w:val="20"/>
                <w:color w:val="auto"/>
              </w:rPr>
            </w:pPr>
            <w:r>
              <w:rPr>
                <w:rFonts w:ascii="Arial" w:cs="Arial" w:eastAsia="Arial" w:hAnsi="Arial"/>
                <w:sz w:val="14"/>
                <w:szCs w:val="14"/>
                <w:color w:val="auto"/>
              </w:rPr>
              <w:t>Buildings &amp; Improvements</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1,100</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Machinery &amp; Equipment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12,725</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13,912</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11,805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20" w:type="dxa"/>
            <w:vAlign w:val="bottom"/>
            <w:gridSpan w:val="4"/>
          </w:tcPr>
          <w:p>
            <w:pPr>
              <w:spacing w:after="0"/>
              <w:rPr>
                <w:sz w:val="20"/>
                <w:szCs w:val="20"/>
                <w:color w:val="auto"/>
              </w:rPr>
            </w:pPr>
            <w:r>
              <w:rPr>
                <w:rFonts w:ascii="Arial" w:cs="Arial" w:eastAsia="Arial" w:hAnsi="Arial"/>
                <w:sz w:val="14"/>
                <w:szCs w:val="14"/>
                <w:color w:val="auto"/>
              </w:rPr>
              <w:t>Less accumulated depreciation</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8,336</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6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5,576</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-29210</wp:posOffset>
            </wp:positionV>
            <wp:extent cx="28702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40" w:firstLine="228"/>
        <w:spacing w:after="0" w:line="254" w:lineRule="auto"/>
        <w:rPr>
          <w:sz w:val="20"/>
          <w:szCs w:val="20"/>
          <w:color w:val="auto"/>
        </w:rPr>
      </w:pPr>
      <w:r>
        <w:rPr>
          <w:rFonts w:ascii="Arial" w:cs="Arial" w:eastAsia="Arial" w:hAnsi="Arial"/>
          <w:sz w:val="18"/>
          <w:szCs w:val="18"/>
          <w:color w:val="auto"/>
        </w:rPr>
        <w:t>The estimated useful lives of Buildings &amp; Improvements are primarily 30 to 40 years. For Machinery &amp; Equipment, 10% is being depreciated over 16 to 25 years, 6% over 10 to 15 years and 84% over 2 to 9 years determined on a gross book value basis.</w:t>
      </w:r>
    </w:p>
    <w:p>
      <w:pPr>
        <w:ind w:left="240"/>
        <w:spacing w:after="0"/>
        <w:rPr>
          <w:sz w:val="20"/>
          <w:szCs w:val="20"/>
          <w:color w:val="auto"/>
        </w:rPr>
      </w:pPr>
      <w:r>
        <w:rPr>
          <w:rFonts w:ascii="Arial" w:cs="Arial" w:eastAsia="Arial" w:hAnsi="Arial"/>
          <w:sz w:val="16"/>
          <w:szCs w:val="16"/>
          <w:color w:val="auto"/>
        </w:rPr>
        <w:t>Depreciation and amortization expense relating to fixed assets was $1.232 billion, $1.092 billion and $1.007 billion in 2006, 2005 and 2004, respectively.</w:t>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Multiclient Seismic Data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20" w:type="dxa"/>
            <w:vAlign w:val="bottom"/>
            <w:tcBorders>
              <w:top w:val="single" w:sz="8" w:color="auto"/>
            </w:tcBorders>
          </w:tcPr>
          <w:p>
            <w:pPr>
              <w:spacing w:after="0"/>
              <w:rPr>
                <w:sz w:val="15"/>
                <w:szCs w:val="15"/>
                <w:color w:val="auto"/>
              </w:rPr>
            </w:pPr>
          </w:p>
        </w:tc>
        <w:tc>
          <w:tcPr>
            <w:tcW w:w="6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920" w:type="dxa"/>
            <w:vAlign w:val="bottom"/>
          </w:tcPr>
          <w:p>
            <w:pPr>
              <w:spacing w:after="0"/>
              <w:rPr>
                <w:sz w:val="3"/>
                <w:szCs w:val="3"/>
                <w:color w:val="auto"/>
              </w:rPr>
            </w:pPr>
          </w:p>
        </w:tc>
        <w:tc>
          <w:tcPr>
            <w:tcW w:w="6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6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$ 222</w:t>
            </w:r>
          </w:p>
        </w:tc>
        <w:tc>
          <w:tcPr>
            <w:tcW w:w="2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Arial" w:cs="Arial" w:eastAsia="Arial" w:hAnsi="Arial"/>
                <w:sz w:val="14"/>
                <w:szCs w:val="14"/>
                <w:color w:val="auto"/>
              </w:rPr>
              <w:t>Capitalized in year</w:t>
            </w:r>
          </w:p>
        </w:tc>
        <w:tc>
          <w:tcPr>
            <w:tcW w:w="6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180</w:t>
            </w:r>
          </w:p>
        </w:tc>
        <w:tc>
          <w:tcPr>
            <w:tcW w:w="280" w:type="dxa"/>
            <w:vAlign w:val="bottom"/>
          </w:tcPr>
          <w:p>
            <w:pPr>
              <w:spacing w:after="0"/>
              <w:rPr>
                <w:sz w:val="12"/>
                <w:szCs w:val="12"/>
                <w:color w:val="auto"/>
              </w:rPr>
            </w:pPr>
          </w:p>
        </w:tc>
        <w:tc>
          <w:tcPr>
            <w:tcW w:w="6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adjustment (see Note 4)</w:t>
            </w:r>
          </w:p>
        </w:tc>
        <w:tc>
          <w:tcPr>
            <w:tcW w:w="6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Arial" w:cs="Arial" w:eastAsia="Arial" w:hAnsi="Arial"/>
                <w:sz w:val="14"/>
                <w:szCs w:val="14"/>
                <w:color w:val="auto"/>
              </w:rPr>
              <w:t>Charged to cost of goods sold &amp; services</w:t>
            </w:r>
          </w:p>
        </w:tc>
        <w:tc>
          <w:tcPr>
            <w:tcW w:w="6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(216)</w:t>
            </w:r>
          </w:p>
        </w:tc>
        <w:tc>
          <w:tcPr>
            <w:tcW w:w="600" w:type="dxa"/>
            <w:vAlign w:val="bottom"/>
            <w:gridSpan w:val="4"/>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c>
          <w:tcPr>
            <w:tcW w:w="6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6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$ 227</w:t>
            </w:r>
          </w:p>
        </w:tc>
        <w:tc>
          <w:tcPr>
            <w:tcW w:w="2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$ 222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6280" w:type="dxa"/>
            <w:vAlign w:val="bottom"/>
            <w:vMerge w:val="restart"/>
          </w:tcPr>
          <w:p>
            <w:pPr>
              <w:jc w:val="right"/>
              <w:ind w:right="4372"/>
              <w:spacing w:after="0"/>
              <w:rPr>
                <w:sz w:val="20"/>
                <w:szCs w:val="20"/>
                <w:color w:val="auto"/>
              </w:rPr>
            </w:pPr>
            <w:r>
              <w:rPr>
                <w:rFonts w:ascii="Arial" w:cs="Arial" w:eastAsia="Arial" w:hAnsi="Arial"/>
                <w:sz w:val="14"/>
                <w:szCs w:val="14"/>
                <w:color w:val="auto"/>
              </w:rPr>
              <w:t>50</w:t>
            </w:r>
          </w:p>
        </w:tc>
        <w:tc>
          <w:tcPr>
            <w:tcW w:w="3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-292735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-292735</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-292735</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-292735</wp:posOffset>
            </wp:positionV>
            <wp:extent cx="23558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in 2006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9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2"/>
              </w:rPr>
              <w:t>Oilfield</w:t>
            </w:r>
          </w:p>
        </w:tc>
        <w:tc>
          <w:tcPr>
            <w:tcW w:w="76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83"/>
              </w:rPr>
              <w:t>Western</w:t>
            </w: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Geco</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2,676</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2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Acquisition of WesternGeco minority interest</w:t>
            </w:r>
          </w:p>
        </w:tc>
        <w:tc>
          <w:tcPr>
            <w:tcW w:w="8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625</w:t>
            </w: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2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PetroAlliance minority interest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Other additions</w:t>
            </w:r>
          </w:p>
        </w:tc>
        <w:tc>
          <w:tcPr>
            <w:tcW w:w="8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301</w:t>
            </w: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4,021</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2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-27305</wp:posOffset>
            </wp:positionV>
            <wp:extent cx="30416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-27305</wp:posOffset>
            </wp:positionV>
            <wp:extent cx="31305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-27305</wp:posOffset>
            </wp:positionV>
            <wp:extent cx="2444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by business segment in 2005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9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Oilfield</w:t>
            </w: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Western</w:t>
            </w: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Geco</w:t>
            </w:r>
          </w:p>
        </w:tc>
        <w:tc>
          <w:tcPr>
            <w:tcW w:w="8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2,545</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244</w:t>
            </w: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$2,789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w:t>
            </w:r>
          </w:p>
        </w:tc>
        <w:tc>
          <w:tcPr>
            <w:tcW w:w="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80" w:type="dxa"/>
            <w:vAlign w:val="bottom"/>
          </w:tcPr>
          <w:p>
            <w:pPr>
              <w:spacing w:after="0"/>
              <w:rPr>
                <w:sz w:val="20"/>
                <w:szCs w:val="20"/>
                <w:color w:val="auto"/>
              </w:rPr>
            </w:pPr>
            <w:r>
              <w:rPr>
                <w:rFonts w:ascii="Arial" w:cs="Arial" w:eastAsia="Arial" w:hAnsi="Arial"/>
                <w:sz w:val="14"/>
                <w:szCs w:val="14"/>
                <w:color w:val="auto"/>
              </w:rPr>
              <w:t>Impact of change in exchange rates</w:t>
            </w:r>
          </w:p>
        </w:tc>
        <w:tc>
          <w:tcPr>
            <w:tcW w:w="12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9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2,676</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246</w:t>
            </w:r>
          </w:p>
        </w:tc>
        <w:tc>
          <w:tcPr>
            <w:tcW w:w="4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$2,922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1305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698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At December 31, the gross book value and accumulated amortization of intangible assets were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Borders>
              <w:top w:val="single" w:sz="8" w:color="auto"/>
            </w:tcBorders>
          </w:tcPr>
          <w:p>
            <w:pPr>
              <w:spacing w:after="0"/>
              <w:rPr>
                <w:sz w:val="15"/>
                <w:szCs w:val="15"/>
                <w:color w:val="auto"/>
              </w:rPr>
            </w:pPr>
          </w:p>
        </w:tc>
        <w:tc>
          <w:tcPr>
            <w:tcW w:w="110" w:type="dxa"/>
            <w:vAlign w:val="bottom"/>
            <w:tcBorders>
              <w:top w:val="single" w:sz="8" w:color="auto"/>
            </w:tcBorders>
          </w:tcPr>
          <w:p>
            <w:pPr>
              <w:spacing w:after="0"/>
              <w:rPr>
                <w:sz w:val="15"/>
                <w:szCs w:val="15"/>
                <w:color w:val="auto"/>
              </w:rPr>
            </w:pPr>
          </w:p>
        </w:tc>
        <w:tc>
          <w:tcPr>
            <w:tcW w:w="55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70" w:type="dxa"/>
            <w:vAlign w:val="bottom"/>
            <w:tcBorders>
              <w:top w:val="single" w:sz="8" w:color="auto"/>
            </w:tcBorders>
          </w:tcPr>
          <w:p>
            <w:pPr>
              <w:spacing w:after="0"/>
              <w:rPr>
                <w:sz w:val="15"/>
                <w:szCs w:val="15"/>
                <w:color w:val="auto"/>
              </w:rPr>
            </w:pPr>
          </w:p>
        </w:tc>
        <w:tc>
          <w:tcPr>
            <w:tcW w:w="61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3"/>
              </w:rPr>
              <w:t>2006</w:t>
            </w: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6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40" w:type="dxa"/>
            <w:vAlign w:val="bottom"/>
          </w:tcPr>
          <w:p>
            <w:pPr>
              <w:spacing w:after="0"/>
              <w:rPr>
                <w:sz w:val="6"/>
                <w:szCs w:val="6"/>
                <w:color w:val="auto"/>
              </w:rPr>
            </w:pPr>
          </w:p>
        </w:tc>
        <w:tc>
          <w:tcPr>
            <w:tcW w:w="110" w:type="dxa"/>
            <w:vAlign w:val="bottom"/>
            <w:tcBorders>
              <w:bottom w:val="single" w:sz="8" w:color="auto"/>
            </w:tcBorders>
          </w:tcPr>
          <w:p>
            <w:pPr>
              <w:spacing w:after="0"/>
              <w:rPr>
                <w:sz w:val="6"/>
                <w:szCs w:val="6"/>
                <w:color w:val="auto"/>
              </w:rPr>
            </w:pPr>
          </w:p>
        </w:tc>
        <w:tc>
          <w:tcPr>
            <w:tcW w:w="55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70" w:type="dxa"/>
            <w:vAlign w:val="bottom"/>
            <w:tcBorders>
              <w:bottom w:val="single" w:sz="8" w:color="auto"/>
            </w:tcBorders>
          </w:tcPr>
          <w:p>
            <w:pPr>
              <w:spacing w:after="0"/>
              <w:rPr>
                <w:sz w:val="6"/>
                <w:szCs w:val="6"/>
                <w:color w:val="auto"/>
              </w:rPr>
            </w:pPr>
          </w:p>
        </w:tc>
        <w:tc>
          <w:tcPr>
            <w:tcW w:w="61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57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Gross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Accumulated</w:t>
            </w:r>
          </w:p>
        </w:tc>
        <w:tc>
          <w:tcPr>
            <w:tcW w:w="620" w:type="dxa"/>
            <w:vAlign w:val="bottom"/>
          </w:tcPr>
          <w:p>
            <w:pPr>
              <w:spacing w:after="0"/>
              <w:rPr>
                <w:sz w:val="20"/>
                <w:szCs w:val="20"/>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84"/>
              </w:rPr>
              <w:t>Net Book</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Accumulated</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ind w:left="2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Book Value</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Amortization</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Value</w:t>
            </w:r>
          </w:p>
        </w:tc>
        <w:tc>
          <w:tcPr>
            <w:tcW w:w="6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Book Value</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Amortization</w:t>
            </w:r>
          </w:p>
        </w:tc>
        <w:tc>
          <w:tcPr>
            <w:tcW w:w="64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6"/>
              </w:rPr>
              <w:t>Book 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1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11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427</w:t>
            </w:r>
          </w:p>
        </w:tc>
        <w:tc>
          <w:tcPr>
            <w:tcW w:w="20" w:type="dxa"/>
            <w:vAlign w:val="bottom"/>
            <w:shd w:val="clear" w:color="auto" w:fill="CCEEFF"/>
          </w:tcPr>
          <w:p>
            <w:pPr>
              <w:spacing w:after="0"/>
              <w:rPr>
                <w:sz w:val="12"/>
                <w:szCs w:val="12"/>
                <w:color w:val="auto"/>
              </w:rPr>
            </w:pPr>
          </w:p>
        </w:tc>
        <w:tc>
          <w:tcPr>
            <w:tcW w:w="790" w:type="dxa"/>
            <w:vAlign w:val="bottom"/>
            <w:gridSpan w:val="3"/>
            <w:shd w:val="clear" w:color="auto" w:fill="CCEEFF"/>
          </w:tcPr>
          <w:p>
            <w:pPr>
              <w:jc w:val="right"/>
              <w:ind w:right="42"/>
              <w:spacing w:after="0" w:line="149" w:lineRule="exact"/>
              <w:rPr>
                <w:sz w:val="20"/>
                <w:szCs w:val="20"/>
                <w:color w:val="auto"/>
              </w:rPr>
            </w:pPr>
            <w:r>
              <w:rPr>
                <w:rFonts w:ascii="Arial" w:cs="Arial" w:eastAsia="Arial" w:hAnsi="Arial"/>
                <w:sz w:val="14"/>
                <w:szCs w:val="14"/>
                <w:b w:val="1"/>
                <w:bCs w:val="1"/>
                <w:color w:val="auto"/>
              </w:rPr>
              <w:t>$</w:t>
            </w: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241</w:t>
            </w:r>
          </w:p>
        </w:tc>
        <w:tc>
          <w:tcPr>
            <w:tcW w:w="7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186</w:t>
            </w:r>
          </w:p>
        </w:tc>
        <w:tc>
          <w:tcPr>
            <w:tcW w:w="8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9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11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545</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140</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405</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Relationships</w:t>
            </w:r>
          </w:p>
        </w:tc>
        <w:tc>
          <w:tcPr>
            <w:tcW w:w="11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251</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7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239</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Arial" w:cs="Arial" w:eastAsia="Arial" w:hAnsi="Arial"/>
                <w:sz w:val="14"/>
                <w:szCs w:val="14"/>
                <w:color w:val="auto"/>
              </w:rPr>
              <w:t>Other</w:t>
            </w:r>
          </w:p>
        </w:tc>
        <w:tc>
          <w:tcPr>
            <w:tcW w:w="110" w:type="dxa"/>
            <w:vAlign w:val="bottom"/>
          </w:tcPr>
          <w:p>
            <w:pPr>
              <w:spacing w:after="0"/>
              <w:rPr>
                <w:sz w:val="15"/>
                <w:szCs w:val="15"/>
                <w:color w:val="auto"/>
              </w:rPr>
            </w:pPr>
          </w:p>
        </w:tc>
        <w:tc>
          <w:tcPr>
            <w:tcW w:w="57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112</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61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78</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4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5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70" w:type="dxa"/>
            <w:vAlign w:val="bottom"/>
            <w:tcBorders>
              <w:bottom w:val="single" w:sz="8" w:color="auto"/>
            </w:tcBorders>
          </w:tcPr>
          <w:p>
            <w:pPr>
              <w:spacing w:after="0"/>
              <w:rPr>
                <w:sz w:val="7"/>
                <w:szCs w:val="7"/>
                <w:color w:val="auto"/>
              </w:rPr>
            </w:pPr>
          </w:p>
        </w:tc>
        <w:tc>
          <w:tcPr>
            <w:tcW w:w="61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1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1,335</w:t>
            </w:r>
          </w:p>
        </w:tc>
        <w:tc>
          <w:tcPr>
            <w:tcW w:w="20" w:type="dxa"/>
            <w:vAlign w:val="bottom"/>
            <w:shd w:val="clear" w:color="auto" w:fill="CCEEFF"/>
          </w:tcPr>
          <w:p>
            <w:pPr>
              <w:spacing w:after="0"/>
              <w:rPr>
                <w:sz w:val="12"/>
                <w:szCs w:val="12"/>
                <w:color w:val="auto"/>
              </w:rPr>
            </w:pPr>
          </w:p>
        </w:tc>
        <w:tc>
          <w:tcPr>
            <w:tcW w:w="790" w:type="dxa"/>
            <w:vAlign w:val="bottom"/>
            <w:gridSpan w:val="3"/>
            <w:shd w:val="clear" w:color="auto" w:fill="CCEEFF"/>
          </w:tcPr>
          <w:p>
            <w:pPr>
              <w:jc w:val="right"/>
              <w:ind w:right="42"/>
              <w:spacing w:after="0" w:line="149" w:lineRule="exact"/>
              <w:rPr>
                <w:sz w:val="20"/>
                <w:szCs w:val="20"/>
                <w:color w:val="auto"/>
              </w:rPr>
            </w:pPr>
            <w:r>
              <w:rPr>
                <w:rFonts w:ascii="Arial" w:cs="Arial" w:eastAsia="Arial" w:hAnsi="Arial"/>
                <w:sz w:val="14"/>
                <w:szCs w:val="14"/>
                <w:b w:val="1"/>
                <w:bCs w:val="1"/>
                <w:color w:val="auto"/>
              </w:rPr>
              <w:t>$</w:t>
            </w: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427</w:t>
            </w:r>
          </w:p>
        </w:tc>
        <w:tc>
          <w:tcPr>
            <w:tcW w:w="7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908</w:t>
            </w:r>
          </w:p>
        </w:tc>
        <w:tc>
          <w:tcPr>
            <w:tcW w:w="8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90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-29210</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right"/>
        <w:ind w:right="4780"/>
        <w:spacing w:after="0"/>
        <w:rPr>
          <w:sz w:val="20"/>
          <w:szCs w:val="20"/>
          <w:color w:val="auto"/>
        </w:rPr>
      </w:pPr>
      <w:r>
        <w:rPr>
          <w:rFonts w:ascii="Arial" w:cs="Arial" w:eastAsia="Arial" w:hAnsi="Arial"/>
          <w:sz w:val="16"/>
          <w:szCs w:val="16"/>
          <w:color w:val="auto"/>
        </w:rPr>
        <w:t>Amortization expense was $113 million in 2006, $75 million in 2005 and $78 million in 2004.</w:t>
      </w:r>
    </w:p>
    <w:p>
      <w:pPr>
        <w:spacing w:after="0" w:line="38" w:lineRule="exact"/>
        <w:rPr>
          <w:sz w:val="20"/>
          <w:szCs w:val="20"/>
          <w:color w:val="auto"/>
        </w:rPr>
      </w:pPr>
    </w:p>
    <w:p>
      <w:pPr>
        <w:jc w:val="right"/>
        <w:ind w:right="4740"/>
        <w:spacing w:after="0"/>
        <w:rPr>
          <w:sz w:val="20"/>
          <w:szCs w:val="20"/>
          <w:color w:val="auto"/>
        </w:rPr>
      </w:pPr>
      <w:r>
        <w:rPr>
          <w:rFonts w:ascii="Arial" w:cs="Arial" w:eastAsia="Arial" w:hAnsi="Arial"/>
          <w:sz w:val="16"/>
          <w:szCs w:val="16"/>
          <w:color w:val="auto"/>
        </w:rPr>
        <w:t>The weighted average amortization period for all intangible assets is approximately 9 years.</w:t>
      </w:r>
    </w:p>
    <w:p>
      <w:pPr>
        <w:spacing w:after="0" w:line="32" w:lineRule="exact"/>
        <w:rPr>
          <w:sz w:val="20"/>
          <w:szCs w:val="20"/>
          <w:color w:val="auto"/>
        </w:rPr>
      </w:pPr>
    </w:p>
    <w:p>
      <w:pPr>
        <w:ind w:right="60" w:firstLine="228"/>
        <w:spacing w:after="0" w:line="261" w:lineRule="auto"/>
        <w:rPr>
          <w:sz w:val="20"/>
          <w:szCs w:val="20"/>
          <w:color w:val="auto"/>
        </w:rPr>
      </w:pPr>
      <w:r>
        <w:rPr>
          <w:rFonts w:ascii="Arial" w:cs="Arial" w:eastAsia="Arial" w:hAnsi="Arial"/>
          <w:sz w:val="18"/>
          <w:szCs w:val="18"/>
          <w:color w:val="auto"/>
        </w:rPr>
        <w:t>Based on the December 31, 2006 Net Book Value, amortization expense for the subsequent five years is estimated to be as follows: 2007 – $138 million, 2008 – $111 million, 2009 – $85 million, 2010 – $77 million and 2011 – $75 million.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Debt Facility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Debentures</w:t>
      </w:r>
    </w:p>
    <w:p>
      <w:pPr>
        <w:spacing w:after="0" w:line="7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During 2003, Schlumberger Limited issued $975 million aggregate principal amount of 1.5% Series A Convertible Debentures due June 1, 2023 and $450 million aggregate principal amount of 2.125% Series B Convertible Debentures due June 1, 2023. The aggregate offering price of the debentures was $1.425 billion, the initial purchasers’ discount was $25.4 million and the net proceeds to Schlumberger Limited were $1.4 billion.</w:t>
      </w:r>
    </w:p>
    <w:p>
      <w:pPr>
        <w:spacing w:after="0" w:line="1"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The Series A debentures and the Series B debentures are convertible, at the holders’ option, into shares of common stock of Schlumberger Limited. Holders of the Series A debentures may convert their debentures into common stock at a conversion rate of 27.651 shares for each $1,000 principal amount of Series A debentures (equivalent to an initial conversion price of $36.165 per share). Holders of the Series B debentures may convert their debentures into common stock at a conversion rate of 25.000 shares for each $1,000 principal amount of Series B debentures (equivalent to an initial conversion price of $40.00 per share). Each conversion rate may be adjusted for certain events, but it will not be adjusted for accrued interest.</w:t>
      </w:r>
    </w:p>
    <w:p>
      <w:pPr>
        <w:spacing w:after="0" w:line="3" w:lineRule="exact"/>
        <w:rPr>
          <w:sz w:val="20"/>
          <w:szCs w:val="20"/>
          <w:color w:val="auto"/>
        </w:rPr>
      </w:pPr>
    </w:p>
    <w:p>
      <w:pPr>
        <w:ind w:right="20" w:firstLine="228"/>
        <w:spacing w:after="0" w:line="285" w:lineRule="auto"/>
        <w:rPr>
          <w:sz w:val="20"/>
          <w:szCs w:val="20"/>
          <w:color w:val="auto"/>
        </w:rPr>
      </w:pPr>
      <w:r>
        <w:rPr>
          <w:rFonts w:ascii="Arial" w:cs="Arial" w:eastAsia="Arial" w:hAnsi="Arial"/>
          <w:sz w:val="16"/>
          <w:szCs w:val="16"/>
          <w:color w:val="auto"/>
        </w:rPr>
        <w:t>On or after June 6, 2008 (in the case of the Series A debentures) or June 6, 2010 (in the case of the Series B debentures), Schlumberger may redeem for cash all or part of the applicable series of debentures, upon notice to the holders, at the redemption prices of 100% of the principal amount of the debentures, plus accrued and unpaid interest to the date of redemption. On June 1, 2008, June 1, 2013, and June 1, 2018, holders of Series A debentures may require Schlumberger to repurchase their Series A debentures. On June 1, 2010, June 1, 2013 and June 1, 2018, holders of Series B debentures may require Schlumberger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Schlumberger may choose to pay the repurchase price in cash or common stock or any combination of cash and common stock. In addition, upon the occurrence of a Fundamental Change (defined as a change in control or a termination of trading of Schlumberger’s common stock), holders may require Schlumberger to repurchase all or a portion of their debentures for an amount equal to 100% of the principal amount of the debentures plus accrued and unpaid interest to the repurchase date. The repurchase price may be paid in cash, Schlumberger common stock (or if Schlumberger is not the surviving entity in a merger, the securities of the surviving entity) or a combination of cash and the applicable securities, at Schlumberger’s option. The applicable securities will be valued at 99% of their market price. Schlumberger’s option to pay the repurchase price with securities is subject to certain conditions. The debentures will mature on June 1, 2023 unless earlier redeemed or repurchased. The fair value of the Series A and Series B debentures at December 31, 2006 was $1.7 billion and $740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long-term debt by currency, analyzed by Bonds and Notes, Commercial Paper (CP) and Other, at December 31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0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tcPr>
          <w:p>
            <w:pPr>
              <w:spacing w:after="0"/>
              <w:rPr>
                <w:sz w:val="15"/>
                <w:szCs w:val="15"/>
                <w:color w:val="auto"/>
              </w:rPr>
            </w:pPr>
          </w:p>
        </w:tc>
        <w:tc>
          <w:tcPr>
            <w:tcW w:w="90" w:type="dxa"/>
            <w:vAlign w:val="bottom"/>
            <w:tcBorders>
              <w:top w:val="single" w:sz="8" w:color="auto"/>
            </w:tcBorders>
          </w:tcPr>
          <w:p>
            <w:pPr>
              <w:spacing w:after="0"/>
              <w:rPr>
                <w:sz w:val="15"/>
                <w:szCs w:val="15"/>
                <w:color w:val="auto"/>
              </w:rPr>
            </w:pPr>
          </w:p>
        </w:tc>
        <w:tc>
          <w:tcPr>
            <w:tcW w:w="55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300" w:type="dxa"/>
            <w:vAlign w:val="bottom"/>
          </w:tcPr>
          <w:p>
            <w:pPr>
              <w:spacing w:after="0"/>
              <w:rPr>
                <w:sz w:val="6"/>
                <w:szCs w:val="6"/>
                <w:color w:val="auto"/>
              </w:rPr>
            </w:pPr>
          </w:p>
        </w:tc>
        <w:tc>
          <w:tcPr>
            <w:tcW w:w="2500" w:type="dxa"/>
            <w:vAlign w:val="bottom"/>
          </w:tcPr>
          <w:p>
            <w:pPr>
              <w:spacing w:after="0"/>
              <w:rPr>
                <w:sz w:val="6"/>
                <w:szCs w:val="6"/>
                <w:color w:val="auto"/>
              </w:rPr>
            </w:pPr>
          </w:p>
        </w:tc>
        <w:tc>
          <w:tcPr>
            <w:tcW w:w="90" w:type="dxa"/>
            <w:vAlign w:val="bottom"/>
            <w:tcBorders>
              <w:bottom w:val="single" w:sz="8" w:color="auto"/>
            </w:tcBorders>
          </w:tcPr>
          <w:p>
            <w:pPr>
              <w:spacing w:after="0"/>
              <w:rPr>
                <w:sz w:val="6"/>
                <w:szCs w:val="6"/>
                <w:color w:val="auto"/>
              </w:rPr>
            </w:pPr>
          </w:p>
        </w:tc>
        <w:tc>
          <w:tcPr>
            <w:tcW w:w="55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5"/>
              </w:rPr>
              <w:t>Bonds 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Bonds 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9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5"/>
                <w:szCs w:val="15"/>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CP</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CP</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259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1,177</w:t>
            </w:r>
          </w:p>
        </w:tc>
        <w:tc>
          <w:tcPr>
            <w:tcW w:w="3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$548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130</w:t>
            </w:r>
          </w:p>
        </w:tc>
        <w:tc>
          <w:tcPr>
            <w:tcW w:w="7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$ 1,855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648</w:t>
            </w:r>
          </w:p>
        </w:tc>
        <w:tc>
          <w:tcPr>
            <w:tcW w:w="5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$753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1,474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250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652</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698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584</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UK pound</w:t>
            </w:r>
          </w:p>
        </w:tc>
        <w:tc>
          <w:tcPr>
            <w:tcW w:w="250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3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156</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7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Canadian dollar</w:t>
            </w:r>
          </w:p>
        </w:tc>
        <w:tc>
          <w:tcPr>
            <w:tcW w:w="250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89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129</w:t>
            </w:r>
          </w:p>
        </w:tc>
        <w:tc>
          <w:tcPr>
            <w:tcW w:w="7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129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Norwegian kroner</w:t>
            </w:r>
          </w:p>
        </w:tc>
        <w:tc>
          <w:tcPr>
            <w:tcW w:w="250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343</w:t>
            </w:r>
          </w:p>
        </w:tc>
        <w:tc>
          <w:tcPr>
            <w:tcW w:w="7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90" w:type="dxa"/>
            <w:vAlign w:val="bottom"/>
          </w:tcPr>
          <w:p>
            <w:pPr>
              <w:spacing w:after="0"/>
              <w:rPr>
                <w:sz w:val="8"/>
                <w:szCs w:val="8"/>
                <w:color w:val="auto"/>
              </w:rPr>
            </w:pPr>
          </w:p>
        </w:tc>
        <w:tc>
          <w:tcPr>
            <w:tcW w:w="55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59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1,862</w:t>
            </w:r>
          </w:p>
        </w:tc>
        <w:tc>
          <w:tcPr>
            <w:tcW w:w="3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$704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673</w:t>
            </w:r>
          </w:p>
        </w:tc>
        <w:tc>
          <w:tcPr>
            <w:tcW w:w="7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$ 3,239</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1,262</w:t>
            </w:r>
          </w:p>
        </w:tc>
        <w:tc>
          <w:tcPr>
            <w:tcW w:w="5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$753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2,166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5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9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-292735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-292735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-292735</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-292735</wp:posOffset>
            </wp:positionV>
            <wp:extent cx="18415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8415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-292735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-292735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-292735</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-292735</wp:posOffset>
            </wp:positionV>
            <wp:extent cx="209677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09677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Bonds and Notes consist of the following at December 31,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Guaranteed Floating Rate Notes due 2009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529</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6.5% Notes due 2012</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648</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5.875% Guaranteed Bonds due 2011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5.25% Guaranteed Bonds due 2008</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6.25% Guaranteed Bonds due 2008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1,862</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698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25" w:lineRule="exact"/>
        <w:rPr>
          <w:sz w:val="20"/>
          <w:szCs w:val="20"/>
          <w:color w:val="auto"/>
        </w:rPr>
      </w:pPr>
    </w:p>
    <w:p>
      <w:pPr>
        <w:ind w:right="40" w:firstLine="228"/>
        <w:spacing w:after="0" w:line="252" w:lineRule="auto"/>
        <w:rPr>
          <w:sz w:val="20"/>
          <w:szCs w:val="20"/>
          <w:color w:val="auto"/>
        </w:rPr>
      </w:pPr>
      <w:r>
        <w:rPr>
          <w:rFonts w:ascii="Arial" w:cs="Arial" w:eastAsia="Arial" w:hAnsi="Arial"/>
          <w:sz w:val="18"/>
          <w:szCs w:val="18"/>
          <w:color w:val="auto"/>
        </w:rPr>
        <w:t>In September 2006, Schlumberger Finance B.V. issued €400 million Guaranteed Floating Rate Notes due 2009. Interest is payable quarterly at the rate of 10 basis points over 3-month Euribor. Schlumberger entered into an agreement to swap these Euro notes for US dollars on the date of issue until maturity, effectively making this US dollar denominated debt on which Schlumberger Finance B.V. will pay interest in US dollars at the rate of 3-month LIBOR plus 0.0875%. The carrying value of these Notes approximated their fair value at December 31, 2006.</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fair value of the $648 million of Schlumberger Technology Corporation (STC) 6.5% Notes due 2012 was $681 million at December 31, 2006.</w:t>
      </w:r>
    </w:p>
    <w:p>
      <w:pPr>
        <w:spacing w:after="0" w:line="32"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The fair value of the Schlumberger SA euro denominated 5.25% Guaranteed Bonds due 2008 and the 5.875% Guaranteed Bonds due 2011 was $677 million at December 31, 2006.</w:t>
      </w:r>
    </w:p>
    <w:p>
      <w:pPr>
        <w:spacing w:after="0" w:line="1" w:lineRule="exact"/>
        <w:rPr>
          <w:sz w:val="20"/>
          <w:szCs w:val="20"/>
          <w:color w:val="auto"/>
        </w:rPr>
      </w:pPr>
    </w:p>
    <w:p>
      <w:pPr>
        <w:ind w:right="300" w:firstLine="228"/>
        <w:spacing w:after="0" w:line="250" w:lineRule="auto"/>
        <w:rPr>
          <w:sz w:val="20"/>
          <w:szCs w:val="20"/>
          <w:color w:val="auto"/>
        </w:rPr>
      </w:pPr>
      <w:r>
        <w:rPr>
          <w:rFonts w:ascii="Arial" w:cs="Arial" w:eastAsia="Arial" w:hAnsi="Arial"/>
          <w:sz w:val="18"/>
          <w:szCs w:val="18"/>
          <w:color w:val="auto"/>
        </w:rPr>
        <w:t>Commercial paper borrowings are classified as long-term debt to the extent of their backup by available and unused committed credit facilities maturing in more than one year and Schlumberger’s intent to maintain these obligations for longer than one year.</w:t>
      </w:r>
    </w:p>
    <w:p>
      <w:pPr>
        <w:spacing w:after="0" w:line="1" w:lineRule="exact"/>
        <w:rPr>
          <w:sz w:val="20"/>
          <w:szCs w:val="20"/>
          <w:color w:val="auto"/>
        </w:rPr>
      </w:pPr>
    </w:p>
    <w:p>
      <w:pPr>
        <w:ind w:right="380" w:firstLine="228"/>
        <w:spacing w:after="0" w:line="250" w:lineRule="auto"/>
        <w:rPr>
          <w:sz w:val="20"/>
          <w:szCs w:val="20"/>
          <w:color w:val="auto"/>
        </w:rPr>
      </w:pPr>
      <w:r>
        <w:rPr>
          <w:rFonts w:ascii="Arial" w:cs="Arial" w:eastAsia="Arial" w:hAnsi="Arial"/>
          <w:sz w:val="18"/>
          <w:szCs w:val="18"/>
          <w:color w:val="auto"/>
        </w:rPr>
        <w:t>Commercial paper borrowings outstanding at December 31, 2006 and 2005 include certain notes issued in currencies other than the US dollar which were swapped for US dollars on the date of issue until maturity.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interest rate on variable rate debt as of December 31, 2006 was 5.1%.</w:t>
      </w:r>
    </w:p>
    <w:p>
      <w:pPr>
        <w:spacing w:after="0" w:line="9"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Long-term debt, including the Convertible Debentures, as of December 31, 2006, is due as follows: $1.385 billion in 2008, $670 million in 2009, $567 million in 2010, $1.394 billion in 2011 and $648 million thereafter.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Facility Agreements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December 31, 2006, wholly owned subsidiaries of Schlumberger had separate debt facility agreements aggregating $4.9 billion with commercial banks, of which $3.7 billion was committed and $2.2 billion was available and unused. It included $2.5 billion of committed facilities which support commercial paper programs in the United States and Europe, and mature in April 2010 and April 2011, respectively. Interest rates and other terms of borrowing under these lines of credit vary from country to country.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Schlumberger uses derivative instruments such as interest rate swaps, currency swaps, forward currency contracts and foreign currency options.</w:t>
      </w:r>
    </w:p>
    <w:p>
      <w:pPr>
        <w:spacing w:after="0" w:line="38"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Schlumberger maintains a foreign-currency risk management strategy that uses derivative instruments to protect its interests from unanticipated fluctuations in earnings and cash flows caused by volatility in currency exchange rates. Forward currency contracts provide a hedge against currency fluctuations either on assets/liabilities denominated in other than a functional currency or on expenses. Schlumberger also maintains an interest rate risk management strategy that uses a mix of variable- and fixed-rate debt together with interest rate swaps, where appropriate, to fix or lower borrowing costs.</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does not enter into foreign currency or interest rate derivatives for speculative purposes.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320" w:firstLine="228"/>
        <w:spacing w:after="0" w:line="286" w:lineRule="auto"/>
        <w:rPr>
          <w:sz w:val="20"/>
          <w:szCs w:val="20"/>
          <w:color w:val="auto"/>
        </w:rPr>
      </w:pPr>
      <w:r>
        <w:rPr>
          <w:rFonts w:ascii="Arial" w:cs="Arial" w:eastAsia="Arial" w:hAnsi="Arial"/>
          <w:sz w:val="16"/>
          <w:szCs w:val="16"/>
          <w:color w:val="auto"/>
        </w:rPr>
        <w:t>On December 31, 2006, interest rate swap arrangements outstanding were pay floating/receive fixed on US dollar debt of $68 million. These arrangements mature at various dates to December 2009. Interest rate swap arrangements decreased consolidated interest expense in 2006 by $0.8 million.</w:t>
      </w:r>
    </w:p>
    <w:p>
      <w:pPr>
        <w:ind w:right="40" w:firstLine="228"/>
        <w:spacing w:after="0" w:line="281" w:lineRule="auto"/>
        <w:rPr>
          <w:sz w:val="20"/>
          <w:szCs w:val="20"/>
          <w:color w:val="auto"/>
        </w:rPr>
      </w:pPr>
      <w:r>
        <w:rPr>
          <w:rFonts w:ascii="Arial" w:cs="Arial" w:eastAsia="Arial" w:hAnsi="Arial"/>
          <w:sz w:val="16"/>
          <w:szCs w:val="16"/>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offsets the unrealized currency gains or losses on those assets and liabilities. On December 31, 2006, contracts were outstanding for the US dollar equivalent of $2.9 billion in various foreign currencies. These contracts mature on various dates in 2007.</w:t>
      </w:r>
    </w:p>
    <w:p>
      <w:pPr>
        <w:spacing w:after="0" w:line="3" w:lineRule="exact"/>
        <w:rPr>
          <w:sz w:val="20"/>
          <w:szCs w:val="20"/>
          <w:color w:val="auto"/>
        </w:rPr>
      </w:pPr>
    </w:p>
    <w:p>
      <w:pPr>
        <w:ind w:right="320" w:firstLine="228"/>
        <w:spacing w:after="0" w:line="323" w:lineRule="auto"/>
        <w:rPr>
          <w:sz w:val="20"/>
          <w:szCs w:val="20"/>
          <w:color w:val="auto"/>
        </w:rPr>
      </w:pPr>
      <w:r>
        <w:rPr>
          <w:rFonts w:ascii="Arial" w:cs="Arial" w:eastAsia="Arial" w:hAnsi="Arial"/>
          <w:sz w:val="16"/>
          <w:szCs w:val="16"/>
          <w:color w:val="auto"/>
        </w:rPr>
        <w:t>At December 31, 2006, Schlumberger recognized a cumulative net $21 million gain in Stockholders' Equity relating to derivative instruments and hedging activities. This gain was primarily due to the revaluation of foreign currency forward contracts at December 31, 2006.</w:t>
      </w:r>
    </w:p>
    <w:p>
      <w:pPr>
        <w:spacing w:after="0" w:line="69"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12, 2006, the stockholders of Schlumberger approved an amendment to the Schlumberger Articles of Incorporation to increase the authorized common share capital of Schlumberger from 1,500,000,000 shares to 3,000,000,000 shares. Schlumberger is now authorized to issue 3,000,000,000 shares of common stock, par value $0.01 per share, of which 1,177,893,459 and 1,177,604,218 shares were outstanding on December 31, 2006 and December 31, 2005, respectively. Schlumberger is also authorized to issue 200,000,000 shares of preferred stock, par value $0.01 per share, which may be issued in series with terms and conditions determined by the Board of Directors. No shares of preferred stock have been issued. Holders of common stock are entitled to one vote for each share of stock held.</w:t>
      </w:r>
    </w:p>
    <w:p>
      <w:pPr>
        <w:spacing w:after="0" w:line="120"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w:t>
      </w:r>
    </w:p>
    <w:p>
      <w:pPr>
        <w:spacing w:after="0" w:line="74"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Schlumberger historically had two types of stock-based compensation programs: stock options and a discounted stock purchase plan (“DSPP”). As described below, in the second quarter of 2006, Schlumberger implemented a restricted stock and restricted stock unit program (collectively referred to as “restricted stock”).</w:t>
      </w:r>
    </w:p>
    <w:p>
      <w:pPr>
        <w:ind w:right="180" w:firstLine="228"/>
        <w:spacing w:after="0" w:line="250" w:lineRule="auto"/>
        <w:rPr>
          <w:sz w:val="20"/>
          <w:szCs w:val="20"/>
          <w:color w:val="auto"/>
        </w:rPr>
      </w:pPr>
      <w:r>
        <w:rPr>
          <w:rFonts w:ascii="Arial" w:cs="Arial" w:eastAsia="Arial" w:hAnsi="Arial"/>
          <w:sz w:val="18"/>
          <w:szCs w:val="18"/>
          <w:color w:val="auto"/>
        </w:rPr>
        <w:t xml:space="preserve">Effective January 1, 2003, Schlumberger adopted the fair value recognition provisions of SFAS Nos. 123 and 148. Accordingly, Schlumberger began recording stock option and DSPP expense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in the third quarter of 2003 on a prospective basis for grants after January 1, 2003.</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 xml:space="preserve">In December 2004, the Financial Accounting Standards Board issued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The standard amends SFAS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 Based Compensation</w:t>
      </w:r>
      <w:r>
        <w:rPr>
          <w:rFonts w:ascii="Arial" w:cs="Arial" w:eastAsia="Arial" w:hAnsi="Arial"/>
          <w:sz w:val="16"/>
          <w:szCs w:val="16"/>
          <w:color w:val="auto"/>
        </w:rPr>
        <w:t>) and concludes that services received from employees in exchange for stock-based compensation results in a cost to the employer that</w:t>
      </w:r>
      <w:r>
        <w:rPr>
          <w:rFonts w:ascii="Arial" w:cs="Arial" w:eastAsia="Arial" w:hAnsi="Arial"/>
          <w:sz w:val="16"/>
          <w:szCs w:val="16"/>
          <w:i w:val="1"/>
          <w:iCs w:val="1"/>
          <w:color w:val="auto"/>
        </w:rPr>
        <w:t xml:space="preserve"> </w:t>
      </w:r>
      <w:r>
        <w:rPr>
          <w:rFonts w:ascii="Arial" w:cs="Arial" w:eastAsia="Arial" w:hAnsi="Arial"/>
          <w:sz w:val="16"/>
          <w:szCs w:val="16"/>
          <w:color w:val="auto"/>
        </w:rPr>
        <w:t>must be recognized in the financial statements. The cost of such awards should be measured at fair value at the date of grant.</w:t>
      </w:r>
    </w:p>
    <w:p>
      <w:pPr>
        <w:spacing w:after="0" w:line="2" w:lineRule="exact"/>
        <w:rPr>
          <w:sz w:val="20"/>
          <w:szCs w:val="20"/>
          <w:color w:val="auto"/>
        </w:rPr>
      </w:pPr>
    </w:p>
    <w:p>
      <w:pPr>
        <w:ind w:right="20" w:firstLine="228"/>
        <w:spacing w:after="0" w:line="295" w:lineRule="auto"/>
        <w:rPr>
          <w:sz w:val="20"/>
          <w:szCs w:val="20"/>
          <w:color w:val="auto"/>
        </w:rPr>
      </w:pPr>
      <w:r>
        <w:rPr>
          <w:rFonts w:ascii="Arial" w:cs="Arial" w:eastAsia="Arial" w:hAnsi="Arial"/>
          <w:sz w:val="16"/>
          <w:szCs w:val="16"/>
          <w:color w:val="auto"/>
        </w:rPr>
        <w:t>Schlumberger adopted SFAS 123R effective January 1, 2006, and is applying the modified prospective method, whereby compensation cost will be recognized for the unvested portion of awards granted during the period from January 1, 1995 to December 31, 2002. Such costs will be recognized in the financial statements of Schlumberger over the remaining vesting periods. Under this method, prior periods are not revised for comparative purposes. The adoption of this standard resulted in Schlumberger recording additional stock-based compensation charges of approximately $20 million in 2006.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7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Key employees are granted stock options under Schlumberger stock option plans. For all of the stock options granted, the exercise price of each option equals the average of the high and low sales prices of Schlumberger stock on the date of grant; an option’s maximum term is generally ten years, and options generally vest 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increments over four or five years. The gain on the awards granted during the period from July 2003 to January 2006 is capped at 125% of the exercise price.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Awards granted subsequent to January 2006 do not have a cap on any potential gain and generally vest in increments over five years.</w:t>
      </w:r>
    </w:p>
    <w:p>
      <w:pPr>
        <w:spacing w:after="0" w:line="9" w:lineRule="exact"/>
        <w:rPr>
          <w:sz w:val="20"/>
          <w:szCs w:val="20"/>
          <w:color w:val="auto"/>
        </w:rPr>
      </w:pPr>
    </w:p>
    <w:p>
      <w:pPr>
        <w:ind w:right="520" w:firstLine="228"/>
        <w:spacing w:after="0" w:line="261"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980" w:type="dxa"/>
            <w:vAlign w:val="bottom"/>
          </w:tcPr>
          <w:p>
            <w:pPr>
              <w:spacing w:after="0"/>
              <w:rPr>
                <w:sz w:val="4"/>
                <w:szCs w:val="4"/>
                <w:color w:val="auto"/>
              </w:rPr>
            </w:pPr>
          </w:p>
        </w:tc>
        <w:tc>
          <w:tcPr>
            <w:tcW w:w="3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3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0.8%</w:t>
            </w:r>
          </w:p>
        </w:tc>
        <w:tc>
          <w:tcPr>
            <w:tcW w:w="4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1.3%</w:t>
            </w: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39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33%</w:t>
            </w:r>
          </w:p>
        </w:tc>
        <w:tc>
          <w:tcPr>
            <w:tcW w:w="440" w:type="dxa"/>
            <w:vAlign w:val="bottom"/>
          </w:tcPr>
          <w:p>
            <w:pPr>
              <w:spacing w:after="0"/>
              <w:rPr>
                <w:sz w:val="12"/>
                <w:szCs w:val="12"/>
                <w:color w:val="auto"/>
              </w:rPr>
            </w:pPr>
          </w:p>
        </w:tc>
        <w:tc>
          <w:tcPr>
            <w:tcW w:w="9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31%</w:t>
            </w:r>
          </w:p>
        </w:tc>
        <w:tc>
          <w:tcPr>
            <w:tcW w:w="4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39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4.3%</w:t>
            </w:r>
          </w:p>
        </w:tc>
        <w:tc>
          <w:tcPr>
            <w:tcW w:w="4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3.8%</w:t>
            </w: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398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6.1 years</w:t>
            </w:r>
          </w:p>
        </w:tc>
        <w:tc>
          <w:tcPr>
            <w:tcW w:w="440" w:type="dxa"/>
            <w:vAlign w:val="bottom"/>
          </w:tcPr>
          <w:p>
            <w:pPr>
              <w:spacing w:after="0"/>
              <w:rPr>
                <w:sz w:val="12"/>
                <w:szCs w:val="12"/>
                <w:color w:val="auto"/>
              </w:rPr>
            </w:pPr>
          </w:p>
        </w:tc>
        <w:tc>
          <w:tcPr>
            <w:tcW w:w="960" w:type="dxa"/>
            <w:vAlign w:val="bottom"/>
          </w:tcPr>
          <w:p>
            <w:pPr>
              <w:jc w:val="right"/>
              <w:ind w:right="412"/>
              <w:spacing w:after="0" w:line="149" w:lineRule="exact"/>
              <w:rPr>
                <w:sz w:val="20"/>
                <w:szCs w:val="20"/>
                <w:color w:val="auto"/>
              </w:rPr>
            </w:pPr>
            <w:r>
              <w:rPr>
                <w:rFonts w:ascii="Arial" w:cs="Arial" w:eastAsia="Arial" w:hAnsi="Arial"/>
                <w:sz w:val="14"/>
                <w:szCs w:val="14"/>
                <w:color w:val="auto"/>
                <w:w w:val="79"/>
              </w:rPr>
              <w:t>4.5 years</w:t>
            </w:r>
          </w:p>
        </w:tc>
        <w:tc>
          <w:tcPr>
            <w:tcW w:w="42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3"/>
              </w:rPr>
              <w:t>4.5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398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rPr>
              <w:t>$   20.03</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7.12</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April 12, 2006, the stockholders of Schlumberger approved amendments to Schlumberger’s 2005 Stock Option Plan. These amendments included providing for the grant of restricted stock with respect to up to 3,000,000 shares of common stock, and providing that restricted stock may not be granted to executive officers of Schlumberger unless the grants are subject to performance-based vesting.</w:t>
      </w:r>
    </w:p>
    <w:p>
      <w:pPr>
        <w:ind w:right="120" w:firstLine="228"/>
        <w:spacing w:after="0" w:line="254" w:lineRule="auto"/>
        <w:rPr>
          <w:sz w:val="20"/>
          <w:szCs w:val="20"/>
          <w:color w:val="auto"/>
        </w:rPr>
      </w:pPr>
      <w:r>
        <w:rPr>
          <w:rFonts w:ascii="Arial" w:cs="Arial" w:eastAsia="Arial" w:hAnsi="Arial"/>
          <w:sz w:val="18"/>
          <w:szCs w:val="18"/>
          <w:color w:val="auto"/>
        </w:rPr>
        <w:t>During 2006, Schlumberger granted 661,000 shares of restricted stock with a weighted average fair market value of $65.22 per share. The fair value of restricted shares is based upon the closing market price of the underlying common stock as of the date of grant. Restricted stock awards generally vest at the end of three years, with the exception of certain grants which vest over a two-year period with a two-year holding period. There have not been any grants to date that are subject to performance-based vesting.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7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terms of the DSPP, employees can choose to have up to 10% of their annual earnings withheld to purchase Schlumberger common stock. The purchase price of the stock is 92.5% of the lower of the stock price at the beginning or end of the plan period at six-month intervals.</w:t>
      </w:r>
    </w:p>
    <w:p>
      <w:pPr>
        <w:ind w:right="160" w:firstLine="228"/>
        <w:spacing w:after="0" w:line="261"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 average fair value per share: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260" w:type="dxa"/>
            <w:vAlign w:val="bottom"/>
          </w:tcPr>
          <w:p>
            <w:pPr>
              <w:jc w:val="right"/>
              <w:ind w:right="272"/>
              <w:spacing w:after="0"/>
              <w:rPr>
                <w:sz w:val="20"/>
                <w:szCs w:val="20"/>
                <w:color w:val="auto"/>
              </w:rPr>
            </w:pPr>
            <w:r>
              <w:rPr>
                <w:rFonts w:ascii="Arial" w:cs="Arial" w:eastAsia="Arial" w:hAnsi="Arial"/>
                <w:sz w:val="14"/>
                <w:szCs w:val="14"/>
                <w:b w:val="1"/>
                <w:bCs w:val="1"/>
                <w:color w:val="auto"/>
              </w:rPr>
              <w:t>2006</w:t>
            </w: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20" w:type="dxa"/>
            <w:vAlign w:val="bottom"/>
          </w:tcPr>
          <w:p>
            <w:pPr>
              <w:spacing w:after="0"/>
              <w:rPr>
                <w:sz w:val="4"/>
                <w:szCs w:val="4"/>
                <w:color w:val="auto"/>
              </w:rPr>
            </w:pPr>
          </w:p>
        </w:tc>
        <w:tc>
          <w:tcPr>
            <w:tcW w:w="4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42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1.1%</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2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25%</w:t>
            </w: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42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3.9%</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20"/>
                <w:szCs w:val="20"/>
                <w:color w:val="auto"/>
              </w:rPr>
            </w:pPr>
            <w:r>
              <w:rPr>
                <w:rFonts w:ascii="Arial" w:cs="Arial" w:eastAsia="Arial" w:hAnsi="Arial"/>
                <w:sz w:val="14"/>
                <w:szCs w:val="14"/>
                <w:color w:val="auto"/>
              </w:rPr>
              <w:t>Weighted average fair value per share</w:t>
            </w:r>
          </w:p>
        </w:tc>
        <w:tc>
          <w:tcPr>
            <w:tcW w:w="4260" w:type="dxa"/>
            <w:vAlign w:val="bottom"/>
          </w:tcPr>
          <w:p>
            <w:pPr>
              <w:jc w:val="right"/>
              <w:ind w:right="272"/>
              <w:spacing w:after="0"/>
              <w:rPr>
                <w:sz w:val="20"/>
                <w:szCs w:val="20"/>
                <w:color w:val="auto"/>
              </w:rPr>
            </w:pPr>
            <w:r>
              <w:rPr>
                <w:rFonts w:ascii="Arial" w:cs="Arial" w:eastAsia="Arial" w:hAnsi="Arial"/>
                <w:sz w:val="14"/>
                <w:szCs w:val="14"/>
                <w:b w:val="1"/>
                <w:bCs w:val="1"/>
                <w:color w:val="auto"/>
              </w:rPr>
              <w:t>$6.19</w:t>
            </w: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$4.76</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Stock – Based Compensation Expense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00" w:type="dxa"/>
            <w:vAlign w:val="bottom"/>
            <w:tcBorders>
              <w:top w:val="single" w:sz="8" w:color="auto"/>
            </w:tcBorders>
          </w:tcPr>
          <w:p>
            <w:pPr>
              <w:spacing w:after="0"/>
              <w:rPr>
                <w:sz w:val="12"/>
                <w:szCs w:val="12"/>
                <w:color w:val="auto"/>
              </w:rPr>
            </w:pPr>
          </w:p>
        </w:tc>
        <w:tc>
          <w:tcPr>
            <w:tcW w:w="612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2006</w:t>
            </w:r>
          </w:p>
        </w:tc>
        <w:tc>
          <w:tcPr>
            <w:tcW w:w="84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w:t>
            </w:r>
          </w:p>
        </w:tc>
        <w:tc>
          <w:tcPr>
            <w:tcW w:w="61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$ 90</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61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DSPP</w:t>
            </w:r>
          </w:p>
        </w:tc>
        <w:tc>
          <w:tcPr>
            <w:tcW w:w="61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stock-based compensation expense</w:t>
            </w:r>
          </w:p>
        </w:tc>
        <w:tc>
          <w:tcPr>
            <w:tcW w:w="61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$114</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5580" w:type="dxa"/>
            <w:vAlign w:val="bottom"/>
            <w:vMerge w:val="restart"/>
          </w:tcPr>
          <w:p>
            <w:pPr>
              <w:jc w:val="right"/>
              <w:ind w:right="3652"/>
              <w:spacing w:after="0"/>
              <w:rPr>
                <w:sz w:val="20"/>
                <w:szCs w:val="20"/>
                <w:color w:val="auto"/>
              </w:rPr>
            </w:pPr>
            <w:r>
              <w:rPr>
                <w:rFonts w:ascii="Arial" w:cs="Arial" w:eastAsia="Arial" w:hAnsi="Arial"/>
                <w:sz w:val="14"/>
                <w:szCs w:val="14"/>
                <w:color w:val="auto"/>
              </w:rPr>
              <w:t>55</w:t>
            </w: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00" w:firstLine="228"/>
        <w:spacing w:after="0" w:line="253" w:lineRule="auto"/>
        <w:rPr>
          <w:sz w:val="20"/>
          <w:szCs w:val="20"/>
          <w:color w:val="auto"/>
        </w:rPr>
      </w:pPr>
      <w:r>
        <w:rPr>
          <w:rFonts w:ascii="Arial" w:cs="Arial" w:eastAsia="Arial" w:hAnsi="Arial"/>
          <w:sz w:val="18"/>
          <w:szCs w:val="18"/>
          <w:color w:val="auto"/>
        </w:rPr>
        <w:t>As of December, 31 2006, there was $221 million of total unrecognized compensation cost related to nonvested stock-based compensation arrangements. Approximately $89 million is expected to be recognized in 2007, $73 million is expected to be recognized in 2008, $49 million in 2009, $7 million in 2010 and $3 million in 2011.</w:t>
      </w:r>
    </w:p>
    <w:p>
      <w:pPr>
        <w:ind w:left="240"/>
        <w:spacing w:after="0"/>
        <w:rPr>
          <w:sz w:val="20"/>
          <w:szCs w:val="20"/>
          <w:color w:val="auto"/>
        </w:rPr>
      </w:pPr>
      <w:r>
        <w:rPr>
          <w:rFonts w:ascii="Arial" w:cs="Arial" w:eastAsia="Arial" w:hAnsi="Arial"/>
          <w:sz w:val="16"/>
          <w:szCs w:val="16"/>
          <w:color w:val="auto"/>
        </w:rPr>
        <w:t>The following table summarizes information concerning outstanding and exercisable options by five ranges of exercise prices as of December 31, 2006: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jc w:val="right"/>
              <w:ind w:right="152"/>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Number</w:t>
            </w:r>
          </w:p>
        </w:tc>
        <w:tc>
          <w:tcPr>
            <w:tcW w:w="2080" w:type="dxa"/>
            <w:vAlign w:val="bottom"/>
          </w:tcPr>
          <w:p>
            <w:pPr>
              <w:jc w:val="right"/>
              <w:ind w:right="432"/>
              <w:spacing w:after="0"/>
              <w:rPr>
                <w:sz w:val="20"/>
                <w:szCs w:val="20"/>
                <w:color w:val="auto"/>
              </w:rPr>
            </w:pPr>
            <w:r>
              <w:rPr>
                <w:rFonts w:ascii="Arial" w:cs="Arial" w:eastAsia="Arial" w:hAnsi="Arial"/>
                <w:sz w:val="14"/>
                <w:szCs w:val="14"/>
                <w:b w:val="1"/>
                <w:bCs w:val="1"/>
                <w:color w:val="auto"/>
              </w:rPr>
              <w:t>Weighted-</w:t>
            </w:r>
          </w:p>
        </w:tc>
        <w:tc>
          <w:tcPr>
            <w:tcW w:w="1520" w:type="dxa"/>
            <w:vAlign w:val="bottom"/>
            <w:gridSpan w:val="3"/>
          </w:tcPr>
          <w:p>
            <w:pPr>
              <w:ind w:left="220"/>
              <w:spacing w:after="0"/>
              <w:rPr>
                <w:sz w:val="20"/>
                <w:szCs w:val="20"/>
                <w:color w:val="auto"/>
              </w:rPr>
            </w:pPr>
            <w:r>
              <w:rPr>
                <w:rFonts w:ascii="Arial" w:cs="Arial" w:eastAsia="Arial" w:hAnsi="Arial"/>
                <w:sz w:val="14"/>
                <w:szCs w:val="14"/>
                <w:b w:val="1"/>
                <w:bCs w:val="1"/>
                <w:color w:val="auto"/>
              </w:rPr>
              <w:t>Weighted-</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080" w:type="dxa"/>
            <w:vAlign w:val="bottom"/>
          </w:tcPr>
          <w:p>
            <w:pPr>
              <w:jc w:val="right"/>
              <w:ind w:right="432"/>
              <w:spacing w:after="0" w:line="13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1"/>
                <w:szCs w:val="11"/>
                <w:color w:val="auto"/>
              </w:rPr>
            </w:pPr>
          </w:p>
        </w:tc>
        <w:tc>
          <w:tcPr>
            <w:tcW w:w="1200" w:type="dxa"/>
            <w:vAlign w:val="bottom"/>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Number</w:t>
            </w:r>
          </w:p>
        </w:tc>
        <w:tc>
          <w:tcPr>
            <w:tcW w:w="800" w:type="dxa"/>
            <w:vAlign w:val="bottom"/>
          </w:tcPr>
          <w:p>
            <w:pPr>
              <w:spacing w:after="0"/>
              <w:rPr>
                <w:sz w:val="11"/>
                <w:szCs w:val="11"/>
                <w:color w:val="auto"/>
              </w:rPr>
            </w:pP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80" w:type="dxa"/>
            <w:vAlign w:val="bottom"/>
          </w:tcPr>
          <w:p>
            <w:pPr>
              <w:jc w:val="right"/>
              <w:ind w:right="432"/>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exercise</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exercisable</w:t>
            </w:r>
          </w:p>
        </w:tc>
        <w:tc>
          <w:tcPr>
            <w:tcW w:w="8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as of 12/31/06</w:t>
            </w:r>
          </w:p>
        </w:tc>
        <w:tc>
          <w:tcPr>
            <w:tcW w:w="2080" w:type="dxa"/>
            <w:vAlign w:val="bottom"/>
          </w:tcPr>
          <w:p>
            <w:pPr>
              <w:jc w:val="right"/>
              <w:ind w:right="432"/>
              <w:spacing w:after="0"/>
              <w:rPr>
                <w:sz w:val="20"/>
                <w:szCs w:val="20"/>
                <w:color w:val="auto"/>
              </w:rPr>
            </w:pPr>
            <w:r>
              <w:rPr>
                <w:rFonts w:ascii="Arial" w:cs="Arial" w:eastAsia="Arial" w:hAnsi="Arial"/>
                <w:sz w:val="14"/>
                <w:szCs w:val="14"/>
                <w:b w:val="1"/>
                <w:bCs w:val="1"/>
                <w:color w:val="auto"/>
              </w:rPr>
              <w:t>contractual life</w:t>
            </w:r>
          </w:p>
        </w:tc>
        <w:tc>
          <w:tcPr>
            <w:tcW w:w="320" w:type="dxa"/>
            <w:vAlign w:val="bottom"/>
          </w:tcPr>
          <w:p>
            <w:pPr>
              <w:spacing w:after="0"/>
              <w:rPr>
                <w:sz w:val="16"/>
                <w:szCs w:val="16"/>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price</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as of 12/31/06</w:t>
            </w:r>
          </w:p>
        </w:tc>
        <w:tc>
          <w:tcPr>
            <w:tcW w:w="8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$18.917 – $27.810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8,702,493</w:t>
            </w:r>
          </w:p>
        </w:tc>
        <w:tc>
          <w:tcPr>
            <w:tcW w:w="20" w:type="dxa"/>
            <w:vAlign w:val="bottom"/>
            <w:shd w:val="clear" w:color="auto" w:fill="CCEEFF"/>
          </w:tcPr>
          <w:p>
            <w:pPr>
              <w:spacing w:after="0"/>
              <w:rPr>
                <w:sz w:val="12"/>
                <w:szCs w:val="12"/>
                <w:color w:val="auto"/>
              </w:rPr>
            </w:pPr>
          </w:p>
        </w:tc>
        <w:tc>
          <w:tcPr>
            <w:tcW w:w="208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4.46</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24.320</w:t>
            </w: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6,911,032</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$27.873 – $32.125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10,186,193</w:t>
            </w:r>
          </w:p>
        </w:tc>
        <w:tc>
          <w:tcPr>
            <w:tcW w:w="20" w:type="dxa"/>
            <w:vAlign w:val="bottom"/>
          </w:tcPr>
          <w:p>
            <w:pPr>
              <w:spacing w:after="0"/>
              <w:rPr>
                <w:sz w:val="12"/>
                <w:szCs w:val="12"/>
                <w:color w:val="auto"/>
              </w:rPr>
            </w:pPr>
          </w:p>
        </w:tc>
        <w:tc>
          <w:tcPr>
            <w:tcW w:w="20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5.09</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28.856</w:t>
            </w:r>
          </w:p>
        </w:tc>
        <w:tc>
          <w:tcPr>
            <w:tcW w:w="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8,102,725</w:t>
            </w:r>
          </w:p>
        </w:tc>
        <w:tc>
          <w:tcPr>
            <w:tcW w:w="8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$32.455 – $34.828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10,245,174</w:t>
            </w:r>
          </w:p>
        </w:tc>
        <w:tc>
          <w:tcPr>
            <w:tcW w:w="20" w:type="dxa"/>
            <w:vAlign w:val="bottom"/>
            <w:shd w:val="clear" w:color="auto" w:fill="CCEEFF"/>
          </w:tcPr>
          <w:p>
            <w:pPr>
              <w:spacing w:after="0"/>
              <w:rPr>
                <w:sz w:val="12"/>
                <w:szCs w:val="12"/>
                <w:color w:val="auto"/>
              </w:rPr>
            </w:pPr>
          </w:p>
        </w:tc>
        <w:tc>
          <w:tcPr>
            <w:tcW w:w="208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7.90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32.819</w:t>
            </w: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3,053,046</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$35.658 – $41.174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10,585,641</w:t>
            </w:r>
          </w:p>
        </w:tc>
        <w:tc>
          <w:tcPr>
            <w:tcW w:w="20" w:type="dxa"/>
            <w:vAlign w:val="bottom"/>
          </w:tcPr>
          <w:p>
            <w:pPr>
              <w:spacing w:after="0"/>
              <w:rPr>
                <w:sz w:val="12"/>
                <w:szCs w:val="12"/>
                <w:color w:val="auto"/>
              </w:rPr>
            </w:pPr>
          </w:p>
        </w:tc>
        <w:tc>
          <w:tcPr>
            <w:tcW w:w="20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2.49</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40.406</w:t>
            </w:r>
          </w:p>
        </w:tc>
        <w:tc>
          <w:tcPr>
            <w:tcW w:w="7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10,270,266</w:t>
            </w:r>
          </w:p>
        </w:tc>
        <w:tc>
          <w:tcPr>
            <w:tcW w:w="8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$54.235 – $66.030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8,959,100</w:t>
            </w:r>
          </w:p>
        </w:tc>
        <w:tc>
          <w:tcPr>
            <w:tcW w:w="20" w:type="dxa"/>
            <w:vAlign w:val="bottom"/>
            <w:shd w:val="clear" w:color="auto" w:fill="CCEEFF"/>
          </w:tcPr>
          <w:p>
            <w:pPr>
              <w:spacing w:after="0"/>
              <w:rPr>
                <w:sz w:val="12"/>
                <w:szCs w:val="12"/>
                <w:color w:val="auto"/>
              </w:rPr>
            </w:pPr>
          </w:p>
        </w:tc>
        <w:tc>
          <w:tcPr>
            <w:tcW w:w="208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9.12</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55.866</w:t>
            </w: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48,678,601</w:t>
            </w:r>
          </w:p>
        </w:tc>
        <w:tc>
          <w:tcPr>
            <w:tcW w:w="20" w:type="dxa"/>
            <w:vAlign w:val="bottom"/>
            <w:shd w:val="clear" w:color="auto" w:fill="CCEEFF"/>
          </w:tcPr>
          <w:p>
            <w:pPr>
              <w:spacing w:after="0"/>
              <w:rPr>
                <w:sz w:val="12"/>
                <w:szCs w:val="12"/>
                <w:color w:val="auto"/>
              </w:rPr>
            </w:pPr>
          </w:p>
        </w:tc>
        <w:tc>
          <w:tcPr>
            <w:tcW w:w="208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5.75</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36.362</w:t>
            </w:r>
          </w:p>
        </w:tc>
        <w:tc>
          <w:tcPr>
            <w:tcW w:w="7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28,337,069</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32.570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remaining contractual life of stock options exercisable as of December 31, 2006 was 4.05 years.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stock option activity during the years ended December 31, 2006, 2005 and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2004</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Weighted-</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Weighted-</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average</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average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exercise</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exercise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52,978,806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w w:val="79"/>
              </w:rPr>
              <w:t>31.39</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60,124,050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75,113,094</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9,055,140</w:t>
            </w:r>
          </w:p>
        </w:tc>
        <w:tc>
          <w:tcPr>
            <w:tcW w:w="3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w w:val="79"/>
              </w:rPr>
              <w:t>55.86</w:t>
            </w:r>
          </w:p>
        </w:tc>
        <w:tc>
          <w:tcPr>
            <w:tcW w:w="4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7,302,980</w:t>
            </w:r>
          </w:p>
        </w:tc>
        <w:tc>
          <w:tcPr>
            <w:tcW w:w="3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33.34</w:t>
            </w:r>
          </w:p>
        </w:tc>
        <w:tc>
          <w:tcPr>
            <w:tcW w:w="4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5,918,500</w:t>
            </w:r>
          </w:p>
        </w:tc>
        <w:tc>
          <w:tcPr>
            <w:tcW w:w="3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w w:val="95"/>
              </w:rPr>
              <w:t>(11,277,006)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w w:val="79"/>
              </w:rPr>
              <w:t>29.89</w:t>
            </w:r>
          </w:p>
        </w:tc>
        <w:tc>
          <w:tcPr>
            <w:tcW w:w="4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3"/>
              </w:rPr>
              <w:t>(11,004,696)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24.28</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(11,297,716)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Forfeited</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(2,078,339)</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ind w:left="280"/>
              <w:spacing w:after="0"/>
              <w:rPr>
                <w:sz w:val="20"/>
                <w:szCs w:val="20"/>
                <w:color w:val="auto"/>
              </w:rPr>
            </w:pPr>
            <w:r>
              <w:rPr>
                <w:rFonts w:ascii="Arial" w:cs="Arial" w:eastAsia="Arial" w:hAnsi="Arial"/>
                <w:sz w:val="14"/>
                <w:szCs w:val="14"/>
                <w:b w:val="1"/>
                <w:bCs w:val="1"/>
                <w:color w:val="auto"/>
                <w:w w:val="79"/>
              </w:rPr>
              <w:t>29.53</w:t>
            </w:r>
          </w:p>
        </w:tc>
        <w:tc>
          <w:tcPr>
            <w:tcW w:w="46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(3,443,528)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32.02</w:t>
            </w:r>
          </w:p>
        </w:tc>
        <w:tc>
          <w:tcPr>
            <w:tcW w:w="44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(9,609,828)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year-end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48,678,601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w w:val="79"/>
              </w:rPr>
              <w:t>36.36</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52,978,806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31.39</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60,124,050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The aggregate intrinsic value of stock options outstanding as of December 31, 2006 was approximately $1.31 billion. The aggregate intrinsic value of stock options exercisable as of December 31, 2006 was approximately $867 million.</w:t>
      </w:r>
    </w:p>
    <w:p>
      <w:pPr>
        <w:ind w:right="200" w:firstLine="228"/>
        <w:spacing w:after="0" w:line="261" w:lineRule="auto"/>
        <w:rPr>
          <w:sz w:val="20"/>
          <w:szCs w:val="20"/>
          <w:color w:val="auto"/>
        </w:rPr>
      </w:pPr>
      <w:r>
        <w:rPr>
          <w:rFonts w:ascii="Arial" w:cs="Arial" w:eastAsia="Arial" w:hAnsi="Arial"/>
          <w:sz w:val="18"/>
          <w:szCs w:val="18"/>
          <w:color w:val="auto"/>
        </w:rPr>
        <w:t>The total intrinsic value of options exercised during the years ended December 31, 2006, 2005 and 2004, was approximately $366 million, $193 million and $149 million, respectively.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Schlumberger applied the intrinsic value method of APB Opinion 25 for grants prior to January 1, 2003. Had compensation cost for stock-based awards granted prior to January 1, 2003 been determined based on the fair value at the grant dates, consistent with the fair value method of SFAS 123, Schlumberger’s net income and earnings per share would have been the pro forma amounts indicated below:</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3,710</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2,207</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1,224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80" w:type="dxa"/>
            <w:vAlign w:val="bottom"/>
          </w:tcPr>
          <w:p>
            <w:pPr>
              <w:ind w:left="640"/>
              <w:spacing w:after="0"/>
              <w:rPr>
                <w:sz w:val="20"/>
                <w:szCs w:val="20"/>
                <w:color w:val="auto"/>
              </w:rPr>
            </w:pPr>
            <w:r>
              <w:rPr>
                <w:rFonts w:ascii="Arial" w:cs="Arial" w:eastAsia="Arial" w:hAnsi="Arial"/>
                <w:sz w:val="14"/>
                <w:szCs w:val="14"/>
                <w:color w:val="auto"/>
              </w:rPr>
              <w:t>Cost of Stock Options</w:t>
            </w:r>
          </w:p>
        </w:tc>
        <w:tc>
          <w:tcPr>
            <w:tcW w:w="60" w:type="dxa"/>
            <w:vAlign w:val="bottom"/>
          </w:tcPr>
          <w:p>
            <w:pPr>
              <w:spacing w:after="0"/>
              <w:rPr>
                <w:sz w:val="15"/>
                <w:szCs w:val="15"/>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3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3,710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2,167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1,166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3.14</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80" w:type="dxa"/>
            <w:vAlign w:val="bottom"/>
          </w:tcPr>
          <w:p>
            <w:pPr>
              <w:ind w:left="640"/>
              <w:spacing w:after="0"/>
              <w:rPr>
                <w:sz w:val="20"/>
                <w:szCs w:val="20"/>
                <w:color w:val="auto"/>
              </w:rPr>
            </w:pPr>
            <w:r>
              <w:rPr>
                <w:rFonts w:ascii="Arial" w:cs="Arial" w:eastAsia="Arial" w:hAnsi="Arial"/>
                <w:sz w:val="14"/>
                <w:szCs w:val="14"/>
                <w:color w:val="auto"/>
              </w:rPr>
              <w:t>Cost of Stock Options</w:t>
            </w:r>
          </w:p>
        </w:tc>
        <w:tc>
          <w:tcPr>
            <w:tcW w:w="60" w:type="dxa"/>
            <w:vAlign w:val="bottom"/>
          </w:tcPr>
          <w:p>
            <w:pPr>
              <w:spacing w:after="0"/>
              <w:rPr>
                <w:sz w:val="15"/>
                <w:szCs w:val="15"/>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(0.03)</w:t>
            </w:r>
          </w:p>
        </w:tc>
        <w:tc>
          <w:tcPr>
            <w:tcW w:w="8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2"/>
              </w:rPr>
              <w:t>(0.05)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3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3.01</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80" w:type="dxa"/>
            <w:vAlign w:val="bottom"/>
          </w:tcPr>
          <w:p>
            <w:pPr>
              <w:ind w:left="640"/>
              <w:spacing w:after="0"/>
              <w:rPr>
                <w:sz w:val="20"/>
                <w:szCs w:val="20"/>
                <w:color w:val="auto"/>
              </w:rPr>
            </w:pPr>
            <w:r>
              <w:rPr>
                <w:rFonts w:ascii="Arial" w:cs="Arial" w:eastAsia="Arial" w:hAnsi="Arial"/>
                <w:sz w:val="14"/>
                <w:szCs w:val="14"/>
                <w:color w:val="auto"/>
              </w:rPr>
              <w:t>Cost of Stock Options</w:t>
            </w:r>
          </w:p>
        </w:tc>
        <w:tc>
          <w:tcPr>
            <w:tcW w:w="60" w:type="dxa"/>
            <w:vAlign w:val="bottom"/>
          </w:tcPr>
          <w:p>
            <w:pPr>
              <w:spacing w:after="0"/>
              <w:rPr>
                <w:sz w:val="15"/>
                <w:szCs w:val="15"/>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(0.03)</w:t>
            </w:r>
          </w:p>
        </w:tc>
        <w:tc>
          <w:tcPr>
            <w:tcW w:w="8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2"/>
              </w:rPr>
              <w:t>(0.05)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3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-1590040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-1590040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-1590040</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-1590040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-1590040</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-1590040</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-1590040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-1590040</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-1590040</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-809625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-809625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-809625</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-809625</wp:posOffset>
            </wp:positionV>
            <wp:extent cx="2698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-809625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-809625</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-809625</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3873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74"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 xml:space="preserve">During the second quarter of 2005, Credence Systems Corporation, the current owners of Schlumberger’s former NPTest semiconductor testing business, agreed to settle an outstanding contingent liability by paying Schlumberger $4 million in cash and 615,157 shares of common stock valued at approximately $5 million, resulting in a $9 million gain. Schlumberger sold its NPTest semiconductor testing business in July 2003 and reported it as a discontinued operation. This $9 million pretax and after-tax gain is reported as </w:t>
      </w:r>
      <w:r>
        <w:rPr>
          <w:rFonts w:ascii="Arial" w:cs="Arial" w:eastAsia="Arial" w:hAnsi="Arial"/>
          <w:sz w:val="15"/>
          <w:szCs w:val="15"/>
          <w:i w:val="1"/>
          <w:iCs w:val="1"/>
          <w:color w:val="auto"/>
        </w:rPr>
        <w:t>Income from Discontinued Operations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in the second quarter of 2005.</w:t>
      </w:r>
    </w:p>
    <w:p>
      <w:pPr>
        <w:spacing w:after="0" w:line="3"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 xml:space="preserve">During the first quarter of 2005, Schlumberger completed the sales of its Global Tel*Link, Public Phones and Essentis activities for $18 million in cash. The results of these businesses were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 the fourth quarter of 2004 include accruals of approximately $15 million relating to the net losses on the sale of Public Phones and Essentis and a $17 million impairment charge relating to goodwill and intangible assets associated with the Essentis business.</w:t>
      </w:r>
    </w:p>
    <w:p>
      <w:pPr>
        <w:spacing w:after="0" w:line="2" w:lineRule="exact"/>
        <w:rPr>
          <w:sz w:val="20"/>
          <w:szCs w:val="20"/>
          <w:color w:val="auto"/>
        </w:rPr>
      </w:pPr>
    </w:p>
    <w:p>
      <w:pPr>
        <w:ind w:right="660" w:firstLine="228"/>
        <w:spacing w:after="0" w:line="321" w:lineRule="auto"/>
        <w:rPr>
          <w:sz w:val="20"/>
          <w:szCs w:val="20"/>
          <w:color w:val="auto"/>
        </w:rPr>
      </w:pPr>
      <w:r>
        <w:rPr>
          <w:rFonts w:ascii="Arial" w:cs="Arial" w:eastAsia="Arial" w:hAnsi="Arial"/>
          <w:sz w:val="16"/>
          <w:szCs w:val="16"/>
          <w:color w:val="auto"/>
        </w:rPr>
        <w:t xml:space="preserve">Schlumberger divested of a number of businesses during 2004. The results of the following businesses are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All gains and losses disclosed below are presented net of related income taxes, where applicable.</w:t>
      </w:r>
    </w:p>
    <w:p>
      <w:pPr>
        <w:spacing w:after="0" w:line="1" w:lineRule="exact"/>
        <w:rPr>
          <w:sz w:val="20"/>
          <w:szCs w:val="20"/>
          <w:color w:val="auto"/>
        </w:rPr>
      </w:pPr>
    </w:p>
    <w:p>
      <w:pPr>
        <w:ind w:left="780" w:right="140" w:hanging="326"/>
        <w:spacing w:after="0" w:line="294"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sale of the SchlumbergerSema business was completed in January 2004. Schlumberger received €393 million after adjustments ($495 million) in cash and 19.3 million shares of common stock of Atos Origin with a value of €1.02 billion ($1.27 billion), which represented approximately 29% of the outstanding common shares of Atos Origin after the transaction was completed. The results of SchlumbergerSema include, in the first quarter of 2004, a gain of $26 million on the sale, and in the second quarter of 2004, a credit of $15 million related to adjustments to several accruals. The net assets were approximately $2.2 billion, including $1.3 billion of goodwill.</w:t>
      </w:r>
    </w:p>
    <w:p>
      <w:pPr>
        <w:spacing w:after="0" w:line="21" w:lineRule="exact"/>
        <w:rPr>
          <w:sz w:val="20"/>
          <w:szCs w:val="20"/>
          <w:color w:val="auto"/>
        </w:rPr>
      </w:pPr>
    </w:p>
    <w:p>
      <w:pPr>
        <w:jc w:val="both"/>
        <w:ind w:left="800" w:right="280"/>
        <w:spacing w:after="0" w:line="259" w:lineRule="auto"/>
        <w:rPr>
          <w:sz w:val="20"/>
          <w:szCs w:val="20"/>
          <w:color w:val="auto"/>
        </w:rPr>
      </w:pPr>
      <w:r>
        <w:rPr>
          <w:rFonts w:ascii="Arial" w:cs="Arial" w:eastAsia="Arial" w:hAnsi="Arial"/>
          <w:sz w:val="18"/>
          <w:szCs w:val="18"/>
          <w:color w:val="auto"/>
        </w:rPr>
        <w:t>On February 2, 2004, Schlumberger sold 9.6 million of the Atos Origin shares for a net consideration of €500 million ($625 million). As a result of this sale, Schlumberger’s investment was reduced to approximately 15% of the outstanding common shares of Atos Origin. The equity in earnings representing Schlumberger’s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800" w:right="340"/>
        <w:spacing w:after="0" w:line="256" w:lineRule="auto"/>
        <w:rPr>
          <w:sz w:val="20"/>
          <w:szCs w:val="20"/>
          <w:color w:val="auto"/>
        </w:rPr>
      </w:pPr>
      <w:r>
        <w:rPr>
          <w:rFonts w:ascii="Arial" w:cs="Arial" w:eastAsia="Arial" w:hAnsi="Arial"/>
          <w:sz w:val="18"/>
          <w:szCs w:val="18"/>
          <w:color w:val="auto"/>
        </w:rPr>
        <w:t xml:space="preserve">interest in Atos Origin for the four days ending February 2, 2004 was not material. This investment was accounted for using the cost method as of February 2, 2004. On April 30, 2004 Schlumberger sold its remaining holding of 9.7 million Atos Origin shares for consideration of €465 million ($551 million) net of expenses. The losses on the sales of the Atos Origin shares of $21 million are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 xml:space="preserve">Consolidated Statement of Income </w:t>
      </w:r>
      <w:r>
        <w:rPr>
          <w:rFonts w:ascii="Arial" w:cs="Arial" w:eastAsia="Arial" w:hAnsi="Arial"/>
          <w:sz w:val="18"/>
          <w:szCs w:val="18"/>
          <w:color w:val="auto"/>
        </w:rPr>
        <w:t>(see Note 3</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49" w:lineRule="exact"/>
        <w:rPr>
          <w:sz w:val="20"/>
          <w:szCs w:val="20"/>
          <w:color w:val="auto"/>
        </w:rPr>
      </w:pPr>
    </w:p>
    <w:p>
      <w:pPr>
        <w:ind w:left="780" w:right="140" w:hanging="326"/>
        <w:spacing w:after="0" w:line="25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February 2004, Schlumberger sold its Telecom Billing Software business for $37 million in cash, excluding potential future cash proceeds of up to $10 million, of which $7 million was received in the third quarter of 2004. A $17 million gain on the sale was recognized in the first quarter of 2004 and a gain of $7 million related to the additional cash proceeds received was recognized in the third quarter. The net assets were approximately $17 million.</w:t>
      </w:r>
    </w:p>
    <w:p>
      <w:pPr>
        <w:spacing w:after="0" w:line="48"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March 2004, Schlumberger sold its Infodata business for $104 million in cash. A $48 million gain on the sale was recognized in the first quarter of 2004 and an additional $3 million gain was recognized in the fourth quarter of 2004. The net assets were approximately $47 million, including goodwill of $42 million.</w:t>
      </w:r>
    </w:p>
    <w:p>
      <w:pPr>
        <w:spacing w:after="0" w:line="45" w:lineRule="exact"/>
        <w:rPr>
          <w:rFonts w:ascii="Arial" w:cs="Arial" w:eastAsia="Arial" w:hAnsi="Arial"/>
          <w:sz w:val="18"/>
          <w:szCs w:val="18"/>
          <w:color w:val="auto"/>
        </w:rPr>
      </w:pPr>
    </w:p>
    <w:p>
      <w:pPr>
        <w:ind w:left="780" w:right="280" w:hanging="326"/>
        <w:spacing w:after="0" w:line="325"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April 2004, Schlumberger completed the sale of its Business Continuity (BCO) business for $237 million in cash. A $48 million gain on the sale was recognized in the second quarter of 2004. The net assets were approximately $160 million, including goodwill of $83 million.</w:t>
      </w:r>
    </w:p>
    <w:p>
      <w:pPr>
        <w:spacing w:after="0" w:line="1" w:lineRule="exact"/>
        <w:rPr>
          <w:rFonts w:ascii="Arial" w:cs="Arial" w:eastAsia="Arial" w:hAnsi="Arial"/>
          <w:sz w:val="16"/>
          <w:szCs w:val="16"/>
          <w:color w:val="auto"/>
        </w:rPr>
      </w:pPr>
    </w:p>
    <w:p>
      <w:pPr>
        <w:ind w:left="780" w:right="160" w:hanging="326"/>
        <w:spacing w:after="0" w:line="25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May 2004, Schlumberger’s wholly owned subsidiary, Schlumberger BV, sold, via a public offering, 34.8 million ordinary shares that it had held in its smart card business Axalto Holding NV, which represented 87% of the total ordinary shares outstanding. The sale price was €14.80 per share, resulting in net proceeds, after expenses, of $606 million, including a subsequent placement of 166,250 shares. A $7 million loss on the sale was recognized in the second quarter of 2004.</w:t>
      </w:r>
    </w:p>
    <w:p>
      <w:pPr>
        <w:spacing w:after="0" w:line="49" w:lineRule="exact"/>
        <w:rPr>
          <w:sz w:val="20"/>
          <w:szCs w:val="20"/>
          <w:color w:val="auto"/>
        </w:rPr>
      </w:pPr>
    </w:p>
    <w:p>
      <w:pPr>
        <w:jc w:val="both"/>
        <w:ind w:left="800"/>
        <w:spacing w:after="0" w:line="306" w:lineRule="auto"/>
        <w:rPr>
          <w:sz w:val="20"/>
          <w:szCs w:val="20"/>
          <w:color w:val="auto"/>
        </w:rPr>
      </w:pPr>
      <w:r>
        <w:rPr>
          <w:rFonts w:ascii="Arial" w:cs="Arial" w:eastAsia="Arial" w:hAnsi="Arial"/>
          <w:sz w:val="16"/>
          <w:szCs w:val="16"/>
          <w:color w:val="auto"/>
        </w:rPr>
        <w:t>In the third quarter of 2004, a gain of $18 million was recognized consisting of (1) a $9 million gain on the sale of Schlumberger’s residual investment of 5.1 million shares in Axalto (the sale price was €16.59 per share giving net proceeds, after expenses, of $99 million) and (2) a $9 million reversal of a liability related to the sale. The net assets were approximately $700 million, including goodwill of $415 million.</w:t>
      </w:r>
    </w:p>
    <w:p>
      <w:pPr>
        <w:spacing w:after="0" w:line="12" w:lineRule="exact"/>
        <w:rPr>
          <w:sz w:val="20"/>
          <w:szCs w:val="20"/>
          <w:color w:val="auto"/>
        </w:rPr>
      </w:pPr>
    </w:p>
    <w:p>
      <w:pPr>
        <w:ind w:left="780" w:right="160" w:hanging="326"/>
        <w:spacing w:after="0" w:line="291"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In July 2004, Schlumberger completed the sale of its Electricity Metering North America business for $248 million in cash. The results of Electricity Metering North America included a net gain of $25 million including a United States tax valuation allowance release of $49 million related to a tax loss carry forward associated with the sale of SchlumbergerSema (which is also included in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second quarter of 2004. This transaction allowed for the recognition of a deferred tax asset that was previously offset by a valuation allowance. Excluding the reversal of the valuation allowance, the transaction would have resulted in a loss of $24 million. A credit of $5 million relating to this sale was recognized in the fourth quarter of 2004. The net assets were approximately $146 million, including goodwill of $94 million.</w:t>
      </w:r>
    </w:p>
    <w:p>
      <w:pPr>
        <w:spacing w:after="0" w:line="25" w:lineRule="exact"/>
        <w:rPr>
          <w:rFonts w:ascii="Arial" w:cs="Arial" w:eastAsia="Arial" w:hAnsi="Arial"/>
          <w:sz w:val="16"/>
          <w:szCs w:val="16"/>
          <w:color w:val="auto"/>
        </w:rPr>
      </w:pPr>
    </w:p>
    <w:p>
      <w:pPr>
        <w:jc w:val="both"/>
        <w:ind w:left="780" w:right="140" w:hanging="326"/>
        <w:spacing w:after="0" w:line="259"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July 2004, Schlumberger completed the sale of its Telecom Messaging business for $15 million, consisting of $6 million in cash and $9 million in future payments, of which an initial payment of $3 million was received in November 2004. A $4 million loss on the sale was recognized in the third quarter of 2004. The net assets were approximately $15 million.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results of these discontinued operations: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590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tcPr>
          <w:p>
            <w:pPr>
              <w:spacing w:after="0" w:line="149" w:lineRule="exact"/>
              <w:rPr>
                <w:sz w:val="20"/>
                <w:szCs w:val="20"/>
                <w:color w:val="auto"/>
              </w:rPr>
            </w:pPr>
            <w:r>
              <w:rPr>
                <w:rFonts w:ascii="Arial" w:cs="Arial" w:eastAsia="Arial" w:hAnsi="Arial"/>
                <w:sz w:val="14"/>
                <w:szCs w:val="14"/>
                <w:color w:val="auto"/>
              </w:rPr>
              <w:t>Tax expense</w:t>
            </w:r>
          </w:p>
        </w:tc>
        <w:tc>
          <w:tcPr>
            <w:tcW w:w="100" w:type="dxa"/>
            <w:vAlign w:val="bottom"/>
          </w:tcPr>
          <w:p>
            <w:pPr>
              <w:spacing w:after="0"/>
              <w:rPr>
                <w:sz w:val="12"/>
                <w:szCs w:val="12"/>
                <w:color w:val="auto"/>
              </w:rPr>
            </w:pPr>
          </w:p>
        </w:tc>
        <w:tc>
          <w:tcPr>
            <w:tcW w:w="6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Gains on disposal, net of tax</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-715010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-715010</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-715010</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-715010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-715010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-715010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7589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7589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subsidiaries operate in more than 100 taxing jurisdictions where statutory tax rates generally vary from 0% to 50%.</w:t>
      </w:r>
    </w:p>
    <w:p>
      <w:pPr>
        <w:spacing w:after="0" w:line="15"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 xml:space="preserve">As more fully described in Note 3 </w:t>
      </w:r>
      <w:r>
        <w:rPr>
          <w:rFonts w:ascii="Arial" w:cs="Arial" w:eastAsia="Arial" w:hAnsi="Arial"/>
          <w:sz w:val="18"/>
          <w:szCs w:val="18"/>
          <w:i w:val="1"/>
          <w:iCs w:val="1"/>
          <w:color w:val="auto"/>
        </w:rPr>
        <w:t>Charges and Credits</w:t>
      </w:r>
      <w:r>
        <w:rPr>
          <w:rFonts w:ascii="Arial" w:cs="Arial" w:eastAsia="Arial" w:hAnsi="Arial"/>
          <w:sz w:val="18"/>
          <w:szCs w:val="18"/>
          <w:color w:val="auto"/>
        </w:rPr>
        <w:t>, Schlumberger recorded pretax charges in 2006 of $46 million ($19 million in the United States; $27 million outside the United States), net pretax credits in 2005 of $172 million ($19 million of net credits in the United States; $153 million of credits outside the United States), and net pretax charges in 2004 of $243 million ($119 million of net charges in the United States; $124 million of net charges outside of the United States).</w:t>
      </w:r>
    </w:p>
    <w:p>
      <w:pPr>
        <w:spacing w:after="0" w:line="2"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Pretax book income from continuing operations subject to United States and non-United States income taxes for each of the three years ended December 31, was a follows: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2005</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$1,582</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40" w:type="dxa"/>
            <w:vAlign w:val="bottom"/>
          </w:tcPr>
          <w:p>
            <w:pPr>
              <w:spacing w:after="0"/>
              <w:rPr>
                <w:sz w:val="20"/>
                <w:szCs w:val="20"/>
                <w:color w:val="auto"/>
              </w:rPr>
            </w:pPr>
            <w:r>
              <w:rPr>
                <w:rFonts w:ascii="Arial" w:cs="Arial" w:eastAsia="Arial" w:hAnsi="Arial"/>
                <w:sz w:val="14"/>
                <w:szCs w:val="14"/>
                <w:color w:val="auto"/>
              </w:rPr>
              <w:t>Outside United States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3,366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2,080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1,041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3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income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$4,948</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2,972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159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10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2006</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and other long-term benefits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$394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40" w:type="dxa"/>
            <w:vAlign w:val="bottom"/>
          </w:tcPr>
          <w:p>
            <w:pPr>
              <w:spacing w:after="0" w:line="149" w:lineRule="exact"/>
              <w:rPr>
                <w:sz w:val="20"/>
                <w:szCs w:val="20"/>
                <w:color w:val="auto"/>
              </w:rPr>
            </w:pPr>
            <w:r>
              <w:rPr>
                <w:rFonts w:ascii="Arial" w:cs="Arial" w:eastAsia="Arial" w:hAnsi="Arial"/>
                <w:sz w:val="14"/>
                <w:szCs w:val="14"/>
                <w:color w:val="auto"/>
              </w:rPr>
              <w:t>Current employee benefits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 inventory and other</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40" w:type="dxa"/>
            <w:vAlign w:val="bottom"/>
          </w:tcPr>
          <w:p>
            <w:pPr>
              <w:spacing w:after="0"/>
              <w:rPr>
                <w:sz w:val="20"/>
                <w:szCs w:val="20"/>
                <w:color w:val="auto"/>
              </w:rPr>
            </w:pPr>
            <w:r>
              <w:rPr>
                <w:rFonts w:ascii="Arial" w:cs="Arial" w:eastAsia="Arial" w:hAnsi="Arial"/>
                <w:sz w:val="14"/>
                <w:szCs w:val="14"/>
                <w:color w:val="auto"/>
              </w:rPr>
              <w:t>Net operating losses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04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0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$576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0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deferred tax assets relating to net operating losses at December 31, 2006 and 2005 are net of valuation allowances in certain countries of $218 million and $213 million, respectively.</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20" w:type="dxa"/>
            <w:vAlign w:val="bottom"/>
            <w:tcBorders>
              <w:top w:val="single" w:sz="8" w:color="auto"/>
            </w:tcBorders>
          </w:tcPr>
          <w:p>
            <w:pPr>
              <w:spacing w:after="0"/>
              <w:rPr>
                <w:sz w:val="12"/>
                <w:szCs w:val="12"/>
                <w:color w:val="auto"/>
              </w:rPr>
            </w:pPr>
          </w:p>
        </w:tc>
        <w:tc>
          <w:tcPr>
            <w:tcW w:w="5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2006</w:t>
            </w:r>
          </w:p>
        </w:tc>
        <w:tc>
          <w:tcPr>
            <w:tcW w:w="980" w:type="dxa"/>
            <w:vAlign w:val="bottom"/>
            <w:tcBorders>
              <w:top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5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5940" w:type="dxa"/>
            <w:vAlign w:val="bottom"/>
            <w:gridSpan w:val="3"/>
          </w:tcPr>
          <w:p>
            <w:pPr>
              <w:ind w:left="5860"/>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495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5"/>
              </w:rPr>
              <w:t>256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5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ind w:left="320"/>
              <w:spacing w:after="0"/>
              <w:rPr>
                <w:sz w:val="20"/>
                <w:szCs w:val="20"/>
                <w:color w:val="auto"/>
              </w:rPr>
            </w:pPr>
            <w:r>
              <w:rPr>
                <w:rFonts w:ascii="Arial" w:cs="Arial" w:eastAsia="Arial" w:hAnsi="Arial"/>
                <w:sz w:val="14"/>
                <w:szCs w:val="14"/>
                <w:color w:val="auto"/>
              </w:rPr>
              <w:t>Outside United States</w:t>
            </w:r>
          </w:p>
        </w:tc>
        <w:tc>
          <w:tcPr>
            <w:tcW w:w="5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641</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480"/>
              <w:spacing w:after="0"/>
              <w:rPr>
                <w:sz w:val="20"/>
                <w:szCs w:val="20"/>
                <w:color w:val="auto"/>
              </w:rPr>
            </w:pPr>
            <w:r>
              <w:rPr>
                <w:rFonts w:ascii="Arial" w:cs="Arial" w:eastAsia="Arial" w:hAnsi="Arial"/>
                <w:sz w:val="14"/>
                <w:szCs w:val="14"/>
                <w:color w:val="auto"/>
                <w:w w:val="85"/>
              </w:rPr>
              <w:t>372</w:t>
            </w: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221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58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5860"/>
              <w:spacing w:after="0"/>
              <w:rPr>
                <w:sz w:val="20"/>
                <w:szCs w:val="20"/>
                <w:color w:val="auto"/>
              </w:rPr>
            </w:pPr>
            <w:r>
              <w:rPr>
                <w:rFonts w:ascii="Arial" w:cs="Arial" w:eastAsia="Arial" w:hAnsi="Arial"/>
                <w:sz w:val="10"/>
                <w:szCs w:val="10"/>
                <w:b w:val="1"/>
                <w:bCs w:val="1"/>
                <w:color w:val="auto"/>
                <w:w w:val="71"/>
              </w:rPr>
              <w:t>$</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79"/>
              </w:rPr>
              <w:t>1,185</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5"/>
              </w:rPr>
              <w:t>652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58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w:t>
            </w:r>
          </w:p>
        </w:tc>
        <w:tc>
          <w:tcPr>
            <w:tcW w:w="5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5940" w:type="dxa"/>
            <w:vAlign w:val="bottom"/>
            <w:gridSpan w:val="3"/>
          </w:tcPr>
          <w:p>
            <w:pPr>
              <w:ind w:left="5860"/>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8</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5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320"/>
              <w:spacing w:after="0" w:line="149" w:lineRule="exact"/>
              <w:rPr>
                <w:sz w:val="20"/>
                <w:szCs w:val="20"/>
                <w:color w:val="auto"/>
              </w:rPr>
            </w:pPr>
            <w:r>
              <w:rPr>
                <w:rFonts w:ascii="Arial" w:cs="Arial" w:eastAsia="Arial" w:hAnsi="Arial"/>
                <w:sz w:val="14"/>
                <w:szCs w:val="14"/>
                <w:color w:val="auto"/>
              </w:rPr>
              <w:t>Outside United States</w:t>
            </w:r>
          </w:p>
        </w:tc>
        <w:tc>
          <w:tcPr>
            <w:tcW w:w="5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77</w:t>
            </w: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Valuation allowance</w:t>
            </w:r>
          </w:p>
        </w:tc>
        <w:tc>
          <w:tcPr>
            <w:tcW w:w="5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(61)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58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5940" w:type="dxa"/>
            <w:vAlign w:val="bottom"/>
            <w:gridSpan w:val="3"/>
            <w:shd w:val="clear" w:color="auto" w:fill="CCEEFF"/>
          </w:tcPr>
          <w:p>
            <w:pPr>
              <w:ind w:left="5860"/>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5</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58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5920" w:type="dxa"/>
            <w:vAlign w:val="bottom"/>
            <w:gridSpan w:val="2"/>
            <w:shd w:val="clear" w:color="auto" w:fill="CCEEFF"/>
          </w:tcPr>
          <w:p>
            <w:pPr>
              <w:ind w:left="5860"/>
              <w:spacing w:after="0"/>
              <w:rPr>
                <w:sz w:val="20"/>
                <w:szCs w:val="20"/>
                <w:color w:val="auto"/>
              </w:rPr>
            </w:pPr>
            <w:r>
              <w:rPr>
                <w:rFonts w:ascii="Arial" w:cs="Arial" w:eastAsia="Arial" w:hAnsi="Arial"/>
                <w:sz w:val="10"/>
                <w:szCs w:val="10"/>
                <w:b w:val="1"/>
                <w:bCs w:val="1"/>
                <w:color w:val="auto"/>
                <w:w w:val="71"/>
              </w:rPr>
              <w:t>$</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79"/>
              </w:rPr>
              <w:t>1,190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w w:val="85"/>
              </w:rPr>
              <w:t>682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5860" w:type="dxa"/>
            <w:vAlign w:val="bottom"/>
            <w:vMerge w:val="restart"/>
          </w:tcPr>
          <w:p>
            <w:pPr>
              <w:jc w:val="right"/>
              <w:ind w:right="3658"/>
              <w:spacing w:after="0"/>
              <w:rPr>
                <w:sz w:val="20"/>
                <w:szCs w:val="20"/>
                <w:color w:val="auto"/>
              </w:rPr>
            </w:pPr>
            <w:r>
              <w:rPr>
                <w:rFonts w:ascii="Arial" w:cs="Arial" w:eastAsia="Arial" w:hAnsi="Arial"/>
                <w:sz w:val="14"/>
                <w:szCs w:val="14"/>
                <w:color w:val="auto"/>
              </w:rPr>
              <w:t>59</w:t>
            </w: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-292735</wp:posOffset>
            </wp:positionV>
            <wp:extent cx="2698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-292735</wp:posOffset>
            </wp:positionV>
            <wp:extent cx="20129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-292735</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-292735</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the United States statutory federal tax rate (35%) to the consolidated effective tax rate 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6"/>
              </w:rPr>
              <w:t>2006</w:t>
            </w:r>
          </w:p>
        </w:tc>
        <w:tc>
          <w:tcPr>
            <w:tcW w:w="6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6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statutory federal rate</w:t>
            </w:r>
          </w:p>
        </w:tc>
        <w:tc>
          <w:tcPr>
            <w:tcW w:w="9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35%</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US state income taxes</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US income taxed at different rates</w:t>
            </w:r>
          </w:p>
        </w:tc>
        <w:tc>
          <w:tcPr>
            <w:tcW w:w="92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(10)</w:t>
            </w: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Effect of equity method investment</w:t>
            </w:r>
          </w:p>
        </w:tc>
        <w:tc>
          <w:tcPr>
            <w:tcW w:w="92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(1)</w:t>
            </w:r>
          </w:p>
        </w:tc>
        <w:tc>
          <w:tcPr>
            <w:tcW w:w="9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w:t>
            </w: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partner’s share of LLC earnings</w:t>
            </w:r>
          </w:p>
        </w:tc>
        <w:tc>
          <w:tcPr>
            <w:tcW w:w="92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92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(1)</w:t>
            </w:r>
          </w:p>
        </w:tc>
        <w:tc>
          <w:tcPr>
            <w:tcW w:w="9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w:t>
            </w: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92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w:t>
            </w: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9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24%</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 xml:space="preserve">Prior to Schlumberger acquiring the 30% interest in WesternGeco from Baker Hughes, as described in Note 4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the United States and Canadian operations of the WesternGeco joint venture were structured as limited liability companies (LLC) and are treated as partnerships for income tax purposes. For periods prior to the date of the previously mentioned transaction, the net income of the WesternGeco business segment, as presented in Note 19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reflects tax expense as if the LLC was subject to income taxes as this is how management evaluated the results of this segment. However, the tax</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expense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only included Schlumberger’s share of the tax expense associated with the LLC. </w:t>
      </w:r>
      <w:r>
        <w:rPr>
          <w:rFonts w:ascii="Arial" w:cs="Arial" w:eastAsia="Arial" w:hAnsi="Arial"/>
          <w:sz w:val="16"/>
          <w:szCs w:val="16"/>
          <w:i w:val="1"/>
          <w:iCs w:val="1"/>
          <w:color w:val="auto"/>
        </w:rPr>
        <w:t>Minority Interest</w:t>
      </w:r>
      <w:r>
        <w:rPr>
          <w:rFonts w:ascii="Arial" w:cs="Arial" w:eastAsia="Arial" w:hAnsi="Arial"/>
          <w:sz w:val="16"/>
          <w:szCs w:val="16"/>
          <w:color w:val="auto"/>
        </w:rPr>
        <w:t xml:space="preserve"> on the </w:t>
      </w: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included the minority partner’s share of the pretax results of the LLCs as well as their share of the after-tax results of the non-United States and Canadian operations of the venture.</w:t>
      </w:r>
    </w:p>
    <w:p>
      <w:pPr>
        <w:ind w:right="40" w:firstLine="228"/>
        <w:spacing w:after="0" w:line="290" w:lineRule="auto"/>
        <w:rPr>
          <w:sz w:val="20"/>
          <w:szCs w:val="20"/>
          <w:color w:val="auto"/>
        </w:rPr>
      </w:pPr>
      <w:r>
        <w:rPr>
          <w:rFonts w:ascii="Arial" w:cs="Arial" w:eastAsia="Arial" w:hAnsi="Arial"/>
          <w:sz w:val="16"/>
          <w:szCs w:val="16"/>
          <w:color w:val="auto"/>
        </w:rPr>
        <w:t xml:space="preserve">In July 2006, the Financial Accounting Standards Board (FASB) issued FASB Interpretation No. 48, </w:t>
      </w:r>
      <w:r>
        <w:rPr>
          <w:rFonts w:ascii="Arial" w:cs="Arial" w:eastAsia="Arial" w:hAnsi="Arial"/>
          <w:sz w:val="16"/>
          <w:szCs w:val="16"/>
          <w:i w:val="1"/>
          <w:iCs w:val="1"/>
          <w:color w:val="auto"/>
        </w:rPr>
        <w:t>Accounting for Uncertainty in Income Taxes –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Interpretation of FASB Statement No. 109 </w:t>
      </w:r>
      <w:r>
        <w:rPr>
          <w:rFonts w:ascii="Arial" w:cs="Arial" w:eastAsia="Arial" w:hAnsi="Arial"/>
          <w:sz w:val="16"/>
          <w:szCs w:val="16"/>
          <w:color w:val="auto"/>
        </w:rPr>
        <w:t>(FIN 48), which clarifies the accounting for uncertain tax positions. This interpretation requires companies to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in their financial statements the impact of a tax position, if that position is more likely than not of being sustained on audit, based on the technical merits of the position. The provisions of FIN 48 are effective for Schlumberger on January 1, 2007, with the cumulative effect of the change in accounting principle, if any, recorded as an adjustment to opening retained earnings. Schlumberger is in the process of completing its evaluation of the impact of adopting FIN 48 on its financial statements, which is not currently expected to be material.</w:t>
      </w:r>
    </w:p>
    <w:p>
      <w:pPr>
        <w:spacing w:after="0" w:line="94"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Lease Commitments</w:t>
      </w:r>
    </w:p>
    <w:p>
      <w:pPr>
        <w:spacing w:after="0" w:line="7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Total rental expense relating to continuing operations was $686 million in 2006, $532 million in 2005, and $464 million in 2004. Future minimum rental commitments under noncancelable leases for each of the next five years are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3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2007</w:t>
            </w:r>
          </w:p>
        </w:tc>
        <w:tc>
          <w:tcPr>
            <w:tcW w:w="83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8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8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8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8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20"/>
                <w:szCs w:val="20"/>
                <w:color w:val="auto"/>
              </w:rPr>
            </w:pPr>
            <w:r>
              <w:rPr>
                <w:rFonts w:ascii="Arial" w:cs="Arial" w:eastAsia="Arial" w:hAnsi="Arial"/>
                <w:sz w:val="14"/>
                <w:szCs w:val="14"/>
                <w:color w:val="auto"/>
              </w:rPr>
              <w:t>Thereafter</w:t>
            </w:r>
          </w:p>
        </w:tc>
        <w:tc>
          <w:tcPr>
            <w:tcW w:w="8320" w:type="dxa"/>
            <w:vAlign w:val="bottom"/>
            <w:gridSpan w:val="2"/>
          </w:tcPr>
          <w:p>
            <w:pPr>
              <w:jc w:val="right"/>
              <w:spacing w:after="0"/>
              <w:rPr>
                <w:sz w:val="20"/>
                <w:szCs w:val="20"/>
                <w:color w:val="auto"/>
              </w:rPr>
            </w:pPr>
            <w:r>
              <w:rPr>
                <w:rFonts w:ascii="Arial" w:cs="Arial" w:eastAsia="Arial" w:hAnsi="Arial"/>
                <w:sz w:val="14"/>
                <w:szCs w:val="14"/>
                <w:color w:val="auto"/>
              </w:rPr>
              <w:t>189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100" w:type="dxa"/>
            <w:vAlign w:val="bottom"/>
            <w:tcBorders>
              <w:bottom w:val="single" w:sz="8" w:color="auto"/>
            </w:tcBorders>
          </w:tcPr>
          <w:p>
            <w:pPr>
              <w:spacing w:after="0"/>
              <w:rPr>
                <w:sz w:val="7"/>
                <w:szCs w:val="7"/>
                <w:color w:val="auto"/>
              </w:rPr>
            </w:pPr>
          </w:p>
        </w:tc>
        <w:tc>
          <w:tcPr>
            <w:tcW w:w="80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100" w:type="dxa"/>
            <w:vAlign w:val="bottom"/>
          </w:tcPr>
          <w:p>
            <w:pPr>
              <w:spacing w:after="0"/>
              <w:rPr>
                <w:sz w:val="8"/>
                <w:szCs w:val="8"/>
                <w:color w:val="auto"/>
              </w:rPr>
            </w:pPr>
          </w:p>
        </w:tc>
        <w:tc>
          <w:tcPr>
            <w:tcW w:w="8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8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00" w:type="dxa"/>
            <w:vAlign w:val="bottom"/>
          </w:tcPr>
          <w:p>
            <w:pPr>
              <w:spacing w:after="0"/>
              <w:rPr>
                <w:sz w:val="11"/>
                <w:szCs w:val="11"/>
                <w:color w:val="auto"/>
              </w:rPr>
            </w:pPr>
          </w:p>
        </w:tc>
        <w:tc>
          <w:tcPr>
            <w:tcW w:w="8040" w:type="dxa"/>
            <w:vAlign w:val="bottom"/>
            <w:vMerge w:val="restart"/>
          </w:tcPr>
          <w:p>
            <w:pPr>
              <w:jc w:val="right"/>
              <w:ind w:right="5292"/>
              <w:spacing w:after="0"/>
              <w:rPr>
                <w:sz w:val="20"/>
                <w:szCs w:val="20"/>
                <w:color w:val="auto"/>
              </w:rPr>
            </w:pPr>
            <w:r>
              <w:rPr>
                <w:rFonts w:ascii="Arial" w:cs="Arial" w:eastAsia="Arial" w:hAnsi="Arial"/>
                <w:sz w:val="14"/>
                <w:szCs w:val="14"/>
                <w:color w:val="auto"/>
              </w:rPr>
              <w:t>60</w:t>
            </w: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3100" w:type="dxa"/>
            <w:vAlign w:val="bottom"/>
          </w:tcPr>
          <w:p>
            <w:pPr>
              <w:spacing w:after="0"/>
              <w:rPr>
                <w:sz w:val="24"/>
                <w:szCs w:val="24"/>
                <w:color w:val="auto"/>
              </w:rPr>
            </w:pPr>
          </w:p>
        </w:tc>
        <w:tc>
          <w:tcPr>
            <w:tcW w:w="8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-292735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-292735</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estimated future expenditures, relating to contractual obligations, associated with business divestitures that have been completed. It is possible that the ultimate expenditures may differ from the amounts recorded. In the opinion of management, such differences are not expected to be material relative to consolidated liquidity, financial position or future results of operations.</w:t>
      </w:r>
    </w:p>
    <w:p>
      <w:pPr>
        <w:spacing w:after="0" w:line="1"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the estimated future costs associated with certain environmental remediation activities related to the past use or disposal of hazardous materials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natural resource or property damage claims and other factors, it is possible that the ultimate remediation costs may exceed the amounts estimated. However, in the opinion of management, any such additional costs are not expected to be material relative to consolidated liquidity, financial position or future results of operations.</w:t>
      </w:r>
    </w:p>
    <w:p>
      <w:pPr>
        <w:spacing w:after="0" w:line="4"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 xml:space="preserve">In December 2004, WesternGeco LLC and Schlumberger Technology Corporation received federal grand jury subpoenas issued by the United States District Court for the Southern District of Texas. The subpoenas sought documents relating to possible fraud in obtaining visas for foreign crewmembers working on vessels operating on the Outer Continental Shelf of the Gulf of Mexico. On June 16, 2006, WesternGeco L.L.C. entered into an agreement with the United States Attorney’s Office for the Southern District of Texas (“USAO”) resolving the issues raised in the federal investigation. Under the terms of the agreement, WesternGeco L.L.C. accepted responsibility for U.S. visa violations and agreed to pay a monetary penalty of $18 million and reimburse the United States Government for $1.6 million in investigation expenses. As a result of this agreement, a pretax charge of approximately $10 million ($7 million after-tax and minority interest) was recorded in the second quarter of 2006 (see Note 3 </w:t>
      </w:r>
      <w:r>
        <w:rPr>
          <w:rFonts w:ascii="Arial" w:cs="Arial" w:eastAsia="Arial" w:hAnsi="Arial"/>
          <w:sz w:val="16"/>
          <w:szCs w:val="16"/>
          <w:i w:val="1"/>
          <w:iCs w:val="1"/>
          <w:color w:val="auto"/>
        </w:rPr>
        <w:t>Charges and Credits</w:t>
      </w:r>
      <w:r>
        <w:rPr>
          <w:rFonts w:ascii="Arial" w:cs="Arial" w:eastAsia="Arial" w:hAnsi="Arial"/>
          <w:sz w:val="16"/>
          <w:szCs w:val="16"/>
          <w:color w:val="auto"/>
        </w:rPr>
        <w:t>). Additionally, WesternGeco L.L.C. accepted a deferred prosecution agreement covering a one-year period, during which time WesternGeco L.L.C.’s Gulf of Mexico activities will be subject to monitoring by the USAO. At the conclusion of the one-year period, if WesternGeco L.L.C. has complied with the deferred prosecution agreement, such agreement will expire and no prosecution arising from the investigation will be brought. WesternGeco has also developed and implemented a comprehensive visa and immigration compliance program to prevent a recurrence of any improper visa practices.</w:t>
      </w:r>
    </w:p>
    <w:p>
      <w:pPr>
        <w:spacing w:after="0" w:line="7" w:lineRule="exact"/>
        <w:rPr>
          <w:sz w:val="20"/>
          <w:szCs w:val="20"/>
          <w:color w:val="auto"/>
        </w:rPr>
      </w:pPr>
    </w:p>
    <w:p>
      <w:pPr>
        <w:ind w:right="20" w:firstLine="228"/>
        <w:spacing w:after="0" w:line="295" w:lineRule="auto"/>
        <w:rPr>
          <w:sz w:val="20"/>
          <w:szCs w:val="20"/>
          <w:color w:val="auto"/>
        </w:rPr>
      </w:pPr>
      <w:r>
        <w:rPr>
          <w:rFonts w:ascii="Arial" w:cs="Arial" w:eastAsia="Arial" w:hAnsi="Arial"/>
          <w:sz w:val="16"/>
          <w:szCs w:val="16"/>
          <w:color w:val="auto"/>
        </w:rPr>
        <w:t>Schlumberger and its subsidiaries are party to various other legal proceedings. A liability is accrued when a loss is both probable and can be reasonably estimable. At this time the ultimate disposition of these proceedings is not presently determinable and therefore, it is not possible to estimate the amount of loss or range of possible losses that might result from an adverse judgment or settlement in these matters. However, in the opinion of Schlumberger any liability that might ensue would not be material in relation to the consolidated liquidity, financial position or future results of operations.</w:t>
      </w:r>
    </w:p>
    <w:p>
      <w:pPr>
        <w:spacing w:after="0" w:line="91"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(OFS) and WesternGeco.</w:t>
      </w:r>
    </w:p>
    <w:p>
      <w:pPr>
        <w:spacing w:after="0" w:line="15" w:lineRule="exact"/>
        <w:rPr>
          <w:sz w:val="20"/>
          <w:szCs w:val="20"/>
          <w:color w:val="auto"/>
        </w:rPr>
      </w:pPr>
    </w:p>
    <w:p>
      <w:pPr>
        <w:ind w:right="180" w:firstLine="228"/>
        <w:spacing w:after="0" w:line="292" w:lineRule="auto"/>
        <w:rPr>
          <w:sz w:val="20"/>
          <w:szCs w:val="20"/>
          <w:color w:val="auto"/>
        </w:rPr>
      </w:pPr>
      <w:r>
        <w:rPr>
          <w:rFonts w:ascii="Arial" w:cs="Arial" w:eastAsia="Arial" w:hAnsi="Arial"/>
          <w:sz w:val="16"/>
          <w:szCs w:val="16"/>
          <w:color w:val="auto"/>
        </w:rPr>
        <w:t>The Oilfield Services segment falls into four clearly defined economic and geographical areas and is evaluated on the following basis: North America is a major self-contained market; Latin America comprises regional markets that share a common dependence on the oil and gas industry; Europe is a major self-contained market that includes the CIS and West Africa, whose economy is increasingly linked to that of Europe; Middle East &amp; Asia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The WesternGeco segment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Financial information for the years ended December 31, 2006, 2005 and 2004, by segment, is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2006</w:t>
            </w: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Income</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after tax</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&amp; Min.</w:t>
            </w:r>
          </w:p>
        </w:tc>
        <w:tc>
          <w:tcPr>
            <w:tcW w:w="3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12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Tax</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before tax</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Depn. &amp;</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Revenue</w:t>
            </w: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Interest</w:t>
            </w: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w w:val="97"/>
              </w:rPr>
              <w:t>Expense</w:t>
            </w:r>
          </w:p>
        </w:tc>
        <w:tc>
          <w:tcPr>
            <w:tcW w:w="36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&amp; Min. Int.</w:t>
            </w:r>
          </w:p>
        </w:tc>
        <w:tc>
          <w:tcPr>
            <w:tcW w:w="8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9"/>
              </w:rPr>
              <w:t>Amortn.</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5,273</w:t>
            </w:r>
          </w:p>
        </w:tc>
        <w:tc>
          <w:tcPr>
            <w:tcW w:w="4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1,053</w:t>
            </w:r>
          </w:p>
        </w:tc>
        <w:tc>
          <w:tcPr>
            <w:tcW w:w="120" w:type="dxa"/>
            <w:vAlign w:val="bottom"/>
          </w:tcPr>
          <w:p>
            <w:pPr>
              <w:spacing w:after="0"/>
              <w:rPr>
                <w:sz w:val="12"/>
                <w:szCs w:val="12"/>
                <w:color w:val="auto"/>
              </w:rPr>
            </w:pP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551</w:t>
            </w:r>
          </w:p>
        </w:tc>
        <w:tc>
          <w:tcPr>
            <w:tcW w:w="80" w:type="dxa"/>
            <w:vAlign w:val="bottom"/>
          </w:tcPr>
          <w:p>
            <w:pPr>
              <w:spacing w:after="0"/>
              <w:rPr>
                <w:sz w:val="12"/>
                <w:szCs w:val="12"/>
                <w:color w:val="auto"/>
              </w:rPr>
            </w:pPr>
          </w:p>
        </w:tc>
        <w:tc>
          <w:tcPr>
            <w:tcW w:w="4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1,604</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2,605</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310</w:t>
            </w:r>
          </w:p>
        </w:tc>
        <w:tc>
          <w:tcPr>
            <w:tcW w:w="5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1,490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4,818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995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2,840</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2,758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58</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1,005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12,085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1,134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2,267</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Corporate eliminations &amp; Other</w:t>
            </w: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(346)</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3,491</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4,989</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3,871</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1,190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22,832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1,561</w:t>
            </w:r>
          </w:p>
        </w:tc>
        <w:tc>
          <w:tcPr>
            <w:tcW w:w="5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(Stated in millions)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3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Income</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after tax</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&amp; Min.</w:t>
            </w:r>
          </w:p>
        </w:tc>
        <w:tc>
          <w:tcPr>
            <w:tcW w:w="3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12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Tax</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before tax</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Depn. &amp;</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Revenue</w:t>
            </w:r>
          </w:p>
        </w:tc>
        <w:tc>
          <w:tcPr>
            <w:tcW w:w="8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Interest</w:t>
            </w: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w w:val="97"/>
              </w:rPr>
              <w:t>Expense</w:t>
            </w:r>
          </w:p>
        </w:tc>
        <w:tc>
          <w:tcPr>
            <w:tcW w:w="36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&amp; Min. Int.</w:t>
            </w:r>
          </w:p>
        </w:tc>
        <w:tc>
          <w:tcPr>
            <w:tcW w:w="8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9"/>
              </w:rPr>
              <w:t>Amortn.</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3,760</w:t>
            </w:r>
          </w:p>
        </w:tc>
        <w:tc>
          <w:tcPr>
            <w:tcW w:w="4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609</w:t>
            </w:r>
          </w:p>
        </w:tc>
        <w:tc>
          <w:tcPr>
            <w:tcW w:w="120" w:type="dxa"/>
            <w:vAlign w:val="bottom"/>
          </w:tcPr>
          <w:p>
            <w:pPr>
              <w:spacing w:after="0"/>
              <w:rPr>
                <w:sz w:val="12"/>
                <w:szCs w:val="12"/>
                <w:color w:val="auto"/>
              </w:rPr>
            </w:pP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324</w:t>
            </w:r>
          </w:p>
        </w:tc>
        <w:tc>
          <w:tcPr>
            <w:tcW w:w="80" w:type="dxa"/>
            <w:vAlign w:val="bottom"/>
          </w:tcPr>
          <w:p>
            <w:pPr>
              <w:spacing w:after="0"/>
              <w:rPr>
                <w:sz w:val="12"/>
                <w:szCs w:val="12"/>
                <w:color w:val="auto"/>
              </w:rPr>
            </w:pPr>
          </w:p>
        </w:tc>
        <w:tc>
          <w:tcPr>
            <w:tcW w:w="4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933</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2,041</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5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1,332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3,533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569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704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1,974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2,016</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0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(54)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1,968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48</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12,648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9,331</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1,006</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1,396</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Corporate eliminations &amp; Other</w:t>
            </w: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(233)</w:t>
            </w: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4,428</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2,922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14,309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2,116</w:t>
            </w: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18,077</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1,351</w:t>
            </w:r>
          </w:p>
        </w:tc>
        <w:tc>
          <w:tcPr>
            <w:tcW w:w="5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(187)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restart"/>
          </w:tcPr>
          <w:p>
            <w:pPr>
              <w:jc w:val="right"/>
              <w:ind w:right="52"/>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-4143375</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-4143375</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-4143375</wp:posOffset>
            </wp:positionV>
            <wp:extent cx="3873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-4143375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-4143375</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-4143375</wp:posOffset>
            </wp:positionV>
            <wp:extent cx="3873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-4143375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-4143375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-4143375</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-4143375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-4143375</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-4143375</wp:posOffset>
            </wp:positionV>
            <wp:extent cx="3873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-4143375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-4143375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-4143375</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-4143375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-4143375</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-4143375</wp:posOffset>
            </wp:positionV>
            <wp:extent cx="2159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-4143375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-4143375</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-4143375</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-3456940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-3456940</wp:posOffset>
            </wp:positionV>
            <wp:extent cx="2159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-3456940</wp:posOffset>
            </wp:positionV>
            <wp:extent cx="3873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-292735</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-292735</wp:posOffset>
            </wp:positionV>
            <wp:extent cx="2159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-292735</wp:posOffset>
            </wp:positionV>
            <wp:extent cx="3873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79"/>
              </w:rPr>
              <w:t>before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tax &amp;</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tax &amp;</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Min.</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Min.</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Depn. &amp;</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w:t>
            </w: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Interest</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w:t>
            </w:r>
          </w:p>
        </w:tc>
        <w:tc>
          <w:tcPr>
            <w:tcW w:w="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Amortn.</w:t>
            </w:r>
          </w:p>
        </w:tc>
        <w:tc>
          <w:tcPr>
            <w:tcW w:w="2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240" w:type="dxa"/>
            <w:vAlign w:val="bottom"/>
            <w:gridSpan w:val="2"/>
          </w:tcPr>
          <w:p>
            <w:pPr>
              <w:ind w:left="11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3,108</w:t>
            </w:r>
          </w:p>
        </w:tc>
        <w:tc>
          <w:tcPr>
            <w:tcW w:w="2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340</w:t>
            </w:r>
          </w:p>
        </w:tc>
        <w:tc>
          <w:tcPr>
            <w:tcW w:w="4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179</w:t>
            </w:r>
          </w:p>
        </w:tc>
        <w:tc>
          <w:tcPr>
            <w:tcW w:w="3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1,668</w:t>
            </w:r>
          </w:p>
        </w:tc>
        <w:tc>
          <w:tcPr>
            <w:tcW w:w="200" w:type="dxa"/>
            <w:vAlign w:val="bottom"/>
          </w:tcPr>
          <w:p>
            <w:pPr>
              <w:spacing w:after="0"/>
              <w:rPr>
                <w:sz w:val="12"/>
                <w:szCs w:val="12"/>
                <w:color w:val="auto"/>
              </w:rPr>
            </w:pP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253</w:t>
            </w:r>
          </w:p>
        </w:tc>
        <w:tc>
          <w:tcPr>
            <w:tcW w:w="4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2,787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448</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1,690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10,239</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1,412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1,801</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Corporate eliminations &amp; Other</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(208)</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3,834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4"/>
                <w:szCs w:val="14"/>
                <w:color w:val="auto"/>
              </w:rPr>
              <w:t>Discontinued operations assets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11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11,480</w:t>
            </w:r>
          </w:p>
        </w:tc>
        <w:tc>
          <w:tcPr>
            <w:tcW w:w="2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1,404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16,001</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1,308</w:t>
            </w:r>
          </w:p>
        </w:tc>
        <w:tc>
          <w:tcPr>
            <w:tcW w:w="4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(201)</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1,327</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-27305</wp:posOffset>
            </wp:positionV>
            <wp:extent cx="30416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296"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Oilfield Services net income eliminations include certain headquarters administrative costs which are not allocated geographically, manufacturing and certain other operations, and costs maintained at the Oilfield Services level.</w:t>
      </w:r>
    </w:p>
    <w:p>
      <w:pPr>
        <w:ind w:right="300" w:firstLine="228"/>
        <w:spacing w:after="0" w:line="281" w:lineRule="auto"/>
        <w:rPr>
          <w:sz w:val="20"/>
          <w:szCs w:val="20"/>
          <w:color w:val="auto"/>
        </w:rPr>
      </w:pPr>
      <w:r>
        <w:rPr>
          <w:rFonts w:ascii="Arial" w:cs="Arial" w:eastAsia="Arial" w:hAnsi="Arial"/>
          <w:sz w:val="16"/>
          <w:szCs w:val="16"/>
          <w:color w:val="auto"/>
        </w:rPr>
        <w:t>Corporate income eliminations principally comprise nonoperating expenses, such as certain intersegment charges, amortization of certain intangible assets, interest on postretirement benefits, stock-based compensation costs and interest expense (except as shown above), which are not included in the segments’ income. Corporate assets largely comprise short-term investments and fixed income investments, held to maturity.</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three years ended December 31, 2006, no single customer exceeded 10% of consolidated revenue.</w:t>
      </w:r>
    </w:p>
    <w:p>
      <w:pPr>
        <w:spacing w:after="0" w:line="9"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Schlumberger did not have revenue from third-party customers in its country of domicile during the last three years. Revenue in the United States in 2006, 2005 and 2004 was $5.3 billion, $3.5 billion and $3.0 billion, respectively.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excludes amounts which are included in the segments’ income (2006 – $6 million: 2005 – $10 million: 2004 – $8 million).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&amp; Amortization and Capital Expenditure include Multiclient seismic data costs.</w:t>
      </w:r>
    </w:p>
    <w:p>
      <w:pPr>
        <w:spacing w:after="0" w:line="9"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Effective January 1, 2007, a component of the Middle East &amp; Asia Area has been reallocated to the Europe/CIS/Africa Area and certain activities have been reallocated between Oilfield Services and WesternGeco. Commencing with Schlumberger's Form 10-Q and earnings press release for the quarter ended March 31, 2007, historical segment information will be reclassified to conform to the new presentation.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Benefit Plans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SFAS 158</w:t>
      </w:r>
    </w:p>
    <w:p>
      <w:pPr>
        <w:spacing w:after="0" w:line="72"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In September 2006, the Financial Accounting Standards Board issued SFAS 158 (</w:t>
      </w:r>
      <w:r>
        <w:rPr>
          <w:rFonts w:ascii="Arial" w:cs="Arial" w:eastAsia="Arial" w:hAnsi="Arial"/>
          <w:sz w:val="16"/>
          <w:szCs w:val="16"/>
          <w:i w:val="1"/>
          <w:iCs w:val="1"/>
          <w:color w:val="auto"/>
        </w:rPr>
        <w:t>Employer’s Accounting for Defined Benefit Pension and Other Postretirement</w:t>
      </w:r>
      <w:r>
        <w:rPr>
          <w:rFonts w:ascii="Arial" w:cs="Arial" w:eastAsia="Arial" w:hAnsi="Arial"/>
          <w:sz w:val="16"/>
          <w:szCs w:val="16"/>
          <w:color w:val="auto"/>
        </w:rPr>
        <w:t xml:space="preserve"> </w:t>
      </w:r>
      <w:r>
        <w:rPr>
          <w:rFonts w:ascii="Arial" w:cs="Arial" w:eastAsia="Arial" w:hAnsi="Arial"/>
          <w:sz w:val="16"/>
          <w:szCs w:val="16"/>
          <w:i w:val="1"/>
          <w:iCs w:val="1"/>
          <w:color w:val="auto"/>
        </w:rPr>
        <w:t>Plans, an amendment of FASB Statements No. 87, 88, 106 and 132(R)</w:t>
      </w:r>
      <w:r>
        <w:rPr>
          <w:rFonts w:ascii="Arial" w:cs="Arial" w:eastAsia="Arial" w:hAnsi="Arial"/>
          <w:sz w:val="16"/>
          <w:szCs w:val="16"/>
          <w:color w:val="auto"/>
        </w:rPr>
        <w:t>). SFAS 158 required Schlumberger to recognize the funded status (i.e., the difference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between the fair value of plan assets and the benefit obligation) of its defined benefit pension and other postretirement plans (collectively “postretirement benefit plans”) in its December 31, 2006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with a corresponding adjustment to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net of tax.</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 xml:space="preserve">The adjustment to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at adoption represents the net unrecognized actuarial losses and unrecognized prior service costs which were previously netted against Schlumberger’s postretirement benefit plans’ funded status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pursuant to the provisions of SFAS 87 (</w:t>
      </w:r>
      <w:r>
        <w:rPr>
          <w:rFonts w:ascii="Arial" w:cs="Arial" w:eastAsia="Arial" w:hAnsi="Arial"/>
          <w:sz w:val="16"/>
          <w:szCs w:val="16"/>
          <w:i w:val="1"/>
          <w:iCs w:val="1"/>
          <w:color w:val="auto"/>
        </w:rPr>
        <w:t>Employers’ Accounting for Pensions)</w:t>
      </w:r>
      <w:r>
        <w:rPr>
          <w:rFonts w:ascii="Arial" w:cs="Arial" w:eastAsia="Arial" w:hAnsi="Arial"/>
          <w:sz w:val="16"/>
          <w:szCs w:val="16"/>
          <w:color w:val="auto"/>
        </w:rPr>
        <w:t xml:space="preserve"> and SFAS 106 </w:t>
      </w:r>
      <w:r>
        <w:rPr>
          <w:rFonts w:ascii="Arial" w:cs="Arial" w:eastAsia="Arial" w:hAnsi="Arial"/>
          <w:sz w:val="16"/>
          <w:szCs w:val="16"/>
          <w:i w:val="1"/>
          <w:iCs w:val="1"/>
          <w:color w:val="auto"/>
        </w:rPr>
        <w:t>(Employer’s Accounting for Postretirement Benefits Other Than Pensions</w:t>
      </w:r>
      <w:r>
        <w:rPr>
          <w:rFonts w:ascii="Arial" w:cs="Arial" w:eastAsia="Arial" w:hAnsi="Arial"/>
          <w:sz w:val="16"/>
          <w:szCs w:val="16"/>
          <w:color w:val="auto"/>
        </w:rPr>
        <w:t xml:space="preserve">). These amounts will subsequently be recognized as net periodic postretirement cost consistent with Schlumberger’s historical accounting policy for amortizing such amounts. The adoption of SFAS 158 had no effect on Schlumberger’s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for the year ended December 31, 2006, or for any prior period, and it will not affect Schlumberger’s operating results in future periods. Additionally, SFAS 158 did not have an effect on Schlumberger’s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2005.</w:t>
      </w:r>
    </w:p>
    <w:p>
      <w:pPr>
        <w:spacing w:after="0" w:line="5" w:lineRule="exact"/>
        <w:rPr>
          <w:sz w:val="20"/>
          <w:szCs w:val="20"/>
          <w:color w:val="auto"/>
        </w:rPr>
      </w:pPr>
    </w:p>
    <w:p>
      <w:pPr>
        <w:ind w:right="420" w:firstLine="228"/>
        <w:spacing w:after="0" w:line="281" w:lineRule="auto"/>
        <w:rPr>
          <w:sz w:val="20"/>
          <w:szCs w:val="20"/>
          <w:color w:val="auto"/>
        </w:rPr>
      </w:pPr>
      <w:r>
        <w:rPr>
          <w:rFonts w:ascii="Arial" w:cs="Arial" w:eastAsia="Arial" w:hAnsi="Arial"/>
          <w:sz w:val="16"/>
          <w:szCs w:val="16"/>
          <w:color w:val="auto"/>
        </w:rPr>
        <w:t>SFAS 158 also required companies to measure the fair value of plan assets and benefit obligations as of the date of the fiscal year-end balance sheet. This provision of SFAS 158 is not applicable as Schlumberger already uses a measurement date of December 31 for its postretirement benefit plans.</w:t>
      </w:r>
    </w:p>
    <w:p>
      <w:pPr>
        <w:spacing w:after="0" w:line="1" w:lineRule="exact"/>
        <w:rPr>
          <w:sz w:val="20"/>
          <w:szCs w:val="20"/>
          <w:color w:val="auto"/>
        </w:rPr>
      </w:pPr>
    </w:p>
    <w:p>
      <w:pPr>
        <w:ind w:right="80" w:firstLine="228"/>
        <w:spacing w:after="0" w:line="261" w:lineRule="auto"/>
        <w:rPr>
          <w:sz w:val="20"/>
          <w:szCs w:val="20"/>
          <w:color w:val="auto"/>
        </w:rPr>
      </w:pPr>
      <w:r>
        <w:rPr>
          <w:rFonts w:ascii="Arial" w:cs="Arial" w:eastAsia="Arial" w:hAnsi="Arial"/>
          <w:sz w:val="18"/>
          <w:szCs w:val="18"/>
          <w:color w:val="auto"/>
        </w:rPr>
        <w:t xml:space="preserve">The incremental effect of applying SFAS 158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2006 for all of Schlumberger’s postretirement benefit plans is presented in the following table: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Prior to</w:t>
            </w:r>
          </w:p>
        </w:tc>
        <w:tc>
          <w:tcPr>
            <w:tcW w:w="480" w:type="dxa"/>
            <w:vAlign w:val="bottom"/>
          </w:tcPr>
          <w:p>
            <w:pPr>
              <w:spacing w:after="0"/>
              <w:rPr>
                <w:sz w:val="14"/>
                <w:szCs w:val="14"/>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b w:val="1"/>
                <w:bCs w:val="1"/>
                <w:color w:val="auto"/>
                <w:w w:val="92"/>
              </w:rPr>
              <w:t>SFAS 158</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6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w w:val="86"/>
              </w:rPr>
              <w:t>application</w:t>
            </w:r>
          </w:p>
        </w:tc>
        <w:tc>
          <w:tcPr>
            <w:tcW w:w="480" w:type="dxa"/>
            <w:vAlign w:val="bottom"/>
          </w:tcPr>
          <w:p>
            <w:pPr>
              <w:spacing w:after="0"/>
              <w:rPr>
                <w:sz w:val="12"/>
                <w:szCs w:val="12"/>
                <w:color w:val="auto"/>
              </w:rPr>
            </w:pPr>
          </w:p>
        </w:tc>
        <w:tc>
          <w:tcPr>
            <w:tcW w:w="1020" w:type="dxa"/>
            <w:vAlign w:val="bottom"/>
          </w:tcPr>
          <w:p>
            <w:pPr>
              <w:jc w:val="right"/>
              <w:ind w:right="332"/>
              <w:spacing w:after="0" w:line="149" w:lineRule="exact"/>
              <w:rPr>
                <w:sz w:val="20"/>
                <w:szCs w:val="20"/>
                <w:color w:val="auto"/>
              </w:rPr>
            </w:pPr>
            <w:r>
              <w:rPr>
                <w:rFonts w:ascii="Arial" w:cs="Arial" w:eastAsia="Arial" w:hAnsi="Arial"/>
                <w:sz w:val="14"/>
                <w:szCs w:val="14"/>
                <w:b w:val="1"/>
                <w:bCs w:val="1"/>
                <w:color w:val="auto"/>
                <w:w w:val="97"/>
              </w:rPr>
              <w:t>Adoption</w:t>
            </w:r>
          </w:p>
        </w:tc>
        <w:tc>
          <w:tcPr>
            <w:tcW w:w="4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application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860" w:type="dxa"/>
            <w:vAlign w:val="bottom"/>
            <w:gridSpan w:val="2"/>
          </w:tcPr>
          <w:p>
            <w:pPr>
              <w:ind w:left="2760"/>
              <w:spacing w:after="0"/>
              <w:rPr>
                <w:sz w:val="20"/>
                <w:szCs w:val="20"/>
                <w:color w:val="auto"/>
              </w:rPr>
            </w:pPr>
            <w:r>
              <w:rPr>
                <w:rFonts w:ascii="Arial" w:cs="Arial" w:eastAsia="Arial" w:hAnsi="Arial"/>
                <w:sz w:val="14"/>
                <w:szCs w:val="14"/>
                <w:b w:val="1"/>
                <w:bCs w:val="1"/>
                <w:color w:val="auto"/>
              </w:rPr>
              <w:t>of SFAS 158</w:t>
            </w: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auto"/>
              </w:rPr>
              <w:t>Adjustments</w:t>
            </w:r>
          </w:p>
        </w:tc>
        <w:tc>
          <w:tcPr>
            <w:tcW w:w="1120" w:type="dxa"/>
            <w:vAlign w:val="bottom"/>
            <w:gridSpan w:val="2"/>
          </w:tcPr>
          <w:p>
            <w:pPr>
              <w:ind w:left="360"/>
              <w:spacing w:after="0"/>
              <w:rPr>
                <w:sz w:val="20"/>
                <w:szCs w:val="20"/>
                <w:color w:val="auto"/>
              </w:rPr>
            </w:pPr>
            <w:r>
              <w:rPr>
                <w:rFonts w:ascii="Arial" w:cs="Arial" w:eastAsia="Arial" w:hAnsi="Arial"/>
                <w:sz w:val="14"/>
                <w:szCs w:val="14"/>
                <w:b w:val="1"/>
                <w:bCs w:val="1"/>
                <w:color w:val="auto"/>
                <w:w w:val="90"/>
              </w:rPr>
              <w:t>of SFAS 158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 (current)</w:t>
            </w:r>
          </w:p>
        </w:tc>
        <w:tc>
          <w:tcPr>
            <w:tcW w:w="2800" w:type="dxa"/>
            <w:vAlign w:val="bottom"/>
            <w:shd w:val="clear" w:color="auto" w:fill="CCEEFF"/>
          </w:tcPr>
          <w:p>
            <w:pPr>
              <w:ind w:left="274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191</w:t>
            </w:r>
          </w:p>
        </w:tc>
        <w:tc>
          <w:tcPr>
            <w:tcW w:w="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(28)</w:t>
            </w:r>
          </w:p>
        </w:tc>
        <w:tc>
          <w:tcPr>
            <w:tcW w:w="4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Deferred Taxes (long-term)</w:t>
            </w:r>
          </w:p>
        </w:tc>
        <w:tc>
          <w:tcPr>
            <w:tcW w:w="2800" w:type="dxa"/>
            <w:vAlign w:val="bottom"/>
          </w:tcPr>
          <w:p>
            <w:pPr>
              <w:ind w:left="274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186</w:t>
            </w:r>
          </w:p>
        </w:tc>
        <w:tc>
          <w:tcPr>
            <w:tcW w:w="4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227</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800" w:type="dxa"/>
            <w:vAlign w:val="bottom"/>
            <w:shd w:val="clear" w:color="auto" w:fill="CCEEFF"/>
          </w:tcPr>
          <w:p>
            <w:pPr>
              <w:ind w:left="274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416</w:t>
            </w:r>
          </w:p>
        </w:tc>
        <w:tc>
          <w:tcPr>
            <w:tcW w:w="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(243)</w:t>
            </w:r>
          </w:p>
        </w:tc>
        <w:tc>
          <w:tcPr>
            <w:tcW w:w="4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Accounts payable and accrued liabilities</w:t>
            </w:r>
          </w:p>
        </w:tc>
        <w:tc>
          <w:tcPr>
            <w:tcW w:w="2800" w:type="dxa"/>
            <w:vAlign w:val="bottom"/>
          </w:tcPr>
          <w:p>
            <w:pPr>
              <w:ind w:left="274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3,925</w:t>
            </w:r>
          </w:p>
        </w:tc>
        <w:tc>
          <w:tcPr>
            <w:tcW w:w="48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(77)</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w:t>
            </w:r>
          </w:p>
        </w:tc>
        <w:tc>
          <w:tcPr>
            <w:tcW w:w="2800" w:type="dxa"/>
            <w:vAlign w:val="bottom"/>
            <w:shd w:val="clear" w:color="auto" w:fill="CCEEFF"/>
          </w:tcPr>
          <w:p>
            <w:pPr>
              <w:ind w:left="274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713</w:t>
            </w:r>
          </w:p>
        </w:tc>
        <w:tc>
          <w:tcPr>
            <w:tcW w:w="4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323</w:t>
            </w:r>
          </w:p>
        </w:tc>
        <w:tc>
          <w:tcPr>
            <w:tcW w:w="420" w:type="dxa"/>
            <w:vAlign w:val="bottom"/>
            <w:shd w:val="clear" w:color="auto" w:fill="CCEEFF"/>
          </w:tcPr>
          <w:p>
            <w:pPr>
              <w:ind w:left="36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2800" w:type="dxa"/>
            <w:vAlign w:val="bottom"/>
          </w:tcPr>
          <w:p>
            <w:pPr>
              <w:ind w:left="274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292"/>
              <w:spacing w:after="0"/>
              <w:rPr>
                <w:sz w:val="20"/>
                <w:szCs w:val="20"/>
                <w:color w:val="auto"/>
              </w:rPr>
            </w:pPr>
            <w:r>
              <w:rPr>
                <w:rFonts w:ascii="Arial" w:cs="Arial" w:eastAsia="Arial" w:hAnsi="Arial"/>
                <w:sz w:val="14"/>
                <w:szCs w:val="14"/>
                <w:color w:val="auto"/>
              </w:rPr>
              <w:t>(879)</w:t>
            </w:r>
          </w:p>
        </w:tc>
        <w:tc>
          <w:tcPr>
            <w:tcW w:w="480" w:type="dxa"/>
            <w:vAlign w:val="bottom"/>
          </w:tcPr>
          <w:p>
            <w:pPr>
              <w:ind w:left="3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(290)</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As a result of the adoption of SFAS 158, Schlumberger’s total liabilities increased by approximately 2% and stockholders’ equity decreased by approximately 3%. The impact on Schlumberger’s total assets was insignificant.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Defined Benefit Pension Plans</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and its United States subsidiary sponsor several defined benefit pension plans that cover substantially all employees hired prior to October 1, 2004. The benefits are based on years of service and compensation on a career-average pay basis. The funding policy with respect to qualified pension plans is to annually contribute amounts that are based upon a number of factors including the actuarial accrued liability, amounts that are deductible for income tax purposes, legal funding requirements and available cash flow. These contributions are intended to provide for benefits earned to date and those expected to be earned in the future.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Schlumberger’s contribution to US qualified pension plans during 2006 was $203 million. Although not required to make any contributions to its US qualified pension plans in 2007, Schlumberger currently expects to make contributions in 2007 of between $100 million and $200 million.</w:t>
      </w:r>
    </w:p>
    <w:p>
      <w:pPr>
        <w:ind w:left="240"/>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5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5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1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5.75%</w:t>
            </w:r>
          </w:p>
        </w:tc>
        <w:tc>
          <w:tcPr>
            <w:tcW w:w="2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15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3.00%</w:t>
            </w:r>
          </w:p>
        </w:tc>
        <w:tc>
          <w:tcPr>
            <w:tcW w:w="22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1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8.50%</w:t>
            </w:r>
          </w:p>
        </w:tc>
        <w:tc>
          <w:tcPr>
            <w:tcW w:w="2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280" w:type="dxa"/>
            <w:vAlign w:val="bottom"/>
          </w:tcPr>
          <w:p>
            <w:pPr>
              <w:ind w:left="220"/>
              <w:spacing w:after="0"/>
              <w:rPr>
                <w:sz w:val="20"/>
                <w:szCs w:val="20"/>
                <w:color w:val="auto"/>
              </w:rPr>
            </w:pPr>
            <w:r>
              <w:rPr>
                <w:rFonts w:ascii="Arial" w:cs="Arial" w:eastAsia="Arial" w:hAnsi="Arial"/>
                <w:sz w:val="18"/>
                <w:szCs w:val="18"/>
                <w:color w:val="auto"/>
              </w:rPr>
              <w:t>Net pension cost in the United States for 2006, 2005 and 2004, included the following components:</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17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59</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108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 [actual return: 2006 – $224; 2005 – $132; 2004 - $123]</w:t>
            </w: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(134)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(109)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FAS 88 charge</w:t>
            </w: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80" w:type="dxa"/>
            <w:vAlign w:val="bottom"/>
          </w:tcPr>
          <w:p>
            <w:pPr>
              <w:spacing w:after="0"/>
              <w:rPr>
                <w:sz w:val="20"/>
                <w:szCs w:val="20"/>
                <w:color w:val="auto"/>
              </w:rPr>
            </w:pPr>
            <w:r>
              <w:rPr>
                <w:rFonts w:ascii="Arial" w:cs="Arial" w:eastAsia="Arial" w:hAnsi="Arial"/>
                <w:sz w:val="14"/>
                <w:szCs w:val="14"/>
                <w:color w:val="auto"/>
              </w:rPr>
              <w:t>Amortization of net loss</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pension cost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-29210</wp:posOffset>
            </wp:positionV>
            <wp:extent cx="23558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at December 31, 2006 are the following non-cash pretax charges which have not yet been recognized in net periodic pension cost. Also presented is the estimated portion of each component of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which is expected to be recognized as a component of net periodic benefit cost during the year-ending December 31, 2007.</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642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rPr>
              <w:t>Amt. recognized in</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expected</w:t>
            </w:r>
          </w:p>
        </w:tc>
      </w:tr>
      <w:tr>
        <w:trPr>
          <w:trHeight w:val="149"/>
        </w:trPr>
        <w:tc>
          <w:tcPr>
            <w:tcW w:w="3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tcPr>
          <w:p>
            <w:pPr>
              <w:jc w:val="right"/>
              <w:ind w:right="572"/>
              <w:spacing w:after="0" w:line="149" w:lineRule="exact"/>
              <w:rPr>
                <w:sz w:val="20"/>
                <w:szCs w:val="20"/>
                <w:color w:val="auto"/>
              </w:rPr>
            </w:pPr>
            <w:r>
              <w:rPr>
                <w:rFonts w:ascii="Arial" w:cs="Arial" w:eastAsia="Arial" w:hAnsi="Arial"/>
                <w:sz w:val="14"/>
                <w:szCs w:val="14"/>
                <w:b w:val="1"/>
                <w:bCs w:val="1"/>
                <w:color w:val="auto"/>
              </w:rPr>
              <w:t>Acc. Other</w:t>
            </w:r>
          </w:p>
        </w:tc>
        <w:tc>
          <w:tcPr>
            <w:tcW w:w="7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to be charged</w:t>
            </w:r>
          </w:p>
        </w:tc>
      </w:tr>
      <w:tr>
        <w:trPr>
          <w:trHeight w:val="149"/>
        </w:trPr>
        <w:tc>
          <w:tcPr>
            <w:tcW w:w="3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tcPr>
          <w:p>
            <w:pPr>
              <w:jc w:val="right"/>
              <w:ind w:right="572"/>
              <w:spacing w:after="0" w:line="149" w:lineRule="exact"/>
              <w:rPr>
                <w:sz w:val="20"/>
                <w:szCs w:val="20"/>
                <w:color w:val="auto"/>
              </w:rPr>
            </w:pPr>
            <w:r>
              <w:rPr>
                <w:rFonts w:ascii="Arial" w:cs="Arial" w:eastAsia="Arial" w:hAnsi="Arial"/>
                <w:sz w:val="14"/>
                <w:szCs w:val="14"/>
                <w:b w:val="1"/>
                <w:bCs w:val="1"/>
                <w:color w:val="auto"/>
                <w:w w:val="97"/>
              </w:rPr>
              <w:t>Comp. Income</w:t>
            </w:r>
          </w:p>
        </w:tc>
        <w:tc>
          <w:tcPr>
            <w:tcW w:w="7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to net periodic</w:t>
            </w:r>
          </w:p>
        </w:tc>
      </w:tr>
      <w:tr>
        <w:trPr>
          <w:trHeight w:val="174"/>
        </w:trPr>
        <w:tc>
          <w:tcPr>
            <w:tcW w:w="33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w w:val="93"/>
              </w:rPr>
              <w:t>at Dec 31, 2006</w:t>
            </w:r>
          </w:p>
        </w:tc>
        <w:tc>
          <w:tcPr>
            <w:tcW w:w="7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cost in 2007</w:t>
            </w:r>
          </w:p>
        </w:tc>
      </w:tr>
      <w:tr>
        <w:trPr>
          <w:trHeight w:val="149"/>
        </w:trPr>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actuarial losses</w:t>
            </w:r>
          </w:p>
        </w:tc>
        <w:tc>
          <w:tcPr>
            <w:tcW w:w="4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ind w:right="572"/>
              <w:spacing w:after="0" w:line="149" w:lineRule="exact"/>
              <w:rPr>
                <w:sz w:val="20"/>
                <w:szCs w:val="20"/>
                <w:color w:val="auto"/>
              </w:rPr>
            </w:pPr>
            <w:r>
              <w:rPr>
                <w:rFonts w:ascii="Arial" w:cs="Arial" w:eastAsia="Arial" w:hAnsi="Arial"/>
                <w:sz w:val="14"/>
                <w:szCs w:val="14"/>
                <w:b w:val="1"/>
                <w:bCs w:val="1"/>
                <w:color w:val="auto"/>
              </w:rPr>
              <w:t>251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r>
      <w:tr>
        <w:trPr>
          <w:trHeight w:val="174"/>
        </w:trPr>
        <w:tc>
          <w:tcPr>
            <w:tcW w:w="3360" w:type="dxa"/>
            <w:vAlign w:val="bottom"/>
          </w:tcPr>
          <w:p>
            <w:pPr>
              <w:spacing w:after="0"/>
              <w:rPr>
                <w:sz w:val="20"/>
                <w:szCs w:val="20"/>
                <w:color w:val="auto"/>
              </w:rPr>
            </w:pPr>
            <w:r>
              <w:rPr>
                <w:rFonts w:ascii="Arial" w:cs="Arial" w:eastAsia="Arial" w:hAnsi="Arial"/>
                <w:sz w:val="14"/>
                <w:szCs w:val="14"/>
                <w:color w:val="auto"/>
              </w:rPr>
              <w:t>Prior service cost</w:t>
            </w:r>
          </w:p>
        </w:tc>
        <w:tc>
          <w:tcPr>
            <w:tcW w:w="4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60</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4"/>
        </w:trPr>
        <w:tc>
          <w:tcPr>
            <w:tcW w:w="3360" w:type="dxa"/>
            <w:vAlign w:val="bottom"/>
          </w:tcPr>
          <w:p>
            <w:pPr>
              <w:spacing w:after="0"/>
              <w:rPr>
                <w:sz w:val="24"/>
                <w:szCs w:val="24"/>
                <w:color w:val="auto"/>
              </w:rPr>
            </w:pPr>
          </w:p>
        </w:tc>
        <w:tc>
          <w:tcPr>
            <w:tcW w:w="4820" w:type="dxa"/>
            <w:vAlign w:val="bottom"/>
          </w:tcPr>
          <w:p>
            <w:pPr>
              <w:jc w:val="right"/>
              <w:ind w:right="2332"/>
              <w:spacing w:after="0"/>
              <w:rPr>
                <w:sz w:val="20"/>
                <w:szCs w:val="20"/>
                <w:color w:val="auto"/>
              </w:rPr>
            </w:pPr>
            <w:r>
              <w:rPr>
                <w:rFonts w:ascii="Arial" w:cs="Arial" w:eastAsia="Arial" w:hAnsi="Arial"/>
                <w:sz w:val="14"/>
                <w:szCs w:val="14"/>
                <w:color w:val="auto"/>
              </w:rPr>
              <w:t>65</w:t>
            </w: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changes in the projected benefit obligation, plan assets and funded status of the plans on December 31, 2006 and 2005, were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1,984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112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Actuarial (gain)/losses</w:t>
            </w:r>
          </w:p>
        </w:tc>
        <w:tc>
          <w:tcPr>
            <w:tcW w:w="80" w:type="dxa"/>
            <w:vAlign w:val="bottom"/>
          </w:tcPr>
          <w:p>
            <w:pPr>
              <w:spacing w:after="0"/>
              <w:rPr>
                <w:sz w:val="12"/>
                <w:szCs w:val="12"/>
                <w:color w:val="auto"/>
              </w:rPr>
            </w:pPr>
          </w:p>
        </w:tc>
        <w:tc>
          <w:tcPr>
            <w:tcW w:w="8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(89)</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(95)</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Amendments</w:t>
            </w:r>
          </w:p>
        </w:tc>
        <w:tc>
          <w:tcPr>
            <w:tcW w:w="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2,006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1,984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1,588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8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224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204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tcPr>
          <w:p>
            <w:pPr>
              <w:spacing w:after="0"/>
              <w:rPr>
                <w:sz w:val="12"/>
                <w:szCs w:val="12"/>
                <w:color w:val="auto"/>
              </w:rPr>
            </w:pPr>
          </w:p>
        </w:tc>
        <w:tc>
          <w:tcPr>
            <w:tcW w:w="8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(95)</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Administrative expense</w:t>
            </w: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(8)</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1,913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Underfunded position at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(93)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net loss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00" w:type="dxa"/>
            <w:vAlign w:val="bottom"/>
          </w:tcPr>
          <w:p>
            <w:pPr>
              <w:spacing w:after="0"/>
              <w:rPr>
                <w:sz w:val="20"/>
                <w:szCs w:val="20"/>
                <w:color w:val="auto"/>
              </w:rPr>
            </w:pPr>
            <w:r>
              <w:rPr>
                <w:rFonts w:ascii="Arial" w:cs="Arial" w:eastAsia="Arial" w:hAnsi="Arial"/>
                <w:sz w:val="14"/>
                <w:szCs w:val="14"/>
                <w:color w:val="auto"/>
              </w:rPr>
              <w:t>Unrecognized prior service cost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asset at end of the year</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0" w:type="dxa"/>
            <w:vAlign w:val="bottom"/>
          </w:tcPr>
          <w:p>
            <w:pPr>
              <w:spacing w:after="0"/>
              <w:rPr>
                <w:sz w:val="20"/>
                <w:szCs w:val="20"/>
                <w:color w:val="auto"/>
              </w:rPr>
            </w:pPr>
            <w:r>
              <w:rPr>
                <w:rFonts w:ascii="Arial" w:cs="Arial" w:eastAsia="Arial" w:hAnsi="Arial"/>
                <w:sz w:val="14"/>
                <w:szCs w:val="14"/>
                <w:color w:val="auto"/>
              </w:rPr>
              <w:t>Accumulated benefits obligation at end of the year</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5"/>
              </w:rPr>
              <w:t>(1,883)</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85"/>
              </w:rPr>
              <w:t>(1,867)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liability</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tcPr>
          <w:p>
            <w:pPr>
              <w:spacing w:after="0" w:line="149" w:lineRule="exact"/>
              <w:rPr>
                <w:sz w:val="20"/>
                <w:szCs w:val="20"/>
                <w:color w:val="auto"/>
              </w:rPr>
            </w:pPr>
            <w:r>
              <w:rPr>
                <w:rFonts w:ascii="Arial" w:cs="Arial" w:eastAsia="Arial" w:hAnsi="Arial"/>
                <w:sz w:val="14"/>
                <w:szCs w:val="14"/>
                <w:color w:val="auto"/>
              </w:rPr>
              <w:t>Pension asset at end of the year</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Charged to other comprehensive loss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-2790825</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-2790825</wp:posOffset>
            </wp:positionV>
            <wp:extent cx="2159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-2790825</wp:posOffset>
            </wp:positionV>
            <wp:extent cx="3873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-2790825</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-2790825</wp:posOffset>
            </wp:positionV>
            <wp:extent cx="2159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-2790825</wp:posOffset>
            </wp:positionV>
            <wp:extent cx="3873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-1915795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-1915795</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-1915795</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-1915795</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-1915795</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-1915795</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-1658620</wp:posOffset>
            </wp:positionV>
            <wp:extent cx="29591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-1066800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-1066800</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-1066800</wp:posOffset>
            </wp:positionV>
            <wp:extent cx="3873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-715010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-715010</wp:posOffset>
            </wp:positionV>
            <wp:extent cx="2159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-715010</wp:posOffset>
            </wp:positionV>
            <wp:extent cx="3873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-715010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-715010</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-715010</wp:posOffset>
            </wp:positionV>
            <wp:extent cx="387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0" w:firstLine="228"/>
        <w:spacing w:after="0" w:line="254" w:lineRule="auto"/>
        <w:rPr>
          <w:sz w:val="20"/>
          <w:szCs w:val="20"/>
          <w:color w:val="auto"/>
        </w:rPr>
      </w:pPr>
      <w:r>
        <w:rPr>
          <w:rFonts w:ascii="Arial" w:cs="Arial" w:eastAsia="Arial" w:hAnsi="Arial"/>
          <w:sz w:val="18"/>
          <w:szCs w:val="18"/>
          <w:color w:val="auto"/>
        </w:rPr>
        <w:t xml:space="preserve">The $93 million underfunded position of the United States defined benefit pension plans is included in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in the accompanying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at December 31, 2006.</w:t>
      </w:r>
    </w:p>
    <w:p>
      <w:pPr>
        <w:ind w:right="80" w:firstLine="228"/>
        <w:spacing w:after="0" w:line="28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2005 presents Schlumberger’s pension obligations in accordance with SFAS 87, whereby a minimum liability adjustment equal to the difference between the plan assets and the accumulated benefit obligation (“ABO”) was recognized, partially offset by an intangible asset for unrecognized prior service cost, with the remainder charged to equity, net of tax. Further, any prepaid pension asset in excess of unrecognized prior service cost was reversed through a net-of-tax charge to equity. The ABO represents the actuarial present value of benefits based on employee service and compensation and does not include an assumption about future compensation levels. During the year ended December 31, 2005, Schlumberger recorded a non-cash pretax charge to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of $67 million ($42 million after-tax) to reflect the minimum liability referred to above. At December 31, 2005, the cumulative non-cash pretax charge recorded in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was $324 million ($201 million after-tax). The charge to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represented a net loss not yet recognized as pension expense. The $279 million minimum pension liability at December 31, 2005 is included in </w:t>
      </w:r>
      <w:r>
        <w:rPr>
          <w:rFonts w:ascii="Arial" w:cs="Arial" w:eastAsia="Arial" w:hAnsi="Arial"/>
          <w:sz w:val="16"/>
          <w:szCs w:val="16"/>
          <w:i w:val="1"/>
          <w:iCs w:val="1"/>
          <w:color w:val="auto"/>
        </w:rPr>
        <w:t>Accounts payable and accrued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in the accompanying</w:t>
      </w:r>
      <w:r>
        <w:rPr>
          <w:rFonts w:ascii="Arial" w:cs="Arial" w:eastAsia="Arial" w:hAnsi="Arial"/>
          <w:sz w:val="16"/>
          <w:szCs w:val="16"/>
          <w:i w:val="1"/>
          <w:iCs w:val="1"/>
          <w:color w:val="auto"/>
        </w:rPr>
        <w:t xml:space="preserve"> Consolidated Balance Sheet</w:t>
      </w:r>
      <w:r>
        <w:rPr>
          <w:rFonts w:ascii="Arial" w:cs="Arial" w:eastAsia="Arial" w:hAnsi="Arial"/>
          <w:sz w:val="16"/>
          <w:szCs w:val="16"/>
          <w:color w:val="auto"/>
        </w:rPr>
        <w:t>.</w:t>
      </w:r>
    </w:p>
    <w:p>
      <w:pPr>
        <w:spacing w:after="0" w:line="6" w:lineRule="exact"/>
        <w:rPr>
          <w:sz w:val="20"/>
          <w:szCs w:val="20"/>
          <w:color w:val="auto"/>
        </w:rPr>
      </w:pPr>
    </w:p>
    <w:p>
      <w:pPr>
        <w:ind w:right="100" w:firstLine="228"/>
        <w:spacing w:after="0" w:line="261" w:lineRule="auto"/>
        <w:rPr>
          <w:sz w:val="20"/>
          <w:szCs w:val="20"/>
          <w:color w:val="auto"/>
        </w:rPr>
      </w:pPr>
      <w:r>
        <w:rPr>
          <w:rFonts w:ascii="Arial" w:cs="Arial" w:eastAsia="Arial" w:hAnsi="Arial"/>
          <w:sz w:val="18"/>
          <w:szCs w:val="18"/>
          <w:color w:val="auto"/>
        </w:rPr>
        <w:t>The assumed discount rate, the rate of compensation increases and the expected long-term rate of return on plan assets used to determine the projected benefit obligations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73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7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73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6.00%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73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3.00%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73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8.50%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40" w:type="dxa"/>
            <w:vAlign w:val="bottom"/>
          </w:tcPr>
          <w:p>
            <w:pPr>
              <w:jc w:val="right"/>
              <w:ind w:right="4972"/>
              <w:spacing w:after="0"/>
              <w:rPr>
                <w:sz w:val="20"/>
                <w:szCs w:val="20"/>
                <w:color w:val="auto"/>
              </w:rPr>
            </w:pPr>
            <w:r>
              <w:rPr>
                <w:rFonts w:ascii="Arial" w:cs="Arial" w:eastAsia="Arial" w:hAnsi="Arial"/>
                <w:sz w:val="14"/>
                <w:szCs w:val="14"/>
                <w:color w:val="auto"/>
              </w:rPr>
              <w:t>66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breakdown of the plan assets: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equity securities</w:t>
            </w:r>
          </w:p>
        </w:tc>
        <w:tc>
          <w:tcPr>
            <w:tcW w:w="44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905</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Non-US equity securities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income securities</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4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85</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investments</w:t>
            </w:r>
          </w:p>
        </w:tc>
        <w:tc>
          <w:tcPr>
            <w:tcW w:w="4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rPr>
                <w:sz w:val="12"/>
                <w:szCs w:val="12"/>
                <w:color w:val="auto"/>
              </w:rPr>
            </w:pPr>
          </w:p>
        </w:tc>
        <w:tc>
          <w:tcPr>
            <w:tcW w:w="44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1,913</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1,588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-27305</wp:posOffset>
            </wp:positionV>
            <wp:extent cx="26162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-27305</wp:posOffset>
            </wp:positionV>
            <wp:extent cx="26987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28" w:lineRule="exact"/>
        <w:rPr>
          <w:sz w:val="20"/>
          <w:szCs w:val="20"/>
          <w:color w:val="auto"/>
        </w:rPr>
      </w:pPr>
    </w:p>
    <w:p>
      <w:pPr>
        <w:ind w:right="220" w:firstLine="228"/>
        <w:spacing w:after="0" w:line="284" w:lineRule="auto"/>
        <w:rPr>
          <w:sz w:val="20"/>
          <w:szCs w:val="20"/>
          <w:color w:val="auto"/>
        </w:rPr>
      </w:pPr>
      <w:r>
        <w:rPr>
          <w:rFonts w:ascii="Arial" w:cs="Arial" w:eastAsia="Arial" w:hAnsi="Arial"/>
          <w:sz w:val="16"/>
          <w:szCs w:val="16"/>
          <w:color w:val="auto"/>
        </w:rPr>
        <w:t>The asset allocation objectives are to diversify the portfolio among several asset classes to reduce volatility while maintaining an asset mix that provides the highest expected rate of return consistent with an acceptable level of risk. The investment strategies include a rebalancing of the asset mix as necessary to the previously defined levels and reassessing funding levels and asset allocation strategy at least annually.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December 31, 2006, there is no investment of plan assets in Schlumberger common stock.</w:t>
      </w:r>
    </w:p>
    <w:p>
      <w:pPr>
        <w:spacing w:after="0" w:line="9"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The expected long-term rate of return on assets is 8.5%. This assumption represents the rate of return on plan assets reflecting the average rate of earnings expected on the funds invested or to be invested to provide for the benefits included in the projected benefit obligation. The assumption has been determined by reflecting expectations regarding future rates of return for the portfolio considering the asset distribution and related historical rates of return. The appropriateness of the assumption is reviewed at least annually. The pension trust’s performance over the last 10 years has been an annualized return of 8.7%.</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expected benefits to be paid under the plan are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2007</w:t>
            </w:r>
          </w:p>
        </w:tc>
        <w:tc>
          <w:tcPr>
            <w:tcW w:w="5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554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5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554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5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r>
      <w:tr>
        <w:trPr>
          <w:trHeight w:val="172"/>
        </w:trPr>
        <w:tc>
          <w:tcPr>
            <w:tcW w:w="5880" w:type="dxa"/>
            <w:vAlign w:val="bottom"/>
          </w:tcPr>
          <w:p>
            <w:pPr>
              <w:spacing w:after="0"/>
              <w:rPr>
                <w:sz w:val="20"/>
                <w:szCs w:val="20"/>
                <w:color w:val="auto"/>
              </w:rPr>
            </w:pPr>
            <w:r>
              <w:rPr>
                <w:rFonts w:ascii="Arial" w:cs="Arial" w:eastAsia="Arial" w:hAnsi="Arial"/>
                <w:sz w:val="14"/>
                <w:szCs w:val="14"/>
                <w:color w:val="auto"/>
              </w:rPr>
              <w:t>2012- 2016</w:t>
            </w:r>
          </w:p>
        </w:tc>
        <w:tc>
          <w:tcPr>
            <w:tcW w:w="5540" w:type="dxa"/>
            <w:vAlign w:val="bottom"/>
          </w:tcPr>
          <w:p>
            <w:pPr>
              <w:jc w:val="right"/>
              <w:spacing w:after="0"/>
              <w:rPr>
                <w:sz w:val="20"/>
                <w:szCs w:val="20"/>
                <w:color w:val="auto"/>
              </w:rPr>
            </w:pPr>
            <w:r>
              <w:rPr>
                <w:rFonts w:ascii="Arial" w:cs="Arial" w:eastAsia="Arial" w:hAnsi="Arial"/>
                <w:sz w:val="14"/>
                <w:szCs w:val="14"/>
                <w:color w:val="auto"/>
              </w:rPr>
              <w:t>$675</w:t>
            </w:r>
          </w:p>
        </w:tc>
      </w:tr>
    </w:tbl>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plan assets are expected to be returned to the Company during the fiscal year ended December 31, 2007.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Defined Benefit Pension Plans</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to the previously disclosed United States defined benefit pension plans, Schlumberger sponsors several other defined benefit pension plans. Charges to expense for these plans were $56 million, $54 million and $43 million in 2006, 2005 and 2004, respectively, and are based upon costs computed by actuaries. These plans are funded through trusts in respect to past and current service.</w:t>
      </w:r>
    </w:p>
    <w:p>
      <w:pPr>
        <w:ind w:right="40" w:firstLine="228"/>
        <w:spacing w:after="0" w:line="250" w:lineRule="auto"/>
        <w:rPr>
          <w:sz w:val="20"/>
          <w:szCs w:val="20"/>
          <w:color w:val="auto"/>
        </w:rPr>
      </w:pPr>
      <w:r>
        <w:rPr>
          <w:rFonts w:ascii="Arial" w:cs="Arial" w:eastAsia="Arial" w:hAnsi="Arial"/>
          <w:sz w:val="18"/>
          <w:szCs w:val="18"/>
          <w:color w:val="auto"/>
        </w:rPr>
        <w:t>Based on plan assets and the projected benefit obligation, the only significant defined benefit plan is in the UK, which covers employees hired prior to April 1, 1999.</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500" w:type="dxa"/>
            <w:vAlign w:val="bottom"/>
          </w:tcPr>
          <w:p>
            <w:pPr>
              <w:jc w:val="right"/>
              <w:ind w:right="272"/>
              <w:spacing w:after="0"/>
              <w:rPr>
                <w:sz w:val="20"/>
                <w:szCs w:val="20"/>
                <w:color w:val="auto"/>
              </w:rPr>
            </w:pPr>
            <w:r>
              <w:rPr>
                <w:rFonts w:ascii="Arial" w:cs="Arial" w:eastAsia="Arial" w:hAnsi="Arial"/>
                <w:sz w:val="14"/>
                <w:szCs w:val="14"/>
                <w:b w:val="1"/>
                <w:bCs w:val="1"/>
                <w:color w:val="auto"/>
              </w:rPr>
              <w:t>2006</w:t>
            </w: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6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65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5.20%</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5.40%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65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4.50%</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4.10%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65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8.00%</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500" w:type="dxa"/>
            <w:vAlign w:val="bottom"/>
          </w:tcPr>
          <w:p>
            <w:pPr>
              <w:jc w:val="right"/>
              <w:ind w:right="4132"/>
              <w:spacing w:after="0"/>
              <w:rPr>
                <w:sz w:val="20"/>
                <w:szCs w:val="20"/>
                <w:color w:val="auto"/>
              </w:rPr>
            </w:pPr>
            <w:r>
              <w:rPr>
                <w:rFonts w:ascii="Arial" w:cs="Arial" w:eastAsia="Arial" w:hAnsi="Arial"/>
                <w:sz w:val="14"/>
                <w:szCs w:val="14"/>
                <w:color w:val="auto"/>
              </w:rPr>
              <w:t>67</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Net pension cost in the UK plan for 2006, 2005 and 2004 (translated into US dollars at the average exchange rate for the periods), included the following components: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2006</w:t>
            </w:r>
          </w:p>
        </w:tc>
        <w:tc>
          <w:tcPr>
            <w:tcW w:w="5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15"/>
                <w:szCs w:val="15"/>
                <w:color w:val="auto"/>
              </w:rPr>
            </w:pPr>
          </w:p>
        </w:tc>
        <w:tc>
          <w:tcPr>
            <w:tcW w:w="5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9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$ 26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 [actual return: 2006 – $50; 2005 – $106; 2004 – $48]</w:t>
            </w: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(53)</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8"/>
              </w:rPr>
              <w:t>(45)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spacing w:after="0"/>
              <w:rPr>
                <w:sz w:val="20"/>
                <w:szCs w:val="20"/>
                <w:color w:val="auto"/>
              </w:rPr>
            </w:pPr>
            <w:r>
              <w:rPr>
                <w:rFonts w:ascii="Arial" w:cs="Arial" w:eastAsia="Arial" w:hAnsi="Arial"/>
                <w:sz w:val="14"/>
                <w:szCs w:val="14"/>
                <w:color w:val="auto"/>
              </w:rPr>
              <w:t>Amortization of net loss &amp; other</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pension cost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$ 32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3873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0129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225"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at December 31, 2006 are the following non-cash pretax charges which have not yet been recognized in net periodic pension cost. Also presented is the estimated portion of each component of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which is expected to be recognized as a component of net periodic benefit cost during the year-ending December 31, 2007.</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22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Amt. recognized in</w:t>
            </w:r>
          </w:p>
        </w:tc>
        <w:tc>
          <w:tcPr>
            <w:tcW w:w="1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Amount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80" w:type="dxa"/>
            <w:vAlign w:val="bottom"/>
          </w:tcPr>
          <w:p>
            <w:pPr>
              <w:jc w:val="right"/>
              <w:ind w:right="592"/>
              <w:spacing w:after="0" w:line="149" w:lineRule="exact"/>
              <w:rPr>
                <w:sz w:val="20"/>
                <w:szCs w:val="20"/>
                <w:color w:val="auto"/>
              </w:rPr>
            </w:pPr>
            <w:r>
              <w:rPr>
                <w:rFonts w:ascii="Arial" w:cs="Arial" w:eastAsia="Arial" w:hAnsi="Arial"/>
                <w:sz w:val="14"/>
                <w:szCs w:val="14"/>
                <w:b w:val="1"/>
                <w:bCs w:val="1"/>
                <w:color w:val="auto"/>
              </w:rPr>
              <w:t>Acc. Other</w:t>
            </w:r>
          </w:p>
        </w:tc>
        <w:tc>
          <w:tcPr>
            <w:tcW w:w="80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3"/>
              </w:rPr>
              <w:t>to be charged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80" w:type="dxa"/>
            <w:vAlign w:val="bottom"/>
          </w:tcPr>
          <w:p>
            <w:pPr>
              <w:jc w:val="right"/>
              <w:ind w:right="592"/>
              <w:spacing w:after="0" w:line="149" w:lineRule="exact"/>
              <w:rPr>
                <w:sz w:val="20"/>
                <w:szCs w:val="20"/>
                <w:color w:val="auto"/>
              </w:rPr>
            </w:pPr>
            <w:r>
              <w:rPr>
                <w:rFonts w:ascii="Arial" w:cs="Arial" w:eastAsia="Arial" w:hAnsi="Arial"/>
                <w:sz w:val="14"/>
                <w:szCs w:val="14"/>
                <w:b w:val="1"/>
                <w:bCs w:val="1"/>
                <w:color w:val="auto"/>
                <w:w w:val="88"/>
              </w:rPr>
              <w:t>Comp. Income at</w:t>
            </w:r>
          </w:p>
        </w:tc>
        <w:tc>
          <w:tcPr>
            <w:tcW w:w="80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to net periodic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80" w:type="dxa"/>
            <w:vAlign w:val="bottom"/>
          </w:tcPr>
          <w:p>
            <w:pPr>
              <w:jc w:val="right"/>
              <w:ind w:right="592"/>
              <w:spacing w:after="0"/>
              <w:rPr>
                <w:sz w:val="20"/>
                <w:szCs w:val="20"/>
                <w:color w:val="auto"/>
              </w:rPr>
            </w:pPr>
            <w:r>
              <w:rPr>
                <w:rFonts w:ascii="Arial" w:cs="Arial" w:eastAsia="Arial" w:hAnsi="Arial"/>
                <w:sz w:val="14"/>
                <w:szCs w:val="14"/>
                <w:b w:val="1"/>
                <w:bCs w:val="1"/>
                <w:color w:val="auto"/>
              </w:rPr>
              <w:t>Dec 31, 2006</w:t>
            </w:r>
          </w:p>
        </w:tc>
        <w:tc>
          <w:tcPr>
            <w:tcW w:w="8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cost in 2007</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5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actuarial losses</w:t>
            </w:r>
          </w:p>
        </w:tc>
        <w:tc>
          <w:tcPr>
            <w:tcW w:w="3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b w:val="1"/>
                <w:bCs w:val="1"/>
                <w:color w:val="auto"/>
              </w:rPr>
              <w:t>286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4"/>
                <w:szCs w:val="14"/>
                <w:color w:val="auto"/>
              </w:rPr>
              <w:t>Prior service cost</w:t>
            </w:r>
          </w:p>
        </w:tc>
        <w:tc>
          <w:tcPr>
            <w:tcW w:w="3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ind w:right="592"/>
              <w:spacing w:after="0"/>
              <w:rPr>
                <w:sz w:val="20"/>
                <w:szCs w:val="20"/>
                <w:color w:val="auto"/>
              </w:rPr>
            </w:pPr>
            <w:r>
              <w:rPr>
                <w:rFonts w:ascii="Arial" w:cs="Arial" w:eastAsia="Arial" w:hAnsi="Arial"/>
                <w:sz w:val="14"/>
                <w:szCs w:val="14"/>
                <w:b w:val="1"/>
                <w:bCs w:val="1"/>
                <w:color w:val="auto"/>
              </w:rPr>
              <w:t>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The changes in the projected benefit obligation, plan assets and funded status of the plan (translated into US dollars at year-end exchange rates) were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3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0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$ 801</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Actuarial losses</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Currency effect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(23)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300" w:type="dxa"/>
            <w:vAlign w:val="bottom"/>
          </w:tcPr>
          <w:p>
            <w:pPr>
              <w:spacing w:after="0"/>
              <w:rPr>
                <w:sz w:val="20"/>
                <w:szCs w:val="20"/>
                <w:color w:val="auto"/>
              </w:rPr>
            </w:pPr>
            <w:r>
              <w:rPr>
                <w:rFonts w:ascii="Arial" w:cs="Arial" w:eastAsia="Arial" w:hAnsi="Arial"/>
                <w:sz w:val="14"/>
                <w:szCs w:val="14"/>
                <w:color w:val="auto"/>
              </w:rPr>
              <w:t>Other</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3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$ 991</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$ 647</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106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Employer contributions</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contributions</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Transfer in</w:t>
            </w: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(23)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300" w:type="dxa"/>
            <w:vAlign w:val="bottom"/>
          </w:tcPr>
          <w:p>
            <w:pPr>
              <w:spacing w:after="0"/>
              <w:rPr>
                <w:sz w:val="20"/>
                <w:szCs w:val="20"/>
                <w:color w:val="auto"/>
              </w:rPr>
            </w:pPr>
            <w:r>
              <w:rPr>
                <w:rFonts w:ascii="Arial" w:cs="Arial" w:eastAsia="Arial" w:hAnsi="Arial"/>
                <w:sz w:val="14"/>
                <w:szCs w:val="14"/>
                <w:color w:val="auto"/>
              </w:rPr>
              <w:t>Other</w:t>
            </w: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3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$ 810</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Underfunded position at end of year</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88"/>
              </w:rPr>
              <w:t>$(181)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net loss</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net asset at transition date</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asset</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300" w:type="dxa"/>
            <w:vAlign w:val="bottom"/>
          </w:tcPr>
          <w:p>
            <w:pPr>
              <w:spacing w:after="0"/>
              <w:rPr>
                <w:sz w:val="20"/>
                <w:szCs w:val="20"/>
                <w:color w:val="auto"/>
              </w:rPr>
            </w:pPr>
            <w:r>
              <w:rPr>
                <w:rFonts w:ascii="Arial" w:cs="Arial" w:eastAsia="Arial" w:hAnsi="Arial"/>
                <w:sz w:val="14"/>
                <w:szCs w:val="14"/>
                <w:color w:val="auto"/>
              </w:rPr>
              <w:t>Accumulated benefit obligation of plan at end of the year</w:t>
            </w: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$(859)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w w:val="85"/>
              </w:rPr>
              <w:t>(674)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3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liability</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Pension asset of under-funded plan</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Charged to other comprehensive loss</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-3168015</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-3168015</wp:posOffset>
            </wp:positionV>
            <wp:extent cx="2159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-3168015</wp:posOffset>
            </wp:positionV>
            <wp:extent cx="3873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-3168015</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-3168015</wp:posOffset>
            </wp:positionV>
            <wp:extent cx="2159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-3168015</wp:posOffset>
            </wp:positionV>
            <wp:extent cx="3873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-2010410</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-2010410</wp:posOffset>
            </wp:positionV>
            <wp:extent cx="2159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-2010410</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-2010410</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-2010410</wp:posOffset>
            </wp:positionV>
            <wp:extent cx="2159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-2010410</wp:posOffset>
            </wp:positionV>
            <wp:extent cx="3873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-1753235</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-1753235</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-1753235</wp:posOffset>
            </wp:positionV>
            <wp:extent cx="3873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-1066800</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-1066800</wp:posOffset>
            </wp:positionV>
            <wp:extent cx="2159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-1066800</wp:posOffset>
            </wp:positionV>
            <wp:extent cx="3873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-715010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-715010</wp:posOffset>
            </wp:positionV>
            <wp:extent cx="2159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-715010</wp:posOffset>
            </wp:positionV>
            <wp:extent cx="3873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-715010</wp:posOffset>
            </wp:positionV>
            <wp:extent cx="23558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 xml:space="preserve">The $181 million underfunded position of the UK defined benefit pension plans is included in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in the accompanying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 </w:t>
      </w:r>
      <w:r>
        <w:rPr>
          <w:rFonts w:ascii="Arial" w:cs="Arial" w:eastAsia="Arial" w:hAnsi="Arial"/>
          <w:sz w:val="18"/>
          <w:szCs w:val="18"/>
          <w:color w:val="auto"/>
        </w:rPr>
        <w:t>at December 31, 2006. The $27 million minimum pension liability at December 31, 2005 is included in</w:t>
      </w:r>
      <w:r>
        <w:rPr>
          <w:rFonts w:ascii="Arial" w:cs="Arial" w:eastAsia="Arial" w:hAnsi="Arial"/>
          <w:sz w:val="18"/>
          <w:szCs w:val="18"/>
          <w:i w:val="1"/>
          <w:iCs w:val="1"/>
          <w:color w:val="auto"/>
        </w:rPr>
        <w:t xml:space="preserve"> Accounts payable and accrued liabilities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8"/>
          <w:szCs w:val="18"/>
          <w:color w:val="auto"/>
        </w:rPr>
        <w:t>The assumed discount rate and rate of compensation increases used to determine the projected benefit obligation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0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50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5.20%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Compensation increases</w:t>
            </w:r>
          </w:p>
        </w:tc>
        <w:tc>
          <w:tcPr>
            <w:tcW w:w="5060" w:type="dxa"/>
            <w:vAlign w:val="bottom"/>
          </w:tcPr>
          <w:p>
            <w:pPr>
              <w:jc w:val="right"/>
              <w:ind w:right="152"/>
              <w:spacing w:after="0"/>
              <w:rPr>
                <w:sz w:val="20"/>
                <w:szCs w:val="20"/>
                <w:color w:val="auto"/>
              </w:rPr>
            </w:pPr>
            <w:r>
              <w:rPr>
                <w:rFonts w:ascii="Arial" w:cs="Arial" w:eastAsia="Arial" w:hAnsi="Arial"/>
                <w:sz w:val="14"/>
                <w:szCs w:val="14"/>
                <w:b w:val="1"/>
                <w:bCs w:val="1"/>
                <w:color w:val="auto"/>
              </w:rPr>
              <w:t>4.50%</w:t>
            </w:r>
          </w:p>
        </w:tc>
        <w:tc>
          <w:tcPr>
            <w:tcW w:w="600" w:type="dxa"/>
            <w:vAlign w:val="bottom"/>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breakdown of the plan assets: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4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2006</w:t>
            </w:r>
          </w:p>
        </w:tc>
        <w:tc>
          <w:tcPr>
            <w:tcW w:w="7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$542</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tcPr>
          <w:p>
            <w:pPr>
              <w:spacing w:after="0" w:line="149" w:lineRule="exact"/>
              <w:rPr>
                <w:sz w:val="20"/>
                <w:szCs w:val="20"/>
                <w:color w:val="auto"/>
              </w:rPr>
            </w:pPr>
            <w:r>
              <w:rPr>
                <w:rFonts w:ascii="Arial" w:cs="Arial" w:eastAsia="Arial" w:hAnsi="Arial"/>
                <w:sz w:val="14"/>
                <w:szCs w:val="14"/>
                <w:color w:val="auto"/>
              </w:rPr>
              <w:t>Fixed income securities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155</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Index linked gilts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Other investments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$810</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7589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75895" cy="29845"/>
                    </a:xfrm>
                    <a:prstGeom prst="rect">
                      <a:avLst/>
                    </a:prstGeom>
                    <a:noFill/>
                  </pic:spPr>
                </pic:pic>
              </a:graphicData>
            </a:graphic>
          </wp:anchor>
        </w:drawing>
      </w:r>
    </w:p>
    <w:p>
      <w:pPr>
        <w:spacing w:after="0" w:line="225" w:lineRule="exact"/>
        <w:rPr>
          <w:sz w:val="20"/>
          <w:szCs w:val="20"/>
          <w:color w:val="auto"/>
        </w:rPr>
      </w:pPr>
    </w:p>
    <w:p>
      <w:pPr>
        <w:ind w:right="320" w:firstLine="228"/>
        <w:spacing w:after="0" w:line="286" w:lineRule="auto"/>
        <w:rPr>
          <w:sz w:val="20"/>
          <w:szCs w:val="20"/>
          <w:color w:val="auto"/>
        </w:rPr>
      </w:pPr>
      <w:r>
        <w:rPr>
          <w:rFonts w:ascii="Arial" w:cs="Arial" w:eastAsia="Arial" w:hAnsi="Arial"/>
          <w:sz w:val="16"/>
          <w:szCs w:val="16"/>
          <w:color w:val="auto"/>
        </w:rPr>
        <w:t>The trustees of the UK plan determine their investment strategy with regard to the liability profile of the plan and have determined benchmarks which they believe provide an adequate balance between maximizing the return on the assets and minimizing the risk of failing to meet the liabilities over the long term.</w:t>
      </w:r>
    </w:p>
    <w:p>
      <w:pPr>
        <w:ind w:right="40" w:firstLine="228"/>
        <w:spacing w:after="0" w:line="250" w:lineRule="auto"/>
        <w:rPr>
          <w:sz w:val="20"/>
          <w:szCs w:val="20"/>
          <w:color w:val="auto"/>
        </w:rPr>
      </w:pPr>
      <w:r>
        <w:rPr>
          <w:rFonts w:ascii="Arial" w:cs="Arial" w:eastAsia="Arial" w:hAnsi="Arial"/>
          <w:sz w:val="18"/>
          <w:szCs w:val="18"/>
          <w:color w:val="auto"/>
        </w:rPr>
        <w:t>Overall, the trustees of the plan aim to have a sufficiently diversified portfolio of appropriate liquidity, which will generate income and capital growth to meet, together with contributions from employees and the employers, the cost of current and future liabilities which the plan provides.</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The overall expected return on assets assumption is derived as the weighted average of the expected returns from each of the main asset classes. The expected return for each asset class reflects a combination of historical performance analysis, the forward-looking views of the financial markets (as suggested by the yields available) and the views of investment organizations. Consideration is also given to the rate of return expected to be available for reinvestment. The pension trusts’ performance over the last 10 years has been an annualized return of 5.7%; over the last 15 years it is an annualized return of 8.9%.</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expected benefits to be paid under the plan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2007</w:t>
            </w:r>
          </w:p>
        </w:tc>
        <w:tc>
          <w:tcPr>
            <w:tcW w:w="5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r>
      <w:tr>
        <w:trPr>
          <w:trHeight w:val="172"/>
        </w:trPr>
        <w:tc>
          <w:tcPr>
            <w:tcW w:w="5920" w:type="dxa"/>
            <w:vAlign w:val="bottom"/>
          </w:tcPr>
          <w:p>
            <w:pPr>
              <w:spacing w:after="0"/>
              <w:rPr>
                <w:sz w:val="20"/>
                <w:szCs w:val="20"/>
                <w:color w:val="auto"/>
              </w:rPr>
            </w:pPr>
            <w:r>
              <w:rPr>
                <w:rFonts w:ascii="Arial" w:cs="Arial" w:eastAsia="Arial" w:hAnsi="Arial"/>
                <w:sz w:val="14"/>
                <w:szCs w:val="14"/>
                <w:color w:val="auto"/>
              </w:rPr>
              <w:t>2012 – 2016</w:t>
            </w:r>
          </w:p>
        </w:tc>
        <w:tc>
          <w:tcPr>
            <w:tcW w:w="5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175</w:t>
            </w:r>
          </w:p>
        </w:tc>
      </w:tr>
    </w:tbl>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Contributions to the UK plan in 2007 are expected to be between $70 million and $80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Deferred Benefits</w:t>
      </w:r>
    </w:p>
    <w:p>
      <w:pPr>
        <w:spacing w:after="0" w:line="7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addition to providing defined pension benefits, Schlumberger and its subsidiaries have other deferred benefit programs, primarily profit sharing and defined contribution pension plans. Expenses for these programs were $344 million, $276 million and $211 million in 2006, 2005 and 2004,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Benefits</w:t>
      </w:r>
    </w:p>
    <w:p>
      <w:pPr>
        <w:spacing w:after="0" w:line="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Schlumberger and its United States subsidiary provide health care benefits for certain active employees. The costs of providing these benefits are expensed when incurred, and aggregated $72 million, $65 million and $68 million in 2006, 2005 and 2004, respectively. Outside the United States, such benefits are mostly provided through government-sponsored programs.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Other than Pensions</w:t>
      </w:r>
    </w:p>
    <w:p>
      <w:pPr>
        <w:spacing w:after="0" w:line="72" w:lineRule="exact"/>
        <w:rPr>
          <w:sz w:val="20"/>
          <w:szCs w:val="20"/>
          <w:color w:val="auto"/>
        </w:rPr>
      </w:pPr>
    </w:p>
    <w:p>
      <w:pPr>
        <w:ind w:left="240" w:right="100" w:hanging="227"/>
        <w:spacing w:after="0" w:line="305" w:lineRule="auto"/>
        <w:rPr>
          <w:sz w:val="20"/>
          <w:szCs w:val="20"/>
          <w:color w:val="auto"/>
        </w:rPr>
      </w:pPr>
      <w:r>
        <w:rPr>
          <w:rFonts w:ascii="Arial" w:cs="Arial" w:eastAsia="Arial" w:hAnsi="Arial"/>
          <w:sz w:val="15"/>
          <w:szCs w:val="15"/>
          <w:color w:val="auto"/>
        </w:rPr>
        <w:t>Schlumberger and its United States subsidiary provide certain health care benefits to former employees who have retired under the United States pension plans. The principal actuarial assumptions used to measure costs were a discount rate of 5.75% in 2006, 6.00% in 2005 and 6.25% in 2004. The overall medical cost</w:t>
      </w:r>
    </w:p>
    <w:p>
      <w:pPr>
        <w:spacing w:after="0"/>
        <w:rPr>
          <w:sz w:val="20"/>
          <w:szCs w:val="20"/>
          <w:color w:val="auto"/>
        </w:rPr>
      </w:pPr>
      <w:r>
        <w:rPr>
          <w:rFonts w:ascii="Arial" w:cs="Arial" w:eastAsia="Arial" w:hAnsi="Arial"/>
          <w:sz w:val="18"/>
          <w:szCs w:val="18"/>
          <w:color w:val="auto"/>
        </w:rPr>
        <w:t>trend rate assumption is 10% graded to 6% over the next four years and 5% thereafter.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periodic postretirement benefit cost in the United States for 2006, 2005 and 2004, included the following components: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2006</w:t>
            </w: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2004</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$ 26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spacing w:after="0" w:line="149" w:lineRule="exact"/>
              <w:rPr>
                <w:sz w:val="20"/>
                <w:szCs w:val="20"/>
                <w:color w:val="auto"/>
              </w:rPr>
            </w:pPr>
            <w:r>
              <w:rPr>
                <w:rFonts w:ascii="Arial" w:cs="Arial" w:eastAsia="Arial" w:hAnsi="Arial"/>
                <w:sz w:val="14"/>
                <w:szCs w:val="14"/>
                <w:color w:val="auto"/>
              </w:rPr>
              <w:t>Interest cost on accumulated postretirement benefit obligation</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8"/>
              </w:rPr>
              <w:t>(14)</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spacing w:after="0"/>
              <w:rPr>
                <w:sz w:val="20"/>
                <w:szCs w:val="20"/>
                <w:color w:val="auto"/>
              </w:rPr>
            </w:pPr>
            <w:r>
              <w:rPr>
                <w:rFonts w:ascii="Arial" w:cs="Arial" w:eastAsia="Arial" w:hAnsi="Arial"/>
                <w:sz w:val="14"/>
                <w:szCs w:val="14"/>
                <w:color w:val="auto"/>
              </w:rPr>
              <w:t>Amortization of net loss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$ 59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3873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2159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at December 31, 2006 are the following non-cash pretax charges which have not yet been recognized in net periodic postretirement benefit cost. Also presented is the estimated portion of each component of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which is expected to be recognized as a component of net periodic postretirement benefit cost during the year-ending December 31, 2007.</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720" w:type="dxa"/>
            <w:vAlign w:val="bottom"/>
            <w:tcBorders>
              <w:top w:val="single" w:sz="8" w:color="auto"/>
            </w:tcBorders>
          </w:tcPr>
          <w:p>
            <w:pPr>
              <w:spacing w:after="0"/>
              <w:rPr>
                <w:sz w:val="11"/>
                <w:szCs w:val="11"/>
                <w:color w:val="auto"/>
              </w:rPr>
            </w:pPr>
          </w:p>
        </w:tc>
        <w:tc>
          <w:tcPr>
            <w:tcW w:w="5400" w:type="dxa"/>
            <w:vAlign w:val="bottom"/>
            <w:tcBorders>
              <w:top w:val="single" w:sz="8" w:color="auto"/>
            </w:tcBorders>
            <w:gridSpan w:val="2"/>
          </w:tcPr>
          <w:p>
            <w:pPr>
              <w:jc w:val="right"/>
              <w:ind w:right="1012"/>
              <w:spacing w:after="0" w:line="129" w:lineRule="exact"/>
              <w:rPr>
                <w:sz w:val="20"/>
                <w:szCs w:val="20"/>
                <w:color w:val="auto"/>
              </w:rPr>
            </w:pPr>
            <w:r>
              <w:rPr>
                <w:rFonts w:ascii="Arial" w:cs="Arial" w:eastAsia="Arial" w:hAnsi="Arial"/>
                <w:sz w:val="14"/>
                <w:szCs w:val="14"/>
                <w:b w:val="1"/>
                <w:bCs w:val="1"/>
                <w:color w:val="auto"/>
              </w:rPr>
              <w:t>Amt. recognized in</w:t>
            </w:r>
          </w:p>
        </w:tc>
        <w:tc>
          <w:tcPr>
            <w:tcW w:w="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7"/>
          </w:tcPr>
          <w:p>
            <w:pPr>
              <w:jc w:val="right"/>
              <w:ind w:right="60"/>
              <w:spacing w:after="0" w:line="129" w:lineRule="exact"/>
              <w:rPr>
                <w:sz w:val="20"/>
                <w:szCs w:val="20"/>
                <w:color w:val="auto"/>
              </w:rPr>
            </w:pPr>
            <w:r>
              <w:rPr>
                <w:rFonts w:ascii="Arial" w:cs="Arial" w:eastAsia="Arial" w:hAnsi="Arial"/>
                <w:sz w:val="14"/>
                <w:szCs w:val="14"/>
                <w:b w:val="1"/>
                <w:bCs w:val="1"/>
                <w:color w:val="auto"/>
                <w:w w:val="97"/>
              </w:rPr>
              <w:t>Amount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40" w:type="dxa"/>
            <w:vAlign w:val="bottom"/>
          </w:tcPr>
          <w:p>
            <w:pPr>
              <w:jc w:val="right"/>
              <w:ind w:right="1012"/>
              <w:spacing w:after="0" w:line="149" w:lineRule="exact"/>
              <w:rPr>
                <w:sz w:val="20"/>
                <w:szCs w:val="20"/>
                <w:color w:val="auto"/>
              </w:rPr>
            </w:pPr>
            <w:r>
              <w:rPr>
                <w:rFonts w:ascii="Arial" w:cs="Arial" w:eastAsia="Arial" w:hAnsi="Arial"/>
                <w:sz w:val="14"/>
                <w:szCs w:val="14"/>
                <w:b w:val="1"/>
                <w:bCs w:val="1"/>
                <w:color w:val="auto"/>
              </w:rPr>
              <w:t>Acc. Other</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jc w:val="right"/>
              <w:ind w:right="60"/>
              <w:spacing w:after="0" w:line="149" w:lineRule="exact"/>
              <w:rPr>
                <w:sz w:val="20"/>
                <w:szCs w:val="20"/>
                <w:color w:val="auto"/>
              </w:rPr>
            </w:pPr>
            <w:r>
              <w:rPr>
                <w:rFonts w:ascii="Arial" w:cs="Arial" w:eastAsia="Arial" w:hAnsi="Arial"/>
                <w:sz w:val="14"/>
                <w:szCs w:val="14"/>
                <w:b w:val="1"/>
                <w:bCs w:val="1"/>
                <w:color w:val="auto"/>
                <w:w w:val="82"/>
              </w:rPr>
              <w:t>to be charged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40" w:type="dxa"/>
            <w:vAlign w:val="bottom"/>
          </w:tcPr>
          <w:p>
            <w:pPr>
              <w:jc w:val="right"/>
              <w:ind w:right="1012"/>
              <w:spacing w:after="0" w:line="149" w:lineRule="exact"/>
              <w:rPr>
                <w:sz w:val="20"/>
                <w:szCs w:val="20"/>
                <w:color w:val="auto"/>
              </w:rPr>
            </w:pPr>
            <w:r>
              <w:rPr>
                <w:rFonts w:ascii="Arial" w:cs="Arial" w:eastAsia="Arial" w:hAnsi="Arial"/>
                <w:sz w:val="14"/>
                <w:szCs w:val="14"/>
                <w:b w:val="1"/>
                <w:bCs w:val="1"/>
                <w:color w:val="auto"/>
                <w:w w:val="97"/>
              </w:rPr>
              <w:t>Comp. Income</w:t>
            </w:r>
          </w:p>
        </w:tc>
        <w:tc>
          <w:tcPr>
            <w:tcW w:w="60" w:type="dxa"/>
            <w:vAlign w:val="bottom"/>
          </w:tcPr>
          <w:p>
            <w:pPr>
              <w:spacing w:after="0"/>
              <w:rPr>
                <w:sz w:val="12"/>
                <w:szCs w:val="12"/>
                <w:color w:val="auto"/>
              </w:rPr>
            </w:pPr>
          </w:p>
        </w:tc>
        <w:tc>
          <w:tcPr>
            <w:tcW w:w="1220" w:type="dxa"/>
            <w:vAlign w:val="bottom"/>
            <w:gridSpan w:val="7"/>
          </w:tcPr>
          <w:p>
            <w:pPr>
              <w:jc w:val="right"/>
              <w:ind w:right="60"/>
              <w:spacing w:after="0" w:line="149" w:lineRule="exact"/>
              <w:rPr>
                <w:sz w:val="20"/>
                <w:szCs w:val="20"/>
                <w:color w:val="auto"/>
              </w:rPr>
            </w:pPr>
            <w:r>
              <w:rPr>
                <w:rFonts w:ascii="Arial" w:cs="Arial" w:eastAsia="Arial" w:hAnsi="Arial"/>
                <w:sz w:val="14"/>
                <w:szCs w:val="14"/>
                <w:b w:val="1"/>
                <w:bCs w:val="1"/>
                <w:color w:val="auto"/>
              </w:rPr>
              <w:t>to net periodic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40" w:type="dxa"/>
            <w:vAlign w:val="bottom"/>
          </w:tcPr>
          <w:p>
            <w:pPr>
              <w:jc w:val="right"/>
              <w:ind w:right="1012"/>
              <w:spacing w:after="0"/>
              <w:rPr>
                <w:sz w:val="20"/>
                <w:szCs w:val="20"/>
                <w:color w:val="auto"/>
              </w:rPr>
            </w:pPr>
            <w:r>
              <w:rPr>
                <w:rFonts w:ascii="Arial" w:cs="Arial" w:eastAsia="Arial" w:hAnsi="Arial"/>
                <w:sz w:val="14"/>
                <w:szCs w:val="14"/>
                <w:b w:val="1"/>
                <w:bCs w:val="1"/>
                <w:color w:val="auto"/>
                <w:w w:val="93"/>
              </w:rPr>
              <w:t>at Dec 31, 2006</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4"/>
              </w:rPr>
              <w:t>cost in 2007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actuarial losses</w:t>
            </w:r>
          </w:p>
        </w:tc>
        <w:tc>
          <w:tcPr>
            <w:tcW w:w="3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40" w:type="dxa"/>
            <w:vAlign w:val="bottom"/>
            <w:shd w:val="clear" w:color="auto" w:fill="CCEEFF"/>
          </w:tcPr>
          <w:p>
            <w:pPr>
              <w:jc w:val="right"/>
              <w:ind w:right="1012"/>
              <w:spacing w:after="0" w:line="149" w:lineRule="exact"/>
              <w:rPr>
                <w:sz w:val="20"/>
                <w:szCs w:val="20"/>
                <w:color w:val="auto"/>
              </w:rPr>
            </w:pPr>
            <w:r>
              <w:rPr>
                <w:rFonts w:ascii="Arial" w:cs="Arial" w:eastAsia="Arial" w:hAnsi="Arial"/>
                <w:sz w:val="14"/>
                <w:szCs w:val="14"/>
                <w:b w:val="1"/>
                <w:bCs w:val="1"/>
                <w:color w:val="auto"/>
              </w:rPr>
              <w:t>196</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Prior service cost</w:t>
            </w:r>
          </w:p>
        </w:tc>
        <w:tc>
          <w:tcPr>
            <w:tcW w:w="3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40" w:type="dxa"/>
            <w:vAlign w:val="bottom"/>
          </w:tcPr>
          <w:p>
            <w:pPr>
              <w:jc w:val="right"/>
              <w:ind w:right="972"/>
              <w:spacing w:after="0"/>
              <w:rPr>
                <w:sz w:val="20"/>
                <w:szCs w:val="20"/>
                <w:color w:val="auto"/>
              </w:rPr>
            </w:pPr>
            <w:r>
              <w:rPr>
                <w:rFonts w:ascii="Arial" w:cs="Arial" w:eastAsia="Arial" w:hAnsi="Arial"/>
                <w:sz w:val="14"/>
                <w:szCs w:val="14"/>
                <w:b w:val="1"/>
                <w:bCs w:val="1"/>
                <w:color w:val="auto"/>
              </w:rPr>
              <w:t>(147)</w:t>
            </w:r>
          </w:p>
        </w:tc>
        <w:tc>
          <w:tcPr>
            <w:tcW w:w="60" w:type="dxa"/>
            <w:vAlign w:val="bottom"/>
          </w:tcPr>
          <w:p>
            <w:pPr>
              <w:spacing w:after="0"/>
              <w:rPr>
                <w:sz w:val="15"/>
                <w:szCs w:val="15"/>
                <w:color w:val="auto"/>
              </w:rPr>
            </w:pPr>
          </w:p>
        </w:tc>
        <w:tc>
          <w:tcPr>
            <w:tcW w:w="3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0120" w:type="dxa"/>
            <w:vAlign w:val="bottom"/>
            <w:gridSpan w:val="3"/>
          </w:tcPr>
          <w:p>
            <w:pPr>
              <w:jc w:val="right"/>
              <w:ind w:right="792"/>
              <w:spacing w:after="0"/>
              <w:rPr>
                <w:sz w:val="20"/>
                <w:szCs w:val="20"/>
                <w:color w:val="auto"/>
              </w:rPr>
            </w:pPr>
            <w:r>
              <w:rPr>
                <w:rFonts w:ascii="Arial" w:cs="Arial" w:eastAsia="Arial" w:hAnsi="Arial"/>
                <w:sz w:val="18"/>
                <w:szCs w:val="18"/>
                <w:color w:val="auto"/>
                <w:w w:val="89"/>
              </w:rPr>
              <w:t>The change in accumulated postretirement benefit obligation and funded status on December 31, 2006 and 2005, was as follows: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3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20" w:type="dxa"/>
            <w:vAlign w:val="bottom"/>
            <w:tcBorders>
              <w:top w:val="single" w:sz="8" w:color="auto"/>
            </w:tcBorders>
          </w:tcPr>
          <w:p>
            <w:pPr>
              <w:spacing w:after="0"/>
              <w:rPr>
                <w:sz w:val="14"/>
                <w:szCs w:val="14"/>
                <w:color w:val="auto"/>
              </w:rPr>
            </w:pPr>
          </w:p>
        </w:tc>
        <w:tc>
          <w:tcPr>
            <w:tcW w:w="336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7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postretirement benefit obligation at beginning of the year</w:t>
            </w:r>
          </w:p>
        </w:tc>
        <w:tc>
          <w:tcPr>
            <w:tcW w:w="3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785</w:t>
            </w:r>
          </w:p>
        </w:tc>
        <w:tc>
          <w:tcPr>
            <w:tcW w:w="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3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3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Actuarial gains</w:t>
            </w:r>
          </w:p>
        </w:tc>
        <w:tc>
          <w:tcPr>
            <w:tcW w:w="3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3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Plan amendments</w:t>
            </w:r>
          </w:p>
        </w:tc>
        <w:tc>
          <w:tcPr>
            <w:tcW w:w="3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2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postretirement benefit obligation at the end of the year</w:t>
            </w:r>
          </w:p>
        </w:tc>
        <w:tc>
          <w:tcPr>
            <w:tcW w:w="3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785</w:t>
            </w:r>
          </w:p>
        </w:tc>
        <w:tc>
          <w:tcPr>
            <w:tcW w:w="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785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3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Contributions</w:t>
            </w:r>
          </w:p>
        </w:tc>
        <w:tc>
          <w:tcPr>
            <w:tcW w:w="3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3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Benefits paid</w:t>
            </w:r>
          </w:p>
        </w:tc>
        <w:tc>
          <w:tcPr>
            <w:tcW w:w="3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2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the end of the year</w:t>
            </w:r>
          </w:p>
        </w:tc>
        <w:tc>
          <w:tcPr>
            <w:tcW w:w="3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Underfunded position at end of year</w:t>
            </w:r>
          </w:p>
        </w:tc>
        <w:tc>
          <w:tcPr>
            <w:tcW w:w="3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762</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785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net loss</w:t>
            </w:r>
          </w:p>
        </w:tc>
        <w:tc>
          <w:tcPr>
            <w:tcW w:w="3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Unrecognized prior service cost/other</w:t>
            </w:r>
          </w:p>
        </w:tc>
        <w:tc>
          <w:tcPr>
            <w:tcW w:w="3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w w:val="94"/>
              </w:rPr>
              <w:t>174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72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 liability at the end of the year</w:t>
            </w:r>
          </w:p>
        </w:tc>
        <w:tc>
          <w:tcPr>
            <w:tcW w:w="3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707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360" w:type="dxa"/>
            <w:vAlign w:val="bottom"/>
            <w:vMerge w:val="restart"/>
          </w:tcPr>
          <w:p>
            <w:pPr>
              <w:jc w:val="right"/>
              <w:ind w:right="2252"/>
              <w:spacing w:after="0"/>
              <w:rPr>
                <w:sz w:val="20"/>
                <w:szCs w:val="20"/>
                <w:color w:val="auto"/>
              </w:rPr>
            </w:pPr>
            <w:r>
              <w:rPr>
                <w:rFonts w:ascii="Arial" w:cs="Arial" w:eastAsia="Arial" w:hAnsi="Arial"/>
                <w:sz w:val="14"/>
                <w:szCs w:val="14"/>
                <w:color w:val="auto"/>
              </w:rPr>
              <w:t>70</w:t>
            </w:r>
          </w:p>
        </w:tc>
        <w:tc>
          <w:tcPr>
            <w:tcW w:w="2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-1922145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-1922145</wp:posOffset>
            </wp:positionV>
            <wp:extent cx="2159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-1922145</wp:posOffset>
            </wp:positionV>
            <wp:extent cx="3873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-1922145</wp:posOffset>
            </wp:positionV>
            <wp:extent cx="23558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-1141730</wp:posOffset>
            </wp:positionV>
            <wp:extent cx="28702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-1141730</wp:posOffset>
            </wp:positionV>
            <wp:extent cx="23558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-884555</wp:posOffset>
            </wp:positionV>
            <wp:extent cx="28702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-292735</wp:posOffset>
            </wp:positionV>
            <wp:extent cx="23558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 xml:space="preserve">The underfunded position of $762 million at December 31, 2006 and the postretirement benefit liability of $707 million at December 31, 2005 are included in </w:t>
      </w:r>
      <w:r>
        <w:rPr>
          <w:rFonts w:ascii="Arial" w:cs="Arial" w:eastAsia="Arial" w:hAnsi="Arial"/>
          <w:sz w:val="18"/>
          <w:szCs w:val="18"/>
          <w:i w:val="1"/>
          <w:iCs w:val="1"/>
          <w:color w:val="auto"/>
        </w:rPr>
        <w:t xml:space="preserve">Postretirement Benefits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ind w:right="20" w:firstLine="228"/>
        <w:spacing w:after="0" w:line="250" w:lineRule="auto"/>
        <w:rPr>
          <w:sz w:val="20"/>
          <w:szCs w:val="20"/>
          <w:color w:val="auto"/>
        </w:rPr>
      </w:pPr>
      <w:r>
        <w:rPr>
          <w:rFonts w:ascii="Arial" w:cs="Arial" w:eastAsia="Arial" w:hAnsi="Arial"/>
          <w:sz w:val="18"/>
          <w:szCs w:val="18"/>
          <w:color w:val="auto"/>
        </w:rPr>
        <w:t>Historically, this plan has only been funded to the extent of current year benefit payments. However, in 2006, Schlumberger made an additional contribution to this plan of $22 million.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2005, amendments to the plan were enacted whereby the retiree cost sharing was increased effective in 2006.</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the accumulated postretirement benefit obligation on December 31, 2006 and 2005, were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2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418</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$ 427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Fully eligible</w:t>
            </w:r>
          </w:p>
        </w:tc>
        <w:tc>
          <w:tcPr>
            <w:tcW w:w="6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217</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Actives</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150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785</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$ 785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-29210</wp:posOffset>
            </wp:positionV>
            <wp:extent cx="26987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-29210</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-29210</wp:posOffset>
            </wp:positionV>
            <wp:extent cx="2159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used to determine the accumulated postretirement benefit obligation was 6.00% for 2006 and 5.75% for 2005.</w:t>
      </w:r>
    </w:p>
    <w:p>
      <w:pPr>
        <w:spacing w:after="0" w:line="15"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If the assumed medical cost trend rate was increased by one percentage point, health care cost in 2006 would have been $73 million, and the accumulated postretirement benefit obligation would have been $907 million on December 31, 2006.</w:t>
      </w:r>
    </w:p>
    <w:p>
      <w:pPr>
        <w:spacing w:after="0" w:line="1" w:lineRule="exact"/>
        <w:rPr>
          <w:sz w:val="20"/>
          <w:szCs w:val="20"/>
          <w:color w:val="auto"/>
        </w:rPr>
      </w:pPr>
    </w:p>
    <w:p>
      <w:pPr>
        <w:ind w:right="360" w:firstLine="228"/>
        <w:spacing w:after="0" w:line="250" w:lineRule="auto"/>
        <w:rPr>
          <w:sz w:val="20"/>
          <w:szCs w:val="20"/>
          <w:color w:val="auto"/>
        </w:rPr>
      </w:pPr>
      <w:r>
        <w:rPr>
          <w:rFonts w:ascii="Arial" w:cs="Arial" w:eastAsia="Arial" w:hAnsi="Arial"/>
          <w:sz w:val="18"/>
          <w:szCs w:val="18"/>
          <w:color w:val="auto"/>
        </w:rPr>
        <w:t>If the assumed medical cost trend rate was decreased by one percentage point, health care cost in 2006 would have been $49 million, and the accumulated postretirement benefit obligation would have been $686 million on December 31, 2006.</w:t>
      </w:r>
    </w:p>
    <w:p>
      <w:pPr>
        <w:spacing w:after="0" w:line="1" w:lineRule="exact"/>
        <w:rPr>
          <w:sz w:val="20"/>
          <w:szCs w:val="20"/>
          <w:color w:val="auto"/>
        </w:rPr>
      </w:pPr>
    </w:p>
    <w:p>
      <w:pPr>
        <w:ind w:right="80" w:firstLine="228"/>
        <w:spacing w:after="0" w:line="261" w:lineRule="auto"/>
        <w:rPr>
          <w:sz w:val="20"/>
          <w:szCs w:val="20"/>
          <w:color w:val="auto"/>
        </w:rPr>
      </w:pPr>
      <w:r>
        <w:rPr>
          <w:rFonts w:ascii="Arial" w:cs="Arial" w:eastAsia="Arial" w:hAnsi="Arial"/>
          <w:sz w:val="18"/>
          <w:szCs w:val="18"/>
          <w:color w:val="auto"/>
        </w:rPr>
        <w:t>The expected payments to be paid under the plan are as follows and are net of the annual Medicare Part D subsidy which ranges from $3 million to $4 million per year: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5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2007</w:t>
            </w:r>
          </w:p>
        </w:tc>
        <w:tc>
          <w:tcPr>
            <w:tcW w:w="5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5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5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r>
      <w:tr>
        <w:trPr>
          <w:trHeight w:val="149"/>
        </w:trPr>
        <w:tc>
          <w:tcPr>
            <w:tcW w:w="588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5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49"/>
        </w:trPr>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5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72"/>
        </w:trPr>
        <w:tc>
          <w:tcPr>
            <w:tcW w:w="5880" w:type="dxa"/>
            <w:vAlign w:val="bottom"/>
          </w:tcPr>
          <w:p>
            <w:pPr>
              <w:spacing w:after="0"/>
              <w:rPr>
                <w:sz w:val="20"/>
                <w:szCs w:val="20"/>
                <w:color w:val="auto"/>
              </w:rPr>
            </w:pPr>
            <w:r>
              <w:rPr>
                <w:rFonts w:ascii="Arial" w:cs="Arial" w:eastAsia="Arial" w:hAnsi="Arial"/>
                <w:sz w:val="14"/>
                <w:szCs w:val="14"/>
                <w:color w:val="auto"/>
              </w:rPr>
              <w:t>2012-2016</w:t>
            </w:r>
          </w:p>
        </w:tc>
        <w:tc>
          <w:tcPr>
            <w:tcW w:w="53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242</w:t>
            </w:r>
          </w:p>
        </w:tc>
      </w:tr>
    </w:tbl>
    <w:p>
      <w:pPr>
        <w:spacing w:after="0" w:line="10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Supplementary Information</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paid for interest and income taxes for continuing operations was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8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2005</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340" w:type="dxa"/>
            <w:vAlign w:val="bottom"/>
          </w:tcPr>
          <w:p>
            <w:pPr>
              <w:spacing w:after="0"/>
              <w:rPr>
                <w:sz w:val="6"/>
                <w:szCs w:val="6"/>
                <w:color w:val="auto"/>
              </w:rPr>
            </w:pPr>
          </w:p>
        </w:tc>
        <w:tc>
          <w:tcPr>
            <w:tcW w:w="48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w:t>
            </w:r>
          </w:p>
        </w:tc>
        <w:tc>
          <w:tcPr>
            <w:tcW w:w="48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$234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$196</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Income taxes</w:t>
            </w:r>
          </w:p>
        </w:tc>
        <w:tc>
          <w:tcPr>
            <w:tcW w:w="4800" w:type="dxa"/>
            <w:vAlign w:val="bottom"/>
          </w:tcPr>
          <w:p>
            <w:pPr>
              <w:jc w:val="right"/>
              <w:ind w:right="112"/>
              <w:spacing w:after="0"/>
              <w:rPr>
                <w:sz w:val="20"/>
                <w:szCs w:val="20"/>
                <w:color w:val="auto"/>
              </w:rPr>
            </w:pPr>
            <w:r>
              <w:rPr>
                <w:rFonts w:ascii="Arial" w:cs="Arial" w:eastAsia="Arial" w:hAnsi="Arial"/>
                <w:sz w:val="14"/>
                <w:szCs w:val="14"/>
                <w:b w:val="1"/>
                <w:bCs w:val="1"/>
                <w:color w:val="auto"/>
              </w:rPr>
              <w:t>$997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$446</w:t>
            </w:r>
          </w:p>
        </w:tc>
        <w:tc>
          <w:tcPr>
            <w:tcW w:w="42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Pr>
          <w:p>
            <w:pPr>
              <w:ind w:left="220"/>
              <w:spacing w:after="0"/>
              <w:rPr>
                <w:sz w:val="20"/>
                <w:szCs w:val="20"/>
                <w:color w:val="auto"/>
              </w:rPr>
            </w:pPr>
            <w:r>
              <w:rPr>
                <w:rFonts w:ascii="Arial" w:cs="Arial" w:eastAsia="Arial" w:hAnsi="Arial"/>
                <w:sz w:val="18"/>
                <w:szCs w:val="18"/>
                <w:i w:val="1"/>
                <w:iCs w:val="1"/>
                <w:color w:val="auto"/>
                <w:w w:val="94"/>
              </w:rPr>
              <w:t xml:space="preserve">Accounts payable and accrued liabilities </w:t>
            </w:r>
            <w:r>
              <w:rPr>
                <w:rFonts w:ascii="Arial" w:cs="Arial" w:eastAsia="Arial" w:hAnsi="Arial"/>
                <w:sz w:val="18"/>
                <w:szCs w:val="18"/>
                <w:color w:val="auto"/>
                <w:w w:val="94"/>
              </w:rPr>
              <w:t>are summarized as follows:</w:t>
            </w:r>
          </w:p>
        </w:tc>
        <w:tc>
          <w:tcPr>
            <w:tcW w:w="4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4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4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2006</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340" w:type="dxa"/>
            <w:vAlign w:val="bottom"/>
          </w:tcPr>
          <w:p>
            <w:pPr>
              <w:spacing w:after="0"/>
              <w:rPr>
                <w:sz w:val="7"/>
                <w:szCs w:val="7"/>
                <w:color w:val="auto"/>
              </w:rPr>
            </w:pPr>
          </w:p>
        </w:tc>
        <w:tc>
          <w:tcPr>
            <w:tcW w:w="4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Payroll, vacation and employee benefits</w:t>
            </w:r>
          </w:p>
        </w:tc>
        <w:tc>
          <w:tcPr>
            <w:tcW w:w="48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898</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Trade</w:t>
            </w:r>
          </w:p>
        </w:tc>
        <w:tc>
          <w:tcPr>
            <w:tcW w:w="4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1,311</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Taxes, other than income</w:t>
            </w:r>
          </w:p>
        </w:tc>
        <w:tc>
          <w:tcPr>
            <w:tcW w:w="4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257</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US and UK pension</w:t>
            </w:r>
          </w:p>
        </w:tc>
        <w:tc>
          <w:tcPr>
            <w:tcW w:w="4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expenses and other</w:t>
            </w:r>
          </w:p>
        </w:tc>
        <w:tc>
          <w:tcPr>
            <w:tcW w:w="4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1,382</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Borders>
              <w:bottom w:val="single" w:sz="8" w:color="auto"/>
            </w:tcBorders>
          </w:tcPr>
          <w:p>
            <w:pPr>
              <w:spacing w:after="0"/>
              <w:rPr>
                <w:sz w:val="9"/>
                <w:szCs w:val="9"/>
                <w:color w:val="auto"/>
              </w:rPr>
            </w:pPr>
          </w:p>
        </w:tc>
        <w:tc>
          <w:tcPr>
            <w:tcW w:w="4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rPr>
                <w:sz w:val="12"/>
                <w:szCs w:val="12"/>
                <w:color w:val="auto"/>
              </w:rPr>
            </w:pPr>
          </w:p>
        </w:tc>
        <w:tc>
          <w:tcPr>
            <w:tcW w:w="52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$ 3,848</w:t>
            </w: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$ 3,565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4800" w:type="dxa"/>
            <w:vAlign w:val="bottom"/>
            <w:vMerge w:val="restart"/>
          </w:tcPr>
          <w:p>
            <w:pPr>
              <w:jc w:val="right"/>
              <w:ind w:right="4312"/>
              <w:spacing w:after="0"/>
              <w:rPr>
                <w:sz w:val="20"/>
                <w:szCs w:val="20"/>
                <w:color w:val="auto"/>
              </w:rPr>
            </w:pPr>
            <w:r>
              <w:rPr>
                <w:rFonts w:ascii="Arial" w:cs="Arial" w:eastAsia="Arial" w:hAnsi="Arial"/>
                <w:sz w:val="14"/>
                <w:szCs w:val="14"/>
                <w:color w:val="auto"/>
              </w:rPr>
              <w:t>71</w:t>
            </w: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-292735</wp:posOffset>
            </wp:positionV>
            <wp:extent cx="26162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-292735</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-292735</wp:posOffset>
            </wp:positionV>
            <wp:extent cx="2159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97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2006</w:t>
            </w: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$117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179</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facility in Montrouge, France</w:t>
            </w:r>
          </w:p>
        </w:tc>
        <w:tc>
          <w:tcPr>
            <w:tcW w:w="6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Gain on sale of Hanover Compressor stock</w:t>
            </w:r>
          </w:p>
        </w:tc>
        <w:tc>
          <w:tcPr>
            <w:tcW w:w="6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sale of Atos Origin stock</w:t>
            </w:r>
          </w:p>
        </w:tc>
        <w:tc>
          <w:tcPr>
            <w:tcW w:w="6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Loss on liquidation of investments to fund the WesternGeco transaction</w:t>
            </w:r>
          </w:p>
        </w:tc>
        <w:tc>
          <w:tcPr>
            <w:tcW w:w="6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assets</w:t>
            </w:r>
          </w:p>
        </w:tc>
        <w:tc>
          <w:tcPr>
            <w:tcW w:w="6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$287</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$408</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3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60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2004</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3760" w:type="dxa"/>
            <w:vAlign w:val="bottom"/>
          </w:tcPr>
          <w:p>
            <w:pPr>
              <w:spacing w:after="0"/>
              <w:rPr>
                <w:sz w:val="6"/>
                <w:szCs w:val="6"/>
                <w:color w:val="auto"/>
              </w:rPr>
            </w:pPr>
          </w:p>
        </w:tc>
        <w:tc>
          <w:tcPr>
            <w:tcW w:w="5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6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$114</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Provision</w:t>
            </w:r>
          </w:p>
        </w:tc>
        <w:tc>
          <w:tcPr>
            <w:tcW w:w="6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w:t>
            </w:r>
          </w:p>
        </w:tc>
        <w:tc>
          <w:tcPr>
            <w:tcW w:w="5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5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written off</w:t>
            </w:r>
          </w:p>
        </w:tc>
        <w:tc>
          <w:tcPr>
            <w:tcW w:w="65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(12)</w:t>
            </w: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(34)</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 xml:space="preserve">Reclassified to </w:t>
            </w:r>
            <w:r>
              <w:rPr>
                <w:rFonts w:ascii="Arial" w:cs="Arial" w:eastAsia="Arial" w:hAnsi="Arial"/>
                <w:sz w:val="14"/>
                <w:szCs w:val="14"/>
                <w:i w:val="1"/>
                <w:iCs w:val="1"/>
                <w:color w:val="auto"/>
              </w:rPr>
              <w:t>Assets held for Sale</w:t>
            </w:r>
          </w:p>
        </w:tc>
        <w:tc>
          <w:tcPr>
            <w:tcW w:w="5780" w:type="dxa"/>
            <w:vAlign w:val="bottom"/>
          </w:tcPr>
          <w:p>
            <w:pPr>
              <w:spacing w:after="0"/>
              <w:rPr>
                <w:sz w:val="12"/>
                <w:szCs w:val="12"/>
                <w:color w:val="auto"/>
              </w:rPr>
            </w:pPr>
          </w:p>
        </w:tc>
        <w:tc>
          <w:tcPr>
            <w:tcW w:w="7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7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57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5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6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$115</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$103</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5780" w:type="dxa"/>
            <w:vAlign w:val="bottom"/>
            <w:vMerge w:val="restart"/>
          </w:tcPr>
          <w:p>
            <w:pPr>
              <w:jc w:val="right"/>
              <w:ind w:right="3712"/>
              <w:spacing w:after="0"/>
              <w:rPr>
                <w:sz w:val="20"/>
                <w:szCs w:val="20"/>
                <w:color w:val="auto"/>
              </w:rPr>
            </w:pPr>
            <w:r>
              <w:rPr>
                <w:rFonts w:ascii="Arial" w:cs="Arial" w:eastAsia="Arial" w:hAnsi="Arial"/>
                <w:sz w:val="14"/>
                <w:szCs w:val="14"/>
                <w:color w:val="auto"/>
              </w:rPr>
              <w:t>72</w:t>
            </w: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-292735</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-292735</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-292735</wp:posOffset>
            </wp:positionV>
            <wp:extent cx="3873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-292735</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-292735</wp:posOffset>
            </wp:positionV>
            <wp:extent cx="2159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-292735</wp:posOffset>
            </wp:positionV>
            <wp:extent cx="38735"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-292735</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-292735</wp:posOffset>
            </wp:positionV>
            <wp:extent cx="2159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8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management of Schlumberger Limited is responsible for establishing and maintaining adequate internal control over financial reporting as defined in Rule 13a – 15(f) of the Securities Exchange Act of 1934. Schlumberger Limited’s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 xml:space="preserve">Schlumberger Limited management assessed the effectiveness of the company’s internal control over financial reporting as of December 31, 2006.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our assessment we have concluded that, as of December 31, 2006, the company’s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based on those criteria.</w:t>
      </w:r>
    </w:p>
    <w:p>
      <w:pPr>
        <w:spacing w:after="0" w:line="2"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Schlumberger Limited’s assessment of the effectiveness of our internal control over financial reporting as of December 31, 2006 has been audited by PricewaterhouseCoopers LLP, an independent registered public accounting firm, as stated in their report which appears on pages 74 and 75 of this Annual Report on Form 10-K.</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Schlumberger Limited</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completed integrated audits of Schlumberger Limited’s consolidated financial statements and of its internal control over financial reporting as of December 31, 2006, in accordance with the standards of the Public Company Accounting Oversight Board (United States). Our opinions, based on our audits, are presented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7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In our opinion, the accompanying consolidated balance sheet and the related consolidated statements of income, of stockholders’ equity and of cash flows present fairly, in all material respects, the financial position of Schlumberger Limited and its subsidiaries at December 31, 2006 and 2005, and the results of their operations and their cash flows for each of the three years in the period ended December 31, 2006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color w:val="auto"/>
        </w:rPr>
        <w:t>As noted in Note 14 to the consolidated financial statements, the Company changed its method of accounting for stock-based compensation on January 1, 2006. Additionally, as noted in Note 20 to the consolidated financial statements, the Company changed its method of accounting for defined benefit pension and other postretirement plans on December 31, 2006.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on page 73 of this Annual Report on Form 10-K, that the Company maintained effective internal control over financial reporting as of December 31, 2006,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80" w:firstLine="228"/>
        <w:spacing w:after="0" w:line="28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ind w:firstLine="228"/>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2007</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8,9,9A,9B</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following table summarizes Schlumberger’s results for each of the four quarters for the years ended December 31, 2006 and 2005. Revenue and gross margin, which equals operating revenue less cost of goods sold and services, has been restated to exclude discontinued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tcPr>
          <w:p>
            <w:pPr>
              <w:jc w:val="center"/>
              <w:spacing w:after="0" w:line="125" w:lineRule="exact"/>
              <w:rPr>
                <w:sz w:val="20"/>
                <w:szCs w:val="20"/>
                <w:color w:val="auto"/>
              </w:rPr>
            </w:pPr>
            <w:r>
              <w:rPr>
                <w:rFonts w:ascii="Arial" w:cs="Arial" w:eastAsia="Arial" w:hAnsi="Arial"/>
                <w:sz w:val="14"/>
                <w:szCs w:val="14"/>
                <w:b w:val="1"/>
                <w:bCs w:val="1"/>
                <w:color w:val="auto"/>
                <w:w w:val="86"/>
              </w:rPr>
              <w:t>Earnings per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 xml:space="preserve">share </w:t>
            </w:r>
            <w:r>
              <w:rPr>
                <w:rFonts w:ascii="Arial" w:cs="Arial" w:eastAsia="Arial" w:hAnsi="Arial"/>
                <w:sz w:val="22"/>
                <w:szCs w:val="22"/>
                <w:b w:val="1"/>
                <w:bCs w:val="1"/>
                <w:color w:val="auto"/>
                <w:w w:val="80"/>
                <w:vertAlign w:val="superscript"/>
              </w:rPr>
              <w:t>6</w:t>
            </w: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Arial" w:cs="Arial" w:eastAsia="Arial" w:hAnsi="Arial"/>
                <w:sz w:val="14"/>
                <w:szCs w:val="14"/>
                <w:b w:val="1"/>
                <w:bCs w:val="1"/>
                <w:color w:val="auto"/>
                <w:w w:val="78"/>
              </w:rPr>
              <w:t>Gross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1020" w:type="dxa"/>
            <w:vAlign w:val="bottom"/>
            <w:gridSpan w:val="4"/>
          </w:tcPr>
          <w:p>
            <w:pPr>
              <w:spacing w:after="0" w:line="193" w:lineRule="exact"/>
              <w:rPr>
                <w:sz w:val="20"/>
                <w:szCs w:val="20"/>
                <w:color w:val="auto"/>
              </w:rPr>
            </w:pPr>
            <w:r>
              <w:rPr>
                <w:rFonts w:ascii="Arial" w:cs="Arial" w:eastAsia="Arial" w:hAnsi="Arial"/>
                <w:sz w:val="14"/>
                <w:szCs w:val="14"/>
                <w:b w:val="1"/>
                <w:bCs w:val="1"/>
                <w:color w:val="auto"/>
              </w:rPr>
              <w:t xml:space="preserve">Revenue </w:t>
            </w:r>
            <w:r>
              <w:rPr>
                <w:rFonts w:ascii="Arial" w:cs="Arial" w:eastAsia="Arial" w:hAnsi="Arial"/>
                <w:sz w:val="22"/>
                <w:szCs w:val="22"/>
                <w:b w:val="1"/>
                <w:bCs w:val="1"/>
                <w:color w:val="auto"/>
                <w:vertAlign w:val="superscript"/>
              </w:rPr>
              <w:t>7</w:t>
            </w:r>
          </w:p>
        </w:tc>
        <w:tc>
          <w:tcPr>
            <w:tcW w:w="62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w w:val="85"/>
              </w:rPr>
              <w:t>Margin</w:t>
            </w:r>
            <w:r>
              <w:rPr>
                <w:rFonts w:ascii="Arial" w:cs="Arial" w:eastAsia="Arial" w:hAnsi="Arial"/>
                <w:sz w:val="22"/>
                <w:szCs w:val="22"/>
                <w:b w:val="1"/>
                <w:bCs w:val="1"/>
                <w:color w:val="auto"/>
                <w:w w:val="85"/>
                <w:vertAlign w:val="superscript"/>
              </w:rPr>
              <w:t>5, 7</w:t>
            </w:r>
          </w:p>
        </w:tc>
        <w:tc>
          <w:tcPr>
            <w:tcW w:w="420" w:type="dxa"/>
            <w:vAlign w:val="bottom"/>
          </w:tcPr>
          <w:p>
            <w:pPr>
              <w:spacing w:after="0"/>
              <w:rPr>
                <w:sz w:val="16"/>
                <w:szCs w:val="16"/>
                <w:color w:val="auto"/>
              </w:rPr>
            </w:pPr>
          </w:p>
        </w:tc>
        <w:tc>
          <w:tcPr>
            <w:tcW w:w="520" w:type="dxa"/>
            <w:vAlign w:val="bottom"/>
            <w:gridSpan w:val="2"/>
          </w:tcPr>
          <w:p>
            <w:pPr>
              <w:spacing w:after="0" w:line="193" w:lineRule="exact"/>
              <w:rPr>
                <w:sz w:val="20"/>
                <w:szCs w:val="20"/>
                <w:color w:val="auto"/>
              </w:rPr>
            </w:pPr>
            <w:r>
              <w:rPr>
                <w:rFonts w:ascii="Arial" w:cs="Arial" w:eastAsia="Arial" w:hAnsi="Arial"/>
                <w:sz w:val="14"/>
                <w:szCs w:val="14"/>
                <w:b w:val="1"/>
                <w:bCs w:val="1"/>
                <w:color w:val="auto"/>
                <w:w w:val="81"/>
              </w:rPr>
              <w:t xml:space="preserve">Income </w:t>
            </w:r>
            <w:r>
              <w:rPr>
                <w:rFonts w:ascii="Arial" w:cs="Arial" w:eastAsia="Arial" w:hAnsi="Arial"/>
                <w:sz w:val="22"/>
                <w:szCs w:val="22"/>
                <w:b w:val="1"/>
                <w:bCs w:val="1"/>
                <w:color w:val="auto"/>
                <w:w w:val="81"/>
                <w:vertAlign w:val="superscript"/>
              </w:rPr>
              <w:t>7</w:t>
            </w:r>
          </w:p>
        </w:tc>
        <w:tc>
          <w:tcPr>
            <w:tcW w:w="4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0"/>
              </w:rPr>
              <w:t>Basic</w:t>
            </w:r>
          </w:p>
        </w:tc>
        <w:tc>
          <w:tcPr>
            <w:tcW w:w="420" w:type="dxa"/>
            <w:vAlign w:val="bottom"/>
          </w:tcPr>
          <w:p>
            <w:pPr>
              <w:spacing w:after="0"/>
              <w:rPr>
                <w:sz w:val="16"/>
                <w:szCs w:val="16"/>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Quarters-2006</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320"/>
              <w:spacing w:after="0" w:line="149" w:lineRule="exact"/>
              <w:rPr>
                <w:sz w:val="20"/>
                <w:szCs w:val="20"/>
                <w:color w:val="auto"/>
              </w:rPr>
            </w:pPr>
            <w:r>
              <w:rPr>
                <w:rFonts w:ascii="Arial" w:cs="Arial" w:eastAsia="Arial" w:hAnsi="Arial"/>
                <w:sz w:val="14"/>
                <w:szCs w:val="14"/>
                <w:color w:val="auto"/>
              </w:rPr>
              <w:t>First</w:t>
            </w:r>
          </w:p>
        </w:tc>
        <w:tc>
          <w:tcPr>
            <w:tcW w:w="80" w:type="dxa"/>
            <w:vAlign w:val="bottom"/>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4,239</w:t>
            </w:r>
          </w:p>
        </w:tc>
        <w:tc>
          <w:tcPr>
            <w:tcW w:w="4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1,239</w:t>
            </w:r>
          </w:p>
        </w:tc>
        <w:tc>
          <w:tcPr>
            <w:tcW w:w="20" w:type="dxa"/>
            <w:vAlign w:val="bottom"/>
          </w:tcPr>
          <w:p>
            <w:pPr>
              <w:spacing w:after="0"/>
              <w:rPr>
                <w:sz w:val="12"/>
                <w:szCs w:val="12"/>
                <w:color w:val="auto"/>
              </w:rPr>
            </w:pP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723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$0.61</w:t>
            </w:r>
          </w:p>
        </w:tc>
        <w:tc>
          <w:tcPr>
            <w:tcW w:w="56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Second</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4,687</w:t>
            </w: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1,427</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0.72</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ind w:left="320"/>
              <w:spacing w:after="0" w:line="149" w:lineRule="exact"/>
              <w:rPr>
                <w:sz w:val="20"/>
                <w:szCs w:val="20"/>
                <w:color w:val="auto"/>
              </w:rPr>
            </w:pPr>
            <w:r>
              <w:rPr>
                <w:rFonts w:ascii="Arial" w:cs="Arial" w:eastAsia="Arial" w:hAnsi="Arial"/>
                <w:sz w:val="14"/>
                <w:szCs w:val="14"/>
                <w:color w:val="auto"/>
              </w:rPr>
              <w:t>Third</w:t>
            </w: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4,955</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1,585</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0.84</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Fourth</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5,350</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1,764</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1,131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0.96</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19,230</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6,016</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3,710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$3.14</w:t>
            </w:r>
          </w:p>
        </w:tc>
        <w:tc>
          <w:tcPr>
            <w:tcW w:w="5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Quarters-2005</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ind w:left="320"/>
              <w:spacing w:after="0" w:line="176" w:lineRule="exact"/>
              <w:rPr>
                <w:sz w:val="20"/>
                <w:szCs w:val="20"/>
                <w:color w:val="auto"/>
              </w:rPr>
            </w:pPr>
            <w:r>
              <w:rPr>
                <w:rFonts w:ascii="Arial" w:cs="Arial" w:eastAsia="Arial" w:hAnsi="Arial"/>
                <w:sz w:val="13"/>
                <w:szCs w:val="13"/>
                <w:color w:val="auto"/>
              </w:rPr>
              <w:t>First</w:t>
            </w:r>
            <w:r>
              <w:rPr>
                <w:rFonts w:ascii="Arial" w:cs="Arial" w:eastAsia="Arial" w:hAnsi="Arial"/>
                <w:sz w:val="20"/>
                <w:szCs w:val="20"/>
                <w:color w:val="auto"/>
                <w:vertAlign w:val="superscript"/>
              </w:rPr>
              <w:t>2</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3,159</w:t>
            </w:r>
          </w:p>
        </w:tc>
        <w:tc>
          <w:tcPr>
            <w:tcW w:w="42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750</w:t>
            </w:r>
          </w:p>
        </w:tc>
        <w:tc>
          <w:tcPr>
            <w:tcW w:w="20" w:type="dxa"/>
            <w:vAlign w:val="bottom"/>
          </w:tcPr>
          <w:p>
            <w:pPr>
              <w:spacing w:after="0"/>
              <w:rPr>
                <w:sz w:val="15"/>
                <w:szCs w:val="15"/>
                <w:color w:val="auto"/>
              </w:rPr>
            </w:pPr>
          </w:p>
        </w:tc>
        <w:tc>
          <w:tcPr>
            <w:tcW w:w="500" w:type="dxa"/>
            <w:vAlign w:val="bottom"/>
            <w:gridSpan w:val="2"/>
          </w:tcPr>
          <w:p>
            <w:pPr>
              <w:ind w:left="420"/>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523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$0.44</w:t>
            </w:r>
          </w:p>
        </w:tc>
        <w:tc>
          <w:tcPr>
            <w:tcW w:w="5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Second</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3,429</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ind w:left="320"/>
              <w:spacing w:after="0" w:line="176" w:lineRule="exact"/>
              <w:rPr>
                <w:sz w:val="20"/>
                <w:szCs w:val="20"/>
                <w:color w:val="auto"/>
              </w:rPr>
            </w:pPr>
            <w:r>
              <w:rPr>
                <w:rFonts w:ascii="Arial" w:cs="Arial" w:eastAsia="Arial" w:hAnsi="Arial"/>
                <w:sz w:val="13"/>
                <w:szCs w:val="13"/>
                <w:color w:val="auto"/>
              </w:rPr>
              <w:t>Third</w:t>
            </w:r>
            <w:r>
              <w:rPr>
                <w:rFonts w:ascii="Arial" w:cs="Arial" w:eastAsia="Arial" w:hAnsi="Arial"/>
                <w:sz w:val="20"/>
                <w:szCs w:val="20"/>
                <w:color w:val="auto"/>
                <w:vertAlign w:val="superscript"/>
              </w:rPr>
              <w:t>3</w:t>
            </w:r>
          </w:p>
        </w:tc>
        <w:tc>
          <w:tcPr>
            <w:tcW w:w="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3,698</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937</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541</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0.46</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Fourth</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4,023</w:t>
            </w: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14,309</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3,670</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2,207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$1.87</w:t>
            </w:r>
          </w:p>
        </w:tc>
        <w:tc>
          <w:tcPr>
            <w:tcW w:w="5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-955675</wp:posOffset>
            </wp:positionV>
            <wp:extent cx="37274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-955675</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-955675</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-955675</wp:posOffset>
            </wp:positionV>
            <wp:extent cx="2159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-955675</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-955675</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-955675</wp:posOffset>
            </wp:positionV>
            <wp:extent cx="2159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-955675</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-955675</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-955675</wp:posOffset>
            </wp:positionV>
            <wp:extent cx="2159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-955675</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-955675</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-955675</wp:posOffset>
            </wp:positionV>
            <wp:extent cx="2159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2159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3302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Net income includes net, after-tax charges of $43 million.</w:t>
      </w:r>
    </w:p>
    <w:p>
      <w:pPr>
        <w:spacing w:after="0"/>
        <w:rPr>
          <w:rFonts w:ascii="Arial" w:cs="Arial" w:eastAsia="Arial" w:hAnsi="Arial"/>
          <w:sz w:val="14"/>
          <w:szCs w:val="14"/>
          <w:color w:val="auto"/>
        </w:rPr>
      </w:pPr>
      <w:r>
        <w:rPr>
          <w:rFonts w:ascii="Arial" w:cs="Arial" w:eastAsia="Arial" w:hAnsi="Arial"/>
          <w:sz w:val="14"/>
          <w:szCs w:val="14"/>
          <w:color w:val="auto"/>
        </w:rPr>
        <w:t>2</w:t>
      </w:r>
      <w:r>
        <w:rPr>
          <w:rFonts w:ascii="Arial" w:cs="Arial" w:eastAsia="Arial" w:hAnsi="Arial"/>
          <w:sz w:val="12"/>
          <w:szCs w:val="12"/>
          <w:color w:val="auto"/>
        </w:rPr>
        <w:t>Net income includes net, after-tax credits of $134 million.</w:t>
      </w:r>
    </w:p>
    <w:p>
      <w:pPr>
        <w:spacing w:after="0"/>
        <w:rPr>
          <w:rFonts w:ascii="Arial" w:cs="Arial" w:eastAsia="Arial" w:hAnsi="Arial"/>
          <w:sz w:val="14"/>
          <w:szCs w:val="14"/>
          <w:color w:val="auto"/>
        </w:rPr>
      </w:pPr>
      <w:r>
        <w:rPr>
          <w:rFonts w:ascii="Arial" w:cs="Arial" w:eastAsia="Arial" w:hAnsi="Arial"/>
          <w:sz w:val="14"/>
          <w:szCs w:val="14"/>
          <w:color w:val="auto"/>
        </w:rPr>
        <w:t>3</w:t>
      </w:r>
      <w:r>
        <w:rPr>
          <w:rFonts w:ascii="Arial" w:cs="Arial" w:eastAsia="Arial" w:hAnsi="Arial"/>
          <w:sz w:val="12"/>
          <w:szCs w:val="12"/>
          <w:color w:val="auto"/>
        </w:rPr>
        <w:t>Net income includes an after-tax credit of $18 million.</w:t>
      </w:r>
    </w:p>
    <w:p>
      <w:pPr>
        <w:spacing w:after="0"/>
        <w:rPr>
          <w:rFonts w:ascii="Arial" w:cs="Arial" w:eastAsia="Arial" w:hAnsi="Arial"/>
          <w:sz w:val="14"/>
          <w:szCs w:val="14"/>
          <w:color w:val="auto"/>
        </w:rPr>
      </w:pPr>
      <w:r>
        <w:rPr>
          <w:rFonts w:ascii="Arial" w:cs="Arial" w:eastAsia="Arial" w:hAnsi="Arial"/>
          <w:sz w:val="14"/>
          <w:szCs w:val="14"/>
          <w:color w:val="auto"/>
        </w:rPr>
        <w:t>4</w:t>
      </w:r>
      <w:r>
        <w:rPr>
          <w:rFonts w:ascii="Arial" w:cs="Arial" w:eastAsia="Arial" w:hAnsi="Arial"/>
          <w:sz w:val="12"/>
          <w:szCs w:val="12"/>
          <w:color w:val="auto"/>
        </w:rPr>
        <w:t>Net income includes an after-tax credit of $21 million.</w:t>
      </w:r>
    </w:p>
    <w:p>
      <w:pPr>
        <w:spacing w:after="0"/>
        <w:rPr>
          <w:rFonts w:ascii="Arial" w:cs="Arial" w:eastAsia="Arial" w:hAnsi="Arial"/>
          <w:sz w:val="14"/>
          <w:szCs w:val="14"/>
          <w:color w:val="auto"/>
        </w:rPr>
      </w:pPr>
      <w:r>
        <w:rPr>
          <w:rFonts w:ascii="Arial" w:cs="Arial" w:eastAsia="Arial" w:hAnsi="Arial"/>
          <w:sz w:val="14"/>
          <w:szCs w:val="14"/>
          <w:color w:val="auto"/>
        </w:rPr>
        <w:t>5</w:t>
      </w:r>
      <w:r>
        <w:rPr>
          <w:rFonts w:ascii="Arial" w:cs="Arial" w:eastAsia="Arial" w:hAnsi="Arial"/>
          <w:sz w:val="12"/>
          <w:szCs w:val="12"/>
          <w:color w:val="auto"/>
        </w:rPr>
        <w:t xml:space="preserve">Gross margin equals </w:t>
      </w:r>
      <w:r>
        <w:rPr>
          <w:rFonts w:ascii="Arial" w:cs="Arial" w:eastAsia="Arial" w:hAnsi="Arial"/>
          <w:sz w:val="12"/>
          <w:szCs w:val="12"/>
          <w:i w:val="1"/>
          <w:iCs w:val="1"/>
          <w:color w:val="auto"/>
        </w:rPr>
        <w:t>Operating revenue</w:t>
      </w:r>
      <w:r>
        <w:rPr>
          <w:rFonts w:ascii="Arial" w:cs="Arial" w:eastAsia="Arial" w:hAnsi="Arial"/>
          <w:sz w:val="12"/>
          <w:szCs w:val="12"/>
          <w:color w:val="auto"/>
        </w:rPr>
        <w:t xml:space="preserve"> less </w:t>
      </w:r>
      <w:r>
        <w:rPr>
          <w:rFonts w:ascii="Arial" w:cs="Arial" w:eastAsia="Arial" w:hAnsi="Arial"/>
          <w:sz w:val="12"/>
          <w:szCs w:val="12"/>
          <w:i w:val="1"/>
          <w:iCs w:val="1"/>
          <w:color w:val="auto"/>
        </w:rPr>
        <w:t>Cost of goods sold &amp; services</w:t>
      </w:r>
      <w:r>
        <w:rPr>
          <w:rFonts w:ascii="Arial" w:cs="Arial" w:eastAsia="Arial" w:hAnsi="Arial"/>
          <w:sz w:val="12"/>
          <w:szCs w:val="12"/>
          <w:color w:val="auto"/>
        </w:rPr>
        <w:t>.</w:t>
      </w:r>
    </w:p>
    <w:p>
      <w:pPr>
        <w:ind w:right="4920"/>
        <w:spacing w:after="0" w:line="297" w:lineRule="auto"/>
        <w:rPr>
          <w:rFonts w:ascii="Arial" w:cs="Arial" w:eastAsia="Arial" w:hAnsi="Arial"/>
          <w:sz w:val="14"/>
          <w:szCs w:val="14"/>
          <w:color w:val="auto"/>
        </w:rPr>
      </w:pPr>
      <w:r>
        <w:rPr>
          <w:rFonts w:ascii="Arial" w:cs="Arial" w:eastAsia="Arial" w:hAnsi="Arial"/>
          <w:sz w:val="12"/>
          <w:szCs w:val="12"/>
          <w:color w:val="auto"/>
        </w:rPr>
        <w:t>6 Due to rounding, the addition of earnings per share by quarter may not equal total earnings per share for the year. 7 Due to rounding, the addition of revenue, gross margin and net income by quarter may not equal total for the year.</w:t>
      </w:r>
    </w:p>
    <w:p>
      <w:pPr>
        <w:spacing w:after="0" w:line="1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Mark of Schlumberger</w:t>
      </w:r>
    </w:p>
    <w:p>
      <w:pPr>
        <w:spacing w:after="0" w:line="12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74"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Schlumberger has carried out an evaluation under the supervision and with the participation of Schlumberger’s management, including the Chief Executive Officer (“CEO”) and the Chief Financial Officer (“CFO”) of the effectiveness of the design and operation of Schlumberger’s disclosure controls and procedures. Based upon Schlumberger’s evaluation, the CEO and the CFO have concluded that, as of December 31, 2006, the disclosure controls and procedures were effective to provide reasonable assurance that information required to be disclosed in the reports Schlumberger files and submits under the Securities Exchange Act of 1934 is recorded, processed, summarized and reported within the time periods specified in Securities and Exchange Commission rules and forms.</w:t>
      </w:r>
    </w:p>
    <w:p>
      <w:pPr>
        <w:spacing w:after="0" w:line="86" w:lineRule="exact"/>
        <w:rPr>
          <w:sz w:val="20"/>
          <w:szCs w:val="20"/>
          <w:color w:val="auto"/>
        </w:rPr>
      </w:pPr>
    </w:p>
    <w:p>
      <w:pPr>
        <w:ind w:right="540" w:firstLine="228"/>
        <w:spacing w:after="0" w:line="254" w:lineRule="auto"/>
        <w:rPr>
          <w:sz w:val="20"/>
          <w:szCs w:val="20"/>
          <w:color w:val="auto"/>
        </w:rPr>
      </w:pPr>
      <w:r>
        <w:rPr>
          <w:rFonts w:ascii="Arial" w:cs="Arial" w:eastAsia="Arial" w:hAnsi="Arial"/>
          <w:sz w:val="18"/>
          <w:szCs w:val="18"/>
          <w:color w:val="auto"/>
        </w:rPr>
        <w:t>There has been no change in Schlumberger’s internal control over financial reporting during Schlumberger’s quarter ended December 31, 2006 that has materially affected, or is reasonably likely to materially affect, Schlumberger’s internal control over financial reporting.</w:t>
      </w:r>
    </w:p>
    <w:p>
      <w:pPr>
        <w:ind w:left="240"/>
        <w:spacing w:after="0"/>
        <w:rPr>
          <w:sz w:val="20"/>
          <w:szCs w:val="20"/>
          <w:color w:val="auto"/>
        </w:rPr>
      </w:pPr>
      <w:r>
        <w:rPr>
          <w:rFonts w:ascii="Arial" w:cs="Arial" w:eastAsia="Arial" w:hAnsi="Arial"/>
          <w:sz w:val="18"/>
          <w:szCs w:val="18"/>
          <w:color w:val="auto"/>
        </w:rPr>
        <w:t>See page 73 of this Report for Management’s Report on Internal Control Over Financial Reporting.</w:t>
      </w:r>
    </w:p>
    <w:p>
      <w:pPr>
        <w:spacing w:after="0" w:line="1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III, Item 10,11,12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14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Schlumberger</w:t>
      </w:r>
    </w:p>
    <w:p>
      <w:pPr>
        <w:spacing w:after="0" w:line="74" w:lineRule="exact"/>
        <w:rPr>
          <w:sz w:val="20"/>
          <w:szCs w:val="20"/>
          <w:color w:val="auto"/>
        </w:rPr>
      </w:pPr>
    </w:p>
    <w:p>
      <w:pPr>
        <w:ind w:right="300"/>
        <w:spacing w:after="0" w:line="284" w:lineRule="auto"/>
        <w:rPr>
          <w:sz w:val="20"/>
          <w:szCs w:val="20"/>
          <w:color w:val="auto"/>
        </w:rPr>
      </w:pPr>
      <w:r>
        <w:rPr>
          <w:rFonts w:ascii="Arial" w:cs="Arial" w:eastAsia="Arial" w:hAnsi="Arial"/>
          <w:sz w:val="16"/>
          <w:szCs w:val="16"/>
          <w:color w:val="auto"/>
        </w:rPr>
        <w:t>See Part I of this Report for Item 10 information regarding Executive Officers of Schlumberger. The information under the captions “Election of Directors,” “Section 16(a) Beneficial Ownership Reporting Compliance,” “Corporate Governance- Director Nominations” and “Board Committees- Audit Committee” in Schlumberger’s Proxy Statement to be filed for the 2007 Annual General Meeting of Stockholders is incorporated herein by reference.</w:t>
      </w:r>
    </w:p>
    <w:p>
      <w:pPr>
        <w:spacing w:after="0" w:line="1" w:lineRule="exact"/>
        <w:rPr>
          <w:sz w:val="20"/>
          <w:szCs w:val="20"/>
          <w:color w:val="auto"/>
        </w:rPr>
      </w:pPr>
    </w:p>
    <w:p>
      <w:pPr>
        <w:ind w:right="480" w:firstLine="228"/>
        <w:spacing w:after="0" w:line="295" w:lineRule="auto"/>
        <w:rPr>
          <w:sz w:val="20"/>
          <w:szCs w:val="20"/>
          <w:color w:val="auto"/>
        </w:rPr>
      </w:pPr>
      <w:r>
        <w:rPr>
          <w:rFonts w:ascii="Arial" w:cs="Arial" w:eastAsia="Arial" w:hAnsi="Arial"/>
          <w:sz w:val="16"/>
          <w:szCs w:val="16"/>
          <w:color w:val="auto"/>
        </w:rPr>
        <w:t>Schlumberger had adopted a Code of Ethics that applies to all of it directors, officers and employees, including its principal executive, financial and accounting officers, or persons performing similar functions. Schlumberger’s Code of Ethics is posted on its corporate governance website located at www.slb.com/ir. In addition, amendments to the Code of Ethics and any grant of a waiver from a provision of the Code of Ethics requiring disclosure under applicable SEC rules will be disclosed on Schlumberger’s corporate governance website located at www.slb.com/ir.</w:t>
      </w:r>
    </w:p>
    <w:p>
      <w:pPr>
        <w:spacing w:after="0" w:line="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7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information set forth under the captions “Compensation Discussion and Analysis,” “Executive Compensation” “Compensation Committee Report” and “Director Compensation” in Schlumberger’s Proxy Statement to be filed for the 2007 Annual General Meeting of Stockholders is incorporated herein by reference.</w:t>
      </w:r>
    </w:p>
    <w:p>
      <w:pPr>
        <w:spacing w:after="0" w:line="1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information under the caption “Security Ownership of Certain Beneficial Owners and Management” in Schlumberger’s Proxy Statement to be filed for the 2007 Annual General Meeting of Stockholders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below sets forth the following information as of December 31, 2006 for (1) all compensation plans previously approved by our stockholders and (2) all compensation plans not previously approved by our stockholders.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600" w:type="dxa"/>
            <w:vAlign w:val="bottom"/>
            <w:gridSpan w:val="3"/>
          </w:tcPr>
          <w:p>
            <w:pPr>
              <w:jc w:val="right"/>
              <w:ind w:right="1120"/>
              <w:spacing w:after="0" w:line="149" w:lineRule="exact"/>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5"/>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600" w:type="dxa"/>
            <w:vAlign w:val="bottom"/>
            <w:gridSpan w:val="3"/>
          </w:tcPr>
          <w:p>
            <w:pPr>
              <w:jc w:val="right"/>
              <w:ind w:right="1120"/>
              <w:spacing w:after="0" w:line="149" w:lineRule="exact"/>
              <w:rPr>
                <w:sz w:val="20"/>
                <w:szCs w:val="20"/>
                <w:color w:val="auto"/>
              </w:rPr>
            </w:pPr>
            <w:r>
              <w:rPr>
                <w:rFonts w:ascii="Arial" w:cs="Arial" w:eastAsia="Arial" w:hAnsi="Arial"/>
                <w:sz w:val="14"/>
                <w:szCs w:val="14"/>
                <w:b w:val="1"/>
                <w:bCs w:val="1"/>
                <w:color w:val="auto"/>
                <w:w w:val="81"/>
              </w:rPr>
              <w:t>to be issued upon exercise</w:t>
            </w:r>
          </w:p>
        </w:tc>
        <w:tc>
          <w:tcPr>
            <w:tcW w:w="100" w:type="dxa"/>
            <w:vAlign w:val="bottom"/>
          </w:tcPr>
          <w:p>
            <w:pPr>
              <w:spacing w:after="0"/>
              <w:rPr>
                <w:sz w:val="12"/>
                <w:szCs w:val="12"/>
                <w:color w:val="auto"/>
              </w:rPr>
            </w:pPr>
          </w:p>
        </w:tc>
        <w:tc>
          <w:tcPr>
            <w:tcW w:w="268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18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600" w:type="dxa"/>
            <w:vAlign w:val="bottom"/>
            <w:gridSpan w:val="3"/>
          </w:tcPr>
          <w:p>
            <w:pPr>
              <w:jc w:val="right"/>
              <w:ind w:right="112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100" w:type="dxa"/>
            <w:vAlign w:val="bottom"/>
          </w:tcPr>
          <w:p>
            <w:pPr>
              <w:spacing w:after="0"/>
              <w:rPr>
                <w:sz w:val="12"/>
                <w:szCs w:val="12"/>
                <w:color w:val="auto"/>
              </w:rPr>
            </w:pPr>
          </w:p>
        </w:tc>
        <w:tc>
          <w:tcPr>
            <w:tcW w:w="268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89"/>
              </w:rPr>
              <w:t>price of such outstanding</w:t>
            </w:r>
          </w:p>
        </w:tc>
        <w:tc>
          <w:tcPr>
            <w:tcW w:w="18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plans (excluding securities</w:t>
            </w:r>
          </w:p>
        </w:tc>
        <w:tc>
          <w:tcPr>
            <w:tcW w:w="0" w:type="dxa"/>
            <w:vAlign w:val="bottom"/>
          </w:tcPr>
          <w:p>
            <w:pPr>
              <w:spacing w:after="0"/>
              <w:rPr>
                <w:sz w:val="1"/>
                <w:szCs w:val="1"/>
                <w:color w:val="auto"/>
              </w:rPr>
            </w:pPr>
          </w:p>
        </w:tc>
      </w:tr>
      <w:tr>
        <w:trPr>
          <w:trHeight w:val="174"/>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260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rPr>
              <w:t>warrants and rights</w:t>
            </w:r>
          </w:p>
        </w:tc>
        <w:tc>
          <w:tcPr>
            <w:tcW w:w="278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87"/>
              </w:rPr>
              <w:t>options, warrants and rights</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reflected in column (a))</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compensation plans approved by security holders</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48,678,601</w:t>
            </w:r>
          </w:p>
        </w:tc>
        <w:tc>
          <w:tcPr>
            <w:tcW w:w="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36.362</w:t>
            </w:r>
          </w:p>
        </w:tc>
        <w:tc>
          <w:tcPr>
            <w:tcW w:w="112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26,363,116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tcPr>
          <w:p>
            <w:pPr>
              <w:spacing w:after="0" w:line="138" w:lineRule="exact"/>
              <w:rPr>
                <w:sz w:val="20"/>
                <w:szCs w:val="20"/>
                <w:color w:val="auto"/>
              </w:rPr>
            </w:pPr>
            <w:r>
              <w:rPr>
                <w:rFonts w:ascii="Arial" w:cs="Arial" w:eastAsia="Arial" w:hAnsi="Arial"/>
                <w:sz w:val="14"/>
                <w:szCs w:val="14"/>
                <w:color w:val="auto"/>
              </w:rPr>
              <w:t>Equity compensation plans not approved by security</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tcPr>
          <w:p>
            <w:pPr>
              <w:ind w:left="320"/>
              <w:spacing w:after="0"/>
              <w:rPr>
                <w:sz w:val="20"/>
                <w:szCs w:val="20"/>
                <w:color w:val="auto"/>
              </w:rPr>
            </w:pPr>
            <w:r>
              <w:rPr>
                <w:rFonts w:ascii="Arial" w:cs="Arial" w:eastAsia="Arial" w:hAnsi="Arial"/>
                <w:sz w:val="14"/>
                <w:szCs w:val="14"/>
                <w:color w:val="auto"/>
              </w:rPr>
              <w:t>holders</w:t>
            </w:r>
          </w:p>
        </w:tc>
        <w:tc>
          <w:tcPr>
            <w:tcW w:w="2600" w:type="dxa"/>
            <w:vAlign w:val="bottom"/>
            <w:gridSpan w:val="3"/>
          </w:tcPr>
          <w:p>
            <w:pPr>
              <w:jc w:val="right"/>
              <w:ind w:right="1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2680" w:type="dxa"/>
            <w:vAlign w:val="bottom"/>
            <w:gridSpan w:val="2"/>
          </w:tcPr>
          <w:p>
            <w:pPr>
              <w:jc w:val="right"/>
              <w:ind w:right="1120"/>
              <w:spacing w:after="0"/>
              <w:rPr>
                <w:sz w:val="20"/>
                <w:szCs w:val="20"/>
                <w:color w:val="auto"/>
              </w:rPr>
            </w:pPr>
            <w:r>
              <w:rPr>
                <w:rFonts w:ascii="Arial" w:cs="Arial" w:eastAsia="Arial" w:hAnsi="Arial"/>
                <w:sz w:val="14"/>
                <w:szCs w:val="14"/>
                <w:color w:val="auto"/>
              </w:rPr>
              <w:t>N/A</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48,678,601</w:t>
            </w:r>
          </w:p>
        </w:tc>
        <w:tc>
          <w:tcPr>
            <w:tcW w:w="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36.362</w:t>
            </w:r>
          </w:p>
        </w:tc>
        <w:tc>
          <w:tcPr>
            <w:tcW w:w="112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26,363,116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380" w:firstLine="228"/>
        <w:spacing w:after="0" w:line="306" w:lineRule="auto"/>
        <w:rPr>
          <w:sz w:val="20"/>
          <w:szCs w:val="20"/>
          <w:color w:val="auto"/>
        </w:rPr>
      </w:pPr>
      <w:r>
        <w:rPr>
          <w:rFonts w:ascii="Arial" w:cs="Arial" w:eastAsia="Arial" w:hAnsi="Arial"/>
          <w:sz w:val="16"/>
          <w:szCs w:val="16"/>
          <w:color w:val="auto"/>
        </w:rPr>
        <w:t>Equity compensation plans approved by our stockholders include the Schlumberger 1989 Stock Incentive Plan as amended, the Schlumberger 1994 Stock Option Plan as amended, the Schlumberger 1998 Stock Option Plan as amended, the Schlumberger 2001 Stock Option Plan, the Schlumberger 2005 Stock Incentive Plan and the Schlumberger Discounted Stock Purchase Plan and the Schlumberger Stock and Deferral Plan for Non-Employee Directors.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III, Item 13,14</w:t>
      </w:r>
    </w:p>
    <w:p>
      <w:pPr>
        <w:spacing w:after="0" w:line="1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74"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 information under the captions “Corporate Governance – Director Independence” and “– Policies and Procedures for Approval of Related Person Transactions” in Schlumberger’s Proxy Statement to be filed for the 2007 Annual General Meeting of Stockholders is incorporated herein by reference.</w:t>
      </w:r>
    </w:p>
    <w:p>
      <w:pPr>
        <w:spacing w:after="0" w:line="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under the caption “Appointment of Independent Registered Public Accounting Firm” in Schlumberger’s Proxy Statement to be filed for the 2007 Annual General Meeting of Stockholders is incorporated herein by reference.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IV, Item 15</w:t>
      </w:r>
    </w:p>
    <w:p>
      <w:pPr>
        <w:spacing w:after="0" w:line="2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PART IV</w:t>
      </w:r>
    </w:p>
    <w:p>
      <w:pPr>
        <w:spacing w:after="0" w:line="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7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5" w:lineRule="exact"/>
        <w:rPr>
          <w:sz w:val="20"/>
          <w:szCs w:val="20"/>
          <w:color w:val="auto"/>
        </w:rPr>
      </w:pPr>
    </w:p>
    <w:p>
      <w:pPr>
        <w:ind w:left="10280"/>
        <w:spacing w:after="0"/>
        <w:rPr>
          <w:sz w:val="20"/>
          <w:szCs w:val="20"/>
          <w:color w:val="auto"/>
        </w:rPr>
      </w:pPr>
      <w:r>
        <w:rPr>
          <w:rFonts w:ascii="Arial" w:cs="Arial" w:eastAsia="Arial" w:hAnsi="Arial"/>
          <w:sz w:val="11"/>
          <w:szCs w:val="11"/>
          <w:b w:val="1"/>
          <w:bCs w:val="1"/>
          <w:color w:val="auto"/>
        </w:rPr>
        <w:t>Page(s)</w:t>
      </w:r>
    </w:p>
    <w:p>
      <w:pPr>
        <w:sectPr>
          <w:pgSz w:w="11900" w:h="16838" w:orient="portrait"/>
          <w:cols w:equalWidth="0" w:num="1">
            <w:col w:w="11160"/>
          </w:cols>
          <w:pgMar w:left="240" w:top="459" w:right="499" w:bottom="1440" w:gutter="0" w:footer="0" w:header="0"/>
        </w:sectPr>
      </w:pPr>
    </w:p>
    <w:p>
      <w:pPr>
        <w:spacing w:after="0" w:line="83"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Financial Statements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Statement of Income for the three years ended December 31, 2006</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Balance Sheet at December 31, 2006 and 2005</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Consolidated Statement of Cash Flows for the three years ended December 31, 2006</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Consolidated Statement of Stockholders’ Equity for the three years ended December 31, 2006</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Quarterly Results (Unaudited)</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37 and 38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39 to 72</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74 and 75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117" w:lineRule="exact"/>
        <w:rPr>
          <w:sz w:val="20"/>
          <w:szCs w:val="20"/>
          <w:color w:val="auto"/>
        </w:rPr>
      </w:pPr>
    </w:p>
    <w:p>
      <w:pPr>
        <w:sectPr>
          <w:pgSz w:w="11900" w:h="16838" w:orient="portrait"/>
          <w:cols w:equalWidth="0" w:num="2">
            <w:col w:w="9560" w:space="720"/>
            <w:col w:w="880"/>
          </w:cols>
          <w:pgMar w:left="240" w:top="459" w:right="499" w:bottom="1440" w:gutter="0" w:footer="0" w:header="0"/>
          <w:type w:val="continuous"/>
        </w:sectPr>
      </w:pPr>
    </w:p>
    <w:p>
      <w:pPr>
        <w:spacing w:after="0"/>
        <w:rPr>
          <w:sz w:val="20"/>
          <w:szCs w:val="20"/>
          <w:color w:val="auto"/>
        </w:rPr>
      </w:pPr>
      <w:r>
        <w:rPr>
          <w:rFonts w:ascii="Arial" w:cs="Arial" w:eastAsia="Arial" w:hAnsi="Arial"/>
          <w:sz w:val="18"/>
          <w:szCs w:val="18"/>
          <w:color w:val="auto"/>
        </w:rPr>
        <w:t>Financial statements of 20% – 50% owned companies accounted for under the equity method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unconsolidated subsidiaries have been omitted because they do not meet the materiality tests for assets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70"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Financial Statement Schedules not required</w:t>
      </w:r>
    </w:p>
    <w:p>
      <w:pPr>
        <w:spacing w:after="0" w:line="77"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The following Exhibits are filed or incorporated by reference as indicated in Index to Exhibits: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Articles of Incorporation as last amended on April 12, 2006</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Amended and Restated By-Laws as last amended on April 21, 2005</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Indenture, dated as of June 9, 2003, by and between Schlumberger and Citibank N.A., as Trustee</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First Supplemental Indenture, dated as of June 9, 2003, by and between Schlumberger and Citibank, N.A., as Trustee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Exhibit 3.1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3.2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4.3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4.4</w:t>
      </w:r>
    </w:p>
    <w:p>
      <w:pPr>
        <w:spacing w:after="0" w:line="140" w:lineRule="exact"/>
        <w:rPr>
          <w:sz w:val="20"/>
          <w:szCs w:val="20"/>
          <w:color w:val="auto"/>
        </w:rPr>
      </w:pPr>
    </w:p>
    <w:p>
      <w:pPr>
        <w:sectPr>
          <w:pgSz w:w="11900" w:h="16838" w:orient="portrait"/>
          <w:cols w:equalWidth="0" w:num="2">
            <w:col w:w="9560" w:space="720"/>
            <w:col w:w="880"/>
          </w:cols>
          <w:pgMar w:left="240" w:top="459" w:right="499" w:bottom="1440" w:gutter="0" w:footer="0" w:header="0"/>
          <w:type w:val="continuous"/>
        </w:sectPr>
      </w:pPr>
    </w:p>
    <w:p>
      <w:pPr>
        <w:spacing w:after="0"/>
        <w:rPr>
          <w:sz w:val="20"/>
          <w:szCs w:val="20"/>
          <w:color w:val="auto"/>
        </w:rPr>
      </w:pPr>
      <w:r>
        <w:rPr>
          <w:rFonts w:ascii="Arial" w:cs="Arial" w:eastAsia="Arial" w:hAnsi="Arial"/>
          <w:sz w:val="16"/>
          <w:szCs w:val="16"/>
          <w:color w:val="auto"/>
        </w:rPr>
        <w:t>Schlumberger is party to a number of other long-term debt agreements that, pursuant to Regulation S-K,</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Item 601(b)(4)(iii), are not filed as exhibits. Schlumberger agrees to furnish copies of these agreements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Commission upon its request.</w:t>
      </w:r>
    </w:p>
    <w:p>
      <w:pPr>
        <w:spacing w:after="0" w:line="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1994 Stock Option Plan* as amended on January 5, 1995</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1994 Stock Option Plan* Second Amendment</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1994 Stock Option Plan* Third Amendment</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Schlumberger Limited Supplementary Benefits Plan* as amended on January 1, 1995</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Schlumberger Limited Supplementary Benefits Plan, First amendment dated January 1, 2004</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1989 Stock Incentive Plan* as amended</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1989 Stock Incentive Plan* Third Amendment</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Restoration Savings Plan</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Schlumberger Restoration Savings Plan, First amended dated January 1,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Exhibit 10.1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Exhibit 10.9</w:t>
      </w:r>
    </w:p>
    <w:p>
      <w:pPr>
        <w:spacing w:after="0" w:line="96" w:lineRule="exact"/>
        <w:rPr>
          <w:sz w:val="20"/>
          <w:szCs w:val="20"/>
          <w:color w:val="auto"/>
        </w:rPr>
      </w:pPr>
    </w:p>
    <w:p>
      <w:pPr>
        <w:sectPr>
          <w:pgSz w:w="11900" w:h="16838" w:orient="portrait"/>
          <w:cols w:equalWidth="0" w:num="2">
            <w:col w:w="9560" w:space="720"/>
            <w:col w:w="880"/>
          </w:cols>
          <w:pgMar w:left="240" w:top="459" w:right="499" w:bottom="1440" w:gutter="0" w:footer="0" w:header="0"/>
          <w:type w:val="continuous"/>
        </w:sectPr>
      </w:pPr>
    </w:p>
    <w:p>
      <w:pPr>
        <w:ind w:left="460" w:hanging="452"/>
        <w:spacing w:after="0"/>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Compensatory plan or agreement required to be filed as an exhibit.</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160"/>
          </w:cols>
          <w:pgMar w:left="240" w:top="459" w:right="49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IV, Item 15</w:t>
      </w:r>
    </w:p>
    <w:p>
      <w:pPr>
        <w:spacing w:after="0" w:line="200" w:lineRule="exact"/>
        <w:rPr>
          <w:sz w:val="20"/>
          <w:szCs w:val="20"/>
          <w:color w:val="auto"/>
        </w:rPr>
      </w:pPr>
    </w:p>
    <w:p>
      <w:pPr>
        <w:spacing w:after="0" w:line="2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Schlumberger 1998 Stock Option Plan*</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Schlumberger 1998 Stock Option Plan* First Amendment</w:t>
      </w:r>
    </w:p>
    <w:p>
      <w:pPr>
        <w:spacing w:after="0" w:line="77" w:lineRule="exact"/>
        <w:rPr>
          <w:sz w:val="20"/>
          <w:szCs w:val="20"/>
          <w:color w:val="auto"/>
        </w:rPr>
      </w:pPr>
    </w:p>
    <w:p>
      <w:pPr>
        <w:jc w:val="both"/>
        <w:ind w:left="820" w:right="120"/>
        <w:spacing w:after="0" w:line="259" w:lineRule="auto"/>
        <w:rPr>
          <w:sz w:val="20"/>
          <w:szCs w:val="20"/>
          <w:color w:val="auto"/>
        </w:rPr>
      </w:pPr>
      <w:r>
        <w:rPr>
          <w:rFonts w:ascii="Arial" w:cs="Arial" w:eastAsia="Arial" w:hAnsi="Arial"/>
          <w:sz w:val="18"/>
          <w:szCs w:val="18"/>
          <w:color w:val="auto"/>
        </w:rPr>
        <w:t>1997 Long-Term Incentive Plan of Camco International Inc.; Long-Term Incentive Plan of Camco International Inc. Production Operators Corp. 1992 Long-Term Incentive Plan; Camco 1996 Savings Related Share Option Scheme; Camco International Inc. Amended and Restated Stock Option Plan for Non-Employee Directors *</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Schlumberger 2001 Stock Option Plan*</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Schlumberger 2005 Stock Incentive Plan*</w:t>
      </w:r>
    </w:p>
    <w:p>
      <w:pPr>
        <w:spacing w:after="0" w:line="77" w:lineRule="exact"/>
        <w:rPr>
          <w:sz w:val="20"/>
          <w:szCs w:val="20"/>
          <w:color w:val="auto"/>
        </w:rPr>
      </w:pPr>
    </w:p>
    <w:p>
      <w:pPr>
        <w:ind w:left="820" w:right="3260"/>
        <w:spacing w:after="0" w:line="328" w:lineRule="auto"/>
        <w:rPr>
          <w:sz w:val="20"/>
          <w:szCs w:val="20"/>
          <w:color w:val="auto"/>
        </w:rPr>
      </w:pPr>
      <w:r>
        <w:rPr>
          <w:rFonts w:ascii="Arial" w:cs="Arial" w:eastAsia="Arial" w:hAnsi="Arial"/>
          <w:sz w:val="18"/>
          <w:szCs w:val="18"/>
          <w:color w:val="auto"/>
        </w:rPr>
        <w:t>Schlumberger Limited 2004 Stock and Deferral Plan for Non-Employee Directors* Form of Option Agreement, Incentive Stock Option Form of Option Agreement, Non-Qualified Stock Option</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Employment Agreement, dated July 21, 2005 between Schlumberger and Frank A. Sorgie</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Employment Agreement dated January 18, 2007, effective as of March 1, 2007, between Schlumberger and Jean-Marc Perraud</w:t>
      </w:r>
    </w:p>
    <w:p>
      <w:pPr>
        <w:spacing w:after="0" w:line="10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Form of Indemnification Agreement</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Subsidiaries</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Powers of Attorney</w:t>
      </w:r>
    </w:p>
    <w:p>
      <w:pPr>
        <w:spacing w:after="0" w:line="15" w:lineRule="exact"/>
        <w:rPr>
          <w:sz w:val="20"/>
          <w:szCs w:val="20"/>
          <w:color w:val="auto"/>
        </w:rPr>
      </w:pPr>
    </w:p>
    <w:p>
      <w:pPr>
        <w:ind w:left="1260" w:right="320"/>
        <w:spacing w:after="0" w:line="261" w:lineRule="auto"/>
        <w:rPr>
          <w:sz w:val="20"/>
          <w:szCs w:val="20"/>
          <w:color w:val="auto"/>
        </w:rPr>
      </w:pPr>
      <w:r>
        <w:rPr>
          <w:rFonts w:ascii="Arial" w:cs="Arial" w:eastAsia="Arial" w:hAnsi="Arial"/>
          <w:sz w:val="18"/>
          <w:szCs w:val="18"/>
          <w:color w:val="auto"/>
        </w:rPr>
        <w:t>John Deutch, Jamie S. Gorlick, Andrew Gould, Tony Isaac, Adrian Lajous, André Lévy-Lang, Michael Marks, Nicolas Seydoux, Tore Sandvold, Linda G. Stuntz – dated January 18, 2007</w:t>
      </w:r>
    </w:p>
    <w:p>
      <w:pPr>
        <w:spacing w:after="0" w:line="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Powers of Attorney</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Didier Primat, Rana Talwar – dated January 31, 2007</w:t>
      </w:r>
    </w:p>
    <w:p>
      <w:pPr>
        <w:spacing w:after="0" w:line="84" w:lineRule="exact"/>
        <w:rPr>
          <w:sz w:val="20"/>
          <w:szCs w:val="20"/>
          <w:color w:val="auto"/>
        </w:rPr>
      </w:pPr>
    </w:p>
    <w:p>
      <w:pPr>
        <w:ind w:left="820" w:right="220"/>
        <w:spacing w:after="0" w:line="268" w:lineRule="auto"/>
        <w:rPr>
          <w:sz w:val="20"/>
          <w:szCs w:val="20"/>
          <w:color w:val="auto"/>
        </w:rPr>
      </w:pPr>
      <w:r>
        <w:rPr>
          <w:rFonts w:ascii="Arial" w:cs="Arial" w:eastAsia="Arial" w:hAnsi="Arial"/>
          <w:sz w:val="18"/>
          <w:szCs w:val="18"/>
          <w:color w:val="auto"/>
        </w:rPr>
        <w:t>Certification of Chief Executive Officer pursuant to Rule 13a-14(a) as Adopted Pursuant to Section 302 of the Sarbanes-Oxley Act of 2002</w:t>
      </w:r>
    </w:p>
    <w:p>
      <w:pPr>
        <w:spacing w:after="0" w:line="37" w:lineRule="exact"/>
        <w:rPr>
          <w:sz w:val="20"/>
          <w:szCs w:val="20"/>
          <w:color w:val="auto"/>
        </w:rPr>
      </w:pPr>
    </w:p>
    <w:p>
      <w:pPr>
        <w:ind w:left="820" w:right="260"/>
        <w:spacing w:after="0" w:line="268" w:lineRule="auto"/>
        <w:rPr>
          <w:sz w:val="20"/>
          <w:szCs w:val="20"/>
          <w:color w:val="auto"/>
        </w:rPr>
      </w:pPr>
      <w:r>
        <w:rPr>
          <w:rFonts w:ascii="Arial" w:cs="Arial" w:eastAsia="Arial" w:hAnsi="Arial"/>
          <w:sz w:val="18"/>
          <w:szCs w:val="18"/>
          <w:color w:val="auto"/>
        </w:rPr>
        <w:t>Certification of Chief Financial Officer pursuant to Rule 13a-14(a) as Adopted Pursuant to Section 302 of the Sarbanes-Oxley Act of 2002</w:t>
      </w:r>
    </w:p>
    <w:p>
      <w:pPr>
        <w:spacing w:after="0" w:line="37" w:lineRule="exact"/>
        <w:rPr>
          <w:sz w:val="20"/>
          <w:szCs w:val="20"/>
          <w:color w:val="auto"/>
        </w:rPr>
      </w:pPr>
    </w:p>
    <w:p>
      <w:pPr>
        <w:ind w:left="820"/>
        <w:spacing w:after="0" w:line="268"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37" w:lineRule="exact"/>
        <w:rPr>
          <w:sz w:val="20"/>
          <w:szCs w:val="20"/>
          <w:color w:val="auto"/>
        </w:rPr>
      </w:pPr>
    </w:p>
    <w:p>
      <w:pPr>
        <w:ind w:left="820" w:right="60"/>
        <w:spacing w:after="0" w:line="268"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3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Compensatory plan or agreement required to be filed as an exhibit.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60" w:lineRule="exact"/>
        <w:rPr>
          <w:sz w:val="20"/>
          <w:szCs w:val="20"/>
          <w:color w:val="auto"/>
        </w:rPr>
      </w:pPr>
    </w:p>
    <w:p>
      <w:pPr>
        <w:spacing w:after="0" w:line="420" w:lineRule="auto"/>
        <w:rPr>
          <w:sz w:val="20"/>
          <w:szCs w:val="20"/>
          <w:color w:val="auto"/>
        </w:rPr>
      </w:pPr>
      <w:r>
        <w:rPr>
          <w:rFonts w:ascii="Arial" w:cs="Arial" w:eastAsia="Arial" w:hAnsi="Arial"/>
          <w:sz w:val="16"/>
          <w:szCs w:val="16"/>
          <w:color w:val="auto"/>
        </w:rPr>
        <w:t>Exhibit 10.10 Exhibit 10.11</w:t>
      </w:r>
    </w:p>
    <w:p>
      <w:pPr>
        <w:spacing w:after="0" w:line="355"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Exhibit 10.12 Exhibit 10.13 Exhibit 10.14 Exhibit 10.15 Exhibit 10.16 Exhibit 10.17 Exhibit 10.18 Exhibit 10.19 Exhibit 10.20 Exhibit 21 Exhibit 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Exhibit 24.1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Exhibit 24.2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31.1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31.2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ectPr>
          <w:pgSz w:w="11900" w:h="16838" w:orient="portrait"/>
          <w:cols w:equalWidth="0" w:num="2">
            <w:col w:w="9940" w:space="360"/>
            <w:col w:w="960"/>
          </w:cols>
          <w:pgMar w:left="240" w:top="459" w:right="3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Date: February 16, 2007</w:t>
            </w:r>
          </w:p>
        </w:tc>
        <w:tc>
          <w:tcPr>
            <w:tcW w:w="7520" w:type="dxa"/>
            <w:vAlign w:val="bottom"/>
            <w:gridSpan w:val="2"/>
          </w:tcPr>
          <w:p>
            <w:pPr>
              <w:ind w:left="21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432"/>
        </w:trPr>
        <w:tc>
          <w:tcPr>
            <w:tcW w:w="3900" w:type="dxa"/>
            <w:vAlign w:val="bottom"/>
          </w:tcPr>
          <w:p>
            <w:pPr>
              <w:spacing w:after="0"/>
              <w:rPr>
                <w:sz w:val="24"/>
                <w:szCs w:val="24"/>
                <w:color w:val="auto"/>
              </w:rPr>
            </w:pPr>
          </w:p>
        </w:tc>
        <w:tc>
          <w:tcPr>
            <w:tcW w:w="2620" w:type="dxa"/>
            <w:vAlign w:val="bottom"/>
          </w:tcPr>
          <w:p>
            <w:pPr>
              <w:ind w:left="2180"/>
              <w:spacing w:after="0"/>
              <w:rPr>
                <w:sz w:val="20"/>
                <w:szCs w:val="20"/>
                <w:color w:val="auto"/>
              </w:rPr>
            </w:pPr>
            <w:r>
              <w:rPr>
                <w:rFonts w:ascii="Arial" w:cs="Arial" w:eastAsia="Arial" w:hAnsi="Arial"/>
                <w:sz w:val="18"/>
                <w:szCs w:val="18"/>
                <w:color w:val="auto"/>
              </w:rPr>
              <w:t>By:</w:t>
            </w:r>
          </w:p>
        </w:tc>
        <w:tc>
          <w:tcPr>
            <w:tcW w:w="4900" w:type="dxa"/>
            <w:vAlign w:val="bottom"/>
          </w:tcPr>
          <w:p>
            <w:pPr>
              <w:ind w:left="158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r>
      <w:tr>
        <w:trPr>
          <w:trHeight w:val="110"/>
        </w:trPr>
        <w:tc>
          <w:tcPr>
            <w:tcW w:w="39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r>
      <w:tr>
        <w:trPr>
          <w:trHeight w:val="309"/>
        </w:trPr>
        <w:tc>
          <w:tcPr>
            <w:tcW w:w="3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22"/>
        </w:trPr>
        <w:tc>
          <w:tcPr>
            <w:tcW w:w="39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Name</w:t>
      </w:r>
    </w:p>
    <w:p>
      <w:pPr>
        <w:spacing w:after="0" w:line="10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Andrew Gould</w:t>
      </w:r>
    </w:p>
    <w:p>
      <w:pPr>
        <w:spacing w:after="0" w:line="117" w:lineRule="exact"/>
        <w:rPr>
          <w:sz w:val="20"/>
          <w:szCs w:val="20"/>
          <w:color w:val="auto"/>
        </w:rPr>
      </w:pPr>
    </w:p>
    <w:p>
      <w:pPr>
        <w:ind w:left="1500"/>
        <w:spacing w:after="0"/>
        <w:tabs>
          <w:tab w:leader="none" w:pos="1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EAN</w:t>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P</w:t>
      </w:r>
      <w:r>
        <w:rPr>
          <w:rFonts w:ascii="Arial" w:cs="Arial" w:eastAsia="Arial" w:hAnsi="Arial"/>
          <w:sz w:val="13"/>
          <w:szCs w:val="13"/>
          <w:color w:val="auto"/>
        </w:rPr>
        <w:t>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Jean-Marc Perraud</w:t>
      </w:r>
    </w:p>
    <w:p>
      <w:pPr>
        <w:spacing w:after="0" w:line="117" w:lineRule="exact"/>
        <w:rPr>
          <w:sz w:val="20"/>
          <w:szCs w:val="20"/>
          <w:color w:val="auto"/>
        </w:rPr>
      </w:pPr>
    </w:p>
    <w:p>
      <w:pPr>
        <w:ind w:left="1720"/>
        <w:spacing w:after="0"/>
        <w:tabs>
          <w:tab w:leader="none" w:pos="2040" w:val="left"/>
        </w:tabs>
        <w:rPr>
          <w:sz w:val="20"/>
          <w:szCs w:val="20"/>
          <w:color w:val="auto"/>
        </w:rPr>
      </w:pPr>
      <w:r>
        <w:rPr>
          <w:rFonts w:ascii="Arial" w:cs="Arial" w:eastAsia="Arial" w:hAnsi="Arial"/>
          <w:sz w:val="18"/>
          <w:szCs w:val="18"/>
          <w:color w:val="auto"/>
        </w:rPr>
        <w:t>/s/</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Howard Guild</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John Deutch</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Jamie S. Gorelick</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Tony Isaac</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Adrian Lajous</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André Lévy-Lang</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Michael E. Marks</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Didier Primat</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Tore Sandvold</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Nicolas Seydoux</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Linda G. Stuntz</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Rana Talwar</w:t>
      </w:r>
    </w:p>
    <w:p>
      <w:pPr>
        <w:spacing w:after="0" w:line="117" w:lineRule="exact"/>
        <w:rPr>
          <w:sz w:val="20"/>
          <w:szCs w:val="20"/>
          <w:color w:val="auto"/>
        </w:rPr>
      </w:pPr>
    </w:p>
    <w:p>
      <w:pPr>
        <w:ind w:left="1740"/>
        <w:spacing w:after="0"/>
        <w:tabs>
          <w:tab w:leader="none" w:pos="20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LLEN</w:t>
      </w:r>
      <w:r>
        <w:rPr>
          <w:rFonts w:ascii="Arial" w:cs="Arial" w:eastAsia="Arial" w:hAnsi="Arial"/>
          <w:sz w:val="16"/>
          <w:szCs w:val="16"/>
          <w:color w:val="auto"/>
        </w:rPr>
        <w:t xml:space="preserve"> S</w:t>
      </w:r>
      <w:r>
        <w:rPr>
          <w:rFonts w:ascii="Arial" w:cs="Arial" w:eastAsia="Arial" w:hAnsi="Arial"/>
          <w:sz w:val="13"/>
          <w:szCs w:val="13"/>
          <w:color w:val="auto"/>
        </w:rPr>
        <w:t>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362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*By Ellen Summer Attorney-in-Fact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auto"/>
        </w:rPr>
        <w:t>Title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Director, Chairman and Chief Executive Officer</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Executive Vice President and Chief Financial Officer</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Financial Officer)</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Accounting Officer</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Accounting Officer)</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February 16, 2007</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81</w:t>
      </w:r>
    </w:p>
    <w:p>
      <w:pPr>
        <w:sectPr>
          <w:pgSz w:w="11900" w:h="16838" w:orient="portrait"/>
          <w:cols w:equalWidth="0" w:num="2">
            <w:col w:w="4920" w:space="720"/>
            <w:col w:w="578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371" w:lineRule="exact"/>
        <w:rPr>
          <w:sz w:val="20"/>
          <w:szCs w:val="20"/>
          <w:color w:val="auto"/>
        </w:rPr>
      </w:pPr>
    </w:p>
    <w:p>
      <w:pPr>
        <w:ind w:left="220" w:right="400" w:hanging="215"/>
        <w:spacing w:after="0" w:line="325" w:lineRule="auto"/>
        <w:rPr>
          <w:sz w:val="20"/>
          <w:szCs w:val="20"/>
          <w:color w:val="auto"/>
        </w:rPr>
      </w:pPr>
      <w:r>
        <w:rPr>
          <w:rFonts w:ascii="Arial" w:cs="Arial" w:eastAsia="Arial" w:hAnsi="Arial"/>
          <w:sz w:val="16"/>
          <w:szCs w:val="16"/>
          <w:color w:val="auto"/>
        </w:rPr>
        <w:t>Articles of Incorporation as last amended on April 12, 2006 incorporated by reference to Appendix 1 to Schlumberger’s definitive proxy statement for the 2005 Annual General Meeting of Stockholders held on April 13, 2005</w:t>
      </w:r>
    </w:p>
    <w:p>
      <w:pPr>
        <w:spacing w:after="0" w:line="1" w:lineRule="exact"/>
        <w:rPr>
          <w:sz w:val="20"/>
          <w:szCs w:val="20"/>
          <w:color w:val="auto"/>
        </w:rPr>
      </w:pPr>
    </w:p>
    <w:p>
      <w:pPr>
        <w:ind w:left="220" w:right="580" w:hanging="215"/>
        <w:spacing w:after="0" w:line="268" w:lineRule="auto"/>
        <w:rPr>
          <w:sz w:val="20"/>
          <w:szCs w:val="20"/>
          <w:color w:val="auto"/>
        </w:rPr>
      </w:pPr>
      <w:r>
        <w:rPr>
          <w:rFonts w:ascii="Arial" w:cs="Arial" w:eastAsia="Arial" w:hAnsi="Arial"/>
          <w:sz w:val="18"/>
          <w:szCs w:val="18"/>
          <w:color w:val="auto"/>
        </w:rPr>
        <w:t>Amended and Restated By-Laws as last amended on April 21, 2005, incorporated by reference to Exhibit 3.1 to Form 8-K filed April 22, 2005</w:t>
      </w:r>
    </w:p>
    <w:p>
      <w:pPr>
        <w:spacing w:after="0" w:line="37" w:lineRule="exact"/>
        <w:rPr>
          <w:sz w:val="20"/>
          <w:szCs w:val="20"/>
          <w:color w:val="auto"/>
        </w:rPr>
      </w:pPr>
    </w:p>
    <w:p>
      <w:pPr>
        <w:ind w:left="220" w:right="100" w:hanging="215"/>
        <w:spacing w:after="0" w:line="268" w:lineRule="auto"/>
        <w:rPr>
          <w:sz w:val="20"/>
          <w:szCs w:val="20"/>
          <w:color w:val="auto"/>
        </w:rPr>
      </w:pPr>
      <w:r>
        <w:rPr>
          <w:rFonts w:ascii="Arial" w:cs="Arial" w:eastAsia="Arial" w:hAnsi="Arial"/>
          <w:sz w:val="18"/>
          <w:szCs w:val="18"/>
          <w:color w:val="auto"/>
        </w:rPr>
        <w:t>Indenture, dated as of June 9, 2003, by and between Schlumberger and Citibank N.A., as Trustee, incorporated by reference to Exhibit 4.3 to Registration Statement S-3 filed on September 12, 2003</w:t>
      </w:r>
    </w:p>
    <w:p>
      <w:pPr>
        <w:spacing w:after="0" w:line="37" w:lineRule="exact"/>
        <w:rPr>
          <w:sz w:val="20"/>
          <w:szCs w:val="20"/>
          <w:color w:val="auto"/>
        </w:rPr>
      </w:pPr>
    </w:p>
    <w:p>
      <w:pPr>
        <w:ind w:left="220" w:right="120" w:hanging="215"/>
        <w:spacing w:after="0" w:line="268" w:lineRule="auto"/>
        <w:rPr>
          <w:sz w:val="20"/>
          <w:szCs w:val="20"/>
          <w:color w:val="auto"/>
        </w:rPr>
      </w:pPr>
      <w:r>
        <w:rPr>
          <w:rFonts w:ascii="Arial" w:cs="Arial" w:eastAsia="Arial" w:hAnsi="Arial"/>
          <w:sz w:val="18"/>
          <w:szCs w:val="18"/>
          <w:color w:val="auto"/>
        </w:rPr>
        <w:t>First Supplemental Indenture, dated as of June 9, 2003, by and between Schlumberger and Citibank, N.A., as Trustee, incorporated by reference to Exhibit 4.4 to Registration Statement S-3 filed on September 12, 2003</w:t>
      </w:r>
    </w:p>
    <w:p>
      <w:pPr>
        <w:spacing w:after="0" w:line="37" w:lineRule="exact"/>
        <w:rPr>
          <w:sz w:val="20"/>
          <w:szCs w:val="20"/>
          <w:color w:val="auto"/>
        </w:rPr>
      </w:pPr>
    </w:p>
    <w:p>
      <w:pPr>
        <w:ind w:left="220" w:right="220" w:hanging="215"/>
        <w:spacing w:after="0" w:line="268" w:lineRule="auto"/>
        <w:rPr>
          <w:sz w:val="20"/>
          <w:szCs w:val="20"/>
          <w:color w:val="auto"/>
        </w:rPr>
      </w:pPr>
      <w:r>
        <w:rPr>
          <w:rFonts w:ascii="Arial" w:cs="Arial" w:eastAsia="Arial" w:hAnsi="Arial"/>
          <w:sz w:val="18"/>
          <w:szCs w:val="18"/>
          <w:color w:val="auto"/>
        </w:rPr>
        <w:t>Schlumberger 1994 Stock Option Plan, as amended on January 5, 1995, incorporated by reference to Exhibit 10(a) to Form 10-K for year 1995</w:t>
      </w:r>
    </w:p>
    <w:p>
      <w:pPr>
        <w:spacing w:after="0" w:line="37" w:lineRule="exact"/>
        <w:rPr>
          <w:sz w:val="20"/>
          <w:szCs w:val="20"/>
          <w:color w:val="auto"/>
        </w:rPr>
      </w:pPr>
    </w:p>
    <w:p>
      <w:pPr>
        <w:ind w:left="220" w:right="340" w:hanging="215"/>
        <w:spacing w:after="0" w:line="268" w:lineRule="auto"/>
        <w:rPr>
          <w:sz w:val="20"/>
          <w:szCs w:val="20"/>
          <w:color w:val="auto"/>
        </w:rPr>
      </w:pPr>
      <w:r>
        <w:rPr>
          <w:rFonts w:ascii="Arial" w:cs="Arial" w:eastAsia="Arial" w:hAnsi="Arial"/>
          <w:sz w:val="18"/>
          <w:szCs w:val="18"/>
          <w:color w:val="auto"/>
        </w:rPr>
        <w:t>Schlumberger 1994 Stock Option Plan – Second Amendment incorporated by reference to Exhibit 10(b) to Form 10-K for the year 1999</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Schlumberger 1994 Stock Option Plan – Third Amendment incorporated by reference to Exhibit 10(c) to Form 10-K for the year 1999</w:t>
      </w:r>
    </w:p>
    <w:p>
      <w:pPr>
        <w:spacing w:after="0" w:line="100" w:lineRule="exact"/>
        <w:rPr>
          <w:sz w:val="20"/>
          <w:szCs w:val="20"/>
          <w:color w:val="auto"/>
        </w:rPr>
      </w:pPr>
    </w:p>
    <w:p>
      <w:pPr>
        <w:ind w:left="220" w:right="360" w:hanging="215"/>
        <w:spacing w:after="0" w:line="268" w:lineRule="auto"/>
        <w:rPr>
          <w:sz w:val="20"/>
          <w:szCs w:val="20"/>
          <w:color w:val="auto"/>
        </w:rPr>
      </w:pPr>
      <w:r>
        <w:rPr>
          <w:rFonts w:ascii="Arial" w:cs="Arial" w:eastAsia="Arial" w:hAnsi="Arial"/>
          <w:sz w:val="18"/>
          <w:szCs w:val="18"/>
          <w:color w:val="auto"/>
        </w:rPr>
        <w:t>Schlumberger Limited Supplementary Benefit Plan, as amended, on January 1, 1995, incorporated by reference to Exhibit 10(b) to Form 10-K for 1996</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 Supplementary Benefits Plan, First Amendment dated, January 1, 2004</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Schlumberger 1989 Stock Incentive Plan, as amended, incorporated by reference to Exhibit 10(c) to Form 10-K for year 1995</w:t>
      </w:r>
    </w:p>
    <w:p>
      <w:pPr>
        <w:spacing w:after="0" w:line="100" w:lineRule="exact"/>
        <w:rPr>
          <w:sz w:val="20"/>
          <w:szCs w:val="20"/>
          <w:color w:val="auto"/>
        </w:rPr>
      </w:pPr>
    </w:p>
    <w:p>
      <w:pPr>
        <w:ind w:left="220" w:right="340" w:hanging="215"/>
        <w:spacing w:after="0" w:line="268" w:lineRule="auto"/>
        <w:rPr>
          <w:sz w:val="20"/>
          <w:szCs w:val="20"/>
          <w:color w:val="auto"/>
        </w:rPr>
      </w:pPr>
      <w:r>
        <w:rPr>
          <w:rFonts w:ascii="Arial" w:cs="Arial" w:eastAsia="Arial" w:hAnsi="Arial"/>
          <w:sz w:val="18"/>
          <w:szCs w:val="18"/>
          <w:color w:val="auto"/>
        </w:rPr>
        <w:t>Schlumberger 1989 Stock Incentive Plan – Third Amendment incorporated by reference to Exhibit 10(f) to Form 10-K for the year 1999</w:t>
      </w:r>
    </w:p>
    <w:p>
      <w:pPr>
        <w:spacing w:after="0" w:line="37" w:lineRule="exact"/>
        <w:rPr>
          <w:sz w:val="20"/>
          <w:szCs w:val="20"/>
          <w:color w:val="auto"/>
        </w:rPr>
      </w:pPr>
    </w:p>
    <w:p>
      <w:pPr>
        <w:ind w:right="1120"/>
        <w:spacing w:after="0" w:line="328" w:lineRule="auto"/>
        <w:rPr>
          <w:sz w:val="20"/>
          <w:szCs w:val="20"/>
          <w:color w:val="auto"/>
        </w:rPr>
      </w:pPr>
      <w:r>
        <w:rPr>
          <w:rFonts w:ascii="Arial" w:cs="Arial" w:eastAsia="Arial" w:hAnsi="Arial"/>
          <w:sz w:val="18"/>
          <w:szCs w:val="18"/>
          <w:color w:val="auto"/>
        </w:rPr>
        <w:t>Schlumberger Limited Restoration Savings Plan, incorporated by reference to Exhibit 10(f) to Form 10-K for year 1995 Schlumberger Limited Restoration Savings Plan, First Amendment dated January 1, 2004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Schlumberger 1998 Stock Option Plan, incorporated by reference to Exhibit 10(g) to Form 10-K for year 1997</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Schlumberger 1998 Stock Option Plan – First Amendment incorporated by reference to Exhibit 10(i) to Form 10-K for the year 1999</w:t>
      </w:r>
    </w:p>
    <w:p>
      <w:pPr>
        <w:spacing w:after="0" w:line="100" w:lineRule="exact"/>
        <w:rPr>
          <w:sz w:val="20"/>
          <w:szCs w:val="20"/>
          <w:color w:val="auto"/>
        </w:rPr>
      </w:pPr>
    </w:p>
    <w:p>
      <w:pPr>
        <w:ind w:left="220" w:right="320" w:hanging="215"/>
        <w:spacing w:after="0" w:line="256" w:lineRule="auto"/>
        <w:rPr>
          <w:sz w:val="20"/>
          <w:szCs w:val="20"/>
          <w:color w:val="auto"/>
        </w:rPr>
      </w:pPr>
      <w:r>
        <w:rPr>
          <w:rFonts w:ascii="Arial" w:cs="Arial" w:eastAsia="Arial" w:hAnsi="Arial"/>
          <w:sz w:val="18"/>
          <w:szCs w:val="18"/>
          <w:color w:val="auto"/>
        </w:rPr>
        <w:t>1997 Long-Term Incentive Plan of Camco International Inc.; Long-Term Incentive Plan of Camco International Inc.; Production Operators Corp. 1992 Long-Term Incentive Plan; Camco 1996 Savings Related Share Option Scheme; Camco International Inc. Amended and Restated Stock Option Plan for Nonemployee Directors; incorporated by reference to Exhibit 10 to Form S-8 of August 31, 1998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Schlumberger 2001 Stock Option Plan, incorporated by reference to Form 10-Q for the period ended March 31, 2001</w:t>
      </w:r>
    </w:p>
    <w:p>
      <w:pPr>
        <w:spacing w:after="0" w:line="77"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Schlumberger 2005 Stock Incentive Plan, incorporated by reference to Appendix 1 to Schlumberger’s definitive proxy statement for the 2006 Annual General Meeting of Stockholders held on April 12, 2006</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w w:val="85"/>
              </w:rPr>
              <w:t>Exhibit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3.1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3.2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4.3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4.4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10.5</w:t>
            </w: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10.9</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10.10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10.11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10.12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932"/>
        </w:trPr>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10.13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10.14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9540" w:space="600"/>
            <w:col w:w="128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60" w:type="dxa"/>
            <w:vAlign w:val="bottom"/>
          </w:tcPr>
          <w:p>
            <w:pPr>
              <w:jc w:val="right"/>
              <w:ind w:right="34"/>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2"/>
        </w:trPr>
        <w:tc>
          <w:tcPr>
            <w:tcW w:w="10380" w:type="dxa"/>
            <w:vAlign w:val="bottom"/>
            <w:gridSpan w:val="2"/>
          </w:tcPr>
          <w:p>
            <w:pPr>
              <w:spacing w:after="0"/>
              <w:rPr>
                <w:sz w:val="20"/>
                <w:szCs w:val="20"/>
                <w:color w:val="auto"/>
              </w:rPr>
            </w:pPr>
            <w:r>
              <w:rPr>
                <w:rFonts w:ascii="Arial" w:cs="Arial" w:eastAsia="Arial" w:hAnsi="Arial"/>
                <w:sz w:val="18"/>
                <w:szCs w:val="18"/>
                <w:color w:val="auto"/>
                <w:w w:val="92"/>
              </w:rPr>
              <w:t>Schlumberger Limited 2004 Stock and Deferral Plan for Non-Employee Directors, incorporated by reference to Exhibit 10.1 to Form 10-Q for</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10.15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240" w:type="dxa"/>
            <w:vAlign w:val="bottom"/>
          </w:tcPr>
          <w:p>
            <w:pPr>
              <w:ind w:left="220"/>
              <w:spacing w:after="0"/>
              <w:rPr>
                <w:sz w:val="20"/>
                <w:szCs w:val="20"/>
                <w:color w:val="auto"/>
              </w:rPr>
            </w:pPr>
            <w:r>
              <w:rPr>
                <w:rFonts w:ascii="Arial" w:cs="Arial" w:eastAsia="Arial" w:hAnsi="Arial"/>
                <w:sz w:val="18"/>
                <w:szCs w:val="18"/>
                <w:color w:val="auto"/>
              </w:rPr>
              <w:t>quarter ended September 30, 2004</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7"/>
        </w:trPr>
        <w:tc>
          <w:tcPr>
            <w:tcW w:w="10380" w:type="dxa"/>
            <w:vAlign w:val="bottom"/>
            <w:gridSpan w:val="2"/>
          </w:tcPr>
          <w:p>
            <w:pPr>
              <w:spacing w:after="0"/>
              <w:rPr>
                <w:sz w:val="20"/>
                <w:szCs w:val="20"/>
                <w:color w:val="auto"/>
              </w:rPr>
            </w:pPr>
            <w:r>
              <w:rPr>
                <w:rFonts w:ascii="Arial" w:cs="Arial" w:eastAsia="Arial" w:hAnsi="Arial"/>
                <w:sz w:val="18"/>
                <w:szCs w:val="18"/>
                <w:color w:val="auto"/>
                <w:w w:val="92"/>
              </w:rPr>
              <w:t>Form of Option Agreement, Incentive Stock Option, incorporated by reference to Exhibit 10.1 to Schlumberger’s Current Report on Form 8-K</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10.16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240" w:type="dxa"/>
            <w:vAlign w:val="bottom"/>
          </w:tcPr>
          <w:p>
            <w:pPr>
              <w:ind w:left="220"/>
              <w:spacing w:after="0"/>
              <w:rPr>
                <w:sz w:val="20"/>
                <w:szCs w:val="20"/>
                <w:color w:val="auto"/>
              </w:rPr>
            </w:pPr>
            <w:r>
              <w:rPr>
                <w:rFonts w:ascii="Arial" w:cs="Arial" w:eastAsia="Arial" w:hAnsi="Arial"/>
                <w:sz w:val="18"/>
                <w:szCs w:val="18"/>
                <w:color w:val="auto"/>
              </w:rPr>
              <w:t>filed on January 19, 2006</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4"/>
        </w:trPr>
        <w:tc>
          <w:tcPr>
            <w:tcW w:w="10380" w:type="dxa"/>
            <w:vAlign w:val="bottom"/>
            <w:gridSpan w:val="2"/>
          </w:tcPr>
          <w:p>
            <w:pPr>
              <w:spacing w:after="0"/>
              <w:rPr>
                <w:sz w:val="20"/>
                <w:szCs w:val="20"/>
                <w:color w:val="auto"/>
              </w:rPr>
            </w:pPr>
            <w:r>
              <w:rPr>
                <w:rFonts w:ascii="Arial" w:cs="Arial" w:eastAsia="Arial" w:hAnsi="Arial"/>
                <w:sz w:val="18"/>
                <w:szCs w:val="18"/>
                <w:color w:val="auto"/>
                <w:w w:val="95"/>
              </w:rPr>
              <w:t>Form of Option Agreement, Non-Qualified Stock Option, incorporated by reference to Exhibit 10.2 to Form 8-K filed on January 19, 2006</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10.17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1038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July 21, 2005 and effective as of August 1, 2005, between Schlumberger N.V. (Schlumberger Limited) and Frank</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0380" w:type="dxa"/>
            <w:vAlign w:val="bottom"/>
            <w:gridSpan w:val="2"/>
          </w:tcPr>
          <w:p>
            <w:pPr>
              <w:ind w:left="220"/>
              <w:spacing w:after="0"/>
              <w:rPr>
                <w:sz w:val="20"/>
                <w:szCs w:val="20"/>
                <w:color w:val="auto"/>
              </w:rPr>
            </w:pPr>
            <w:r>
              <w:rPr>
                <w:rFonts w:ascii="Arial" w:cs="Arial" w:eastAsia="Arial" w:hAnsi="Arial"/>
                <w:sz w:val="18"/>
                <w:szCs w:val="18"/>
                <w:color w:val="auto"/>
              </w:rPr>
              <w:t>A. Sorgie, incorporated by reference to Exhibit 10.1 to Schlumberger’s Current Report on Form 8-K filed on July 25, 2005</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7"/>
        </w:trPr>
        <w:tc>
          <w:tcPr>
            <w:tcW w:w="10380" w:type="dxa"/>
            <w:vAlign w:val="bottom"/>
            <w:gridSpan w:val="2"/>
          </w:tcPr>
          <w:p>
            <w:pPr>
              <w:spacing w:after="0"/>
              <w:rPr>
                <w:sz w:val="20"/>
                <w:szCs w:val="20"/>
                <w:color w:val="auto"/>
              </w:rPr>
            </w:pPr>
            <w:r>
              <w:rPr>
                <w:rFonts w:ascii="Arial" w:cs="Arial" w:eastAsia="Arial" w:hAnsi="Arial"/>
                <w:sz w:val="18"/>
                <w:szCs w:val="18"/>
                <w:color w:val="auto"/>
                <w:w w:val="89"/>
              </w:rPr>
              <w:t>Employment Agreement dated January 18, 2007, and effective as of March 1, 2007, between Schlumberger and Jean-Marc Perraud, incorporated</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10.19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240" w:type="dxa"/>
            <w:vAlign w:val="bottom"/>
          </w:tcPr>
          <w:p>
            <w:pPr>
              <w:ind w:left="220"/>
              <w:spacing w:after="0"/>
              <w:rPr>
                <w:sz w:val="20"/>
                <w:szCs w:val="20"/>
                <w:color w:val="auto"/>
              </w:rPr>
            </w:pPr>
            <w:r>
              <w:rPr>
                <w:rFonts w:ascii="Arial" w:cs="Arial" w:eastAsia="Arial" w:hAnsi="Arial"/>
                <w:sz w:val="18"/>
                <w:szCs w:val="18"/>
                <w:color w:val="auto"/>
              </w:rPr>
              <w:t>by reference to exhibit 10.1 to Schlumberger’s current report on Form 8-K filed January 22, 2007</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84"/>
        </w:trPr>
        <w:tc>
          <w:tcPr>
            <w:tcW w:w="8240" w:type="dxa"/>
            <w:vAlign w:val="bottom"/>
          </w:tcPr>
          <w:p>
            <w:pPr>
              <w:spacing w:after="0"/>
              <w:rPr>
                <w:sz w:val="20"/>
                <w:szCs w:val="20"/>
                <w:color w:val="auto"/>
              </w:rPr>
            </w:pPr>
            <w:r>
              <w:rPr>
                <w:rFonts w:ascii="Arial" w:cs="Arial" w:eastAsia="Arial" w:hAnsi="Arial"/>
                <w:sz w:val="18"/>
                <w:szCs w:val="18"/>
                <w:color w:val="auto"/>
                <w:w w:val="94"/>
              </w:rPr>
              <w:t>Form of Indemnification Agreement, incorporated by reference to Exhibit 10.1 to Form 8-K filed April 22, 2005</w:t>
            </w:r>
          </w:p>
        </w:tc>
        <w:tc>
          <w:tcPr>
            <w:tcW w:w="2140" w:type="dxa"/>
            <w:vAlign w:val="bottom"/>
          </w:tcPr>
          <w:p>
            <w:pPr>
              <w:spacing w:after="0"/>
              <w:rPr>
                <w:sz w:val="24"/>
                <w:szCs w:val="24"/>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10.20</w:t>
            </w:r>
          </w:p>
        </w:tc>
        <w:tc>
          <w:tcPr>
            <w:tcW w:w="380" w:type="dxa"/>
            <w:vAlign w:val="bottom"/>
          </w:tcPr>
          <w:p>
            <w:pPr>
              <w:spacing w:after="0"/>
              <w:rPr>
                <w:sz w:val="24"/>
                <w:szCs w:val="24"/>
                <w:color w:val="auto"/>
              </w:rPr>
            </w:pPr>
          </w:p>
        </w:tc>
      </w:tr>
      <w:tr>
        <w:trPr>
          <w:trHeight w:val="284"/>
        </w:trPr>
        <w:tc>
          <w:tcPr>
            <w:tcW w:w="8240" w:type="dxa"/>
            <w:vAlign w:val="bottom"/>
          </w:tcPr>
          <w:p>
            <w:pPr>
              <w:spacing w:after="0"/>
              <w:rPr>
                <w:sz w:val="20"/>
                <w:szCs w:val="20"/>
                <w:color w:val="auto"/>
              </w:rPr>
            </w:pPr>
            <w:r>
              <w:rPr>
                <w:rFonts w:ascii="Arial" w:cs="Arial" w:eastAsia="Arial" w:hAnsi="Arial"/>
                <w:sz w:val="18"/>
                <w:szCs w:val="18"/>
                <w:color w:val="auto"/>
              </w:rPr>
              <w:t>Subsidiaries</w:t>
            </w:r>
          </w:p>
        </w:tc>
        <w:tc>
          <w:tcPr>
            <w:tcW w:w="2140" w:type="dxa"/>
            <w:vAlign w:val="bottom"/>
          </w:tcPr>
          <w:p>
            <w:pPr>
              <w:spacing w:after="0"/>
              <w:rPr>
                <w:sz w:val="24"/>
                <w:szCs w:val="24"/>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84"/>
        </w:trPr>
        <w:tc>
          <w:tcPr>
            <w:tcW w:w="82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2140" w:type="dxa"/>
            <w:vAlign w:val="bottom"/>
          </w:tcPr>
          <w:p>
            <w:pPr>
              <w:spacing w:after="0"/>
              <w:rPr>
                <w:sz w:val="24"/>
                <w:szCs w:val="24"/>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7"/>
        </w:trPr>
        <w:tc>
          <w:tcPr>
            <w:tcW w:w="8240" w:type="dxa"/>
            <w:vAlign w:val="bottom"/>
          </w:tcPr>
          <w:p>
            <w:pPr>
              <w:spacing w:after="0"/>
              <w:rPr>
                <w:sz w:val="20"/>
                <w:szCs w:val="20"/>
                <w:color w:val="auto"/>
              </w:rPr>
            </w:pPr>
            <w:r>
              <w:rPr>
                <w:rFonts w:ascii="Arial" w:cs="Arial" w:eastAsia="Arial" w:hAnsi="Arial"/>
                <w:sz w:val="18"/>
                <w:szCs w:val="18"/>
                <w:color w:val="auto"/>
              </w:rPr>
              <w:t>Powers of Attorney</w:t>
            </w:r>
          </w:p>
        </w:tc>
        <w:tc>
          <w:tcPr>
            <w:tcW w:w="2140" w:type="dxa"/>
            <w:vAlign w:val="bottom"/>
          </w:tcPr>
          <w:p>
            <w:pPr>
              <w:ind w:left="340"/>
              <w:spacing w:after="0"/>
              <w:rPr>
                <w:sz w:val="20"/>
                <w:szCs w:val="20"/>
                <w:color w:val="auto"/>
              </w:rPr>
            </w:pPr>
            <w:r>
              <w:rPr>
                <w:rFonts w:ascii="Arial" w:cs="Arial" w:eastAsia="Arial" w:hAnsi="Arial"/>
                <w:sz w:val="18"/>
                <w:szCs w:val="18"/>
                <w:color w:val="auto"/>
                <w:w w:val="91"/>
              </w:rPr>
              <w:t>dated: January 18, 2007</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24.1</w:t>
            </w:r>
          </w:p>
        </w:tc>
        <w:tc>
          <w:tcPr>
            <w:tcW w:w="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John Deutch</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Jamie S. Gorelick</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Andrew Gould</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Tony Isaac</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Adrian Lajous</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André Lévy-Lang</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Michael Marks</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Tore Sandvold</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Nicolas Seydoux</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Linda G. Stuntz</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91"/>
        </w:trPr>
        <w:tc>
          <w:tcPr>
            <w:tcW w:w="8240" w:type="dxa"/>
            <w:vAlign w:val="bottom"/>
          </w:tcPr>
          <w:p>
            <w:pPr>
              <w:spacing w:after="0"/>
              <w:rPr>
                <w:sz w:val="20"/>
                <w:szCs w:val="20"/>
                <w:color w:val="auto"/>
              </w:rPr>
            </w:pPr>
            <w:r>
              <w:rPr>
                <w:rFonts w:ascii="Arial" w:cs="Arial" w:eastAsia="Arial" w:hAnsi="Arial"/>
                <w:sz w:val="18"/>
                <w:szCs w:val="18"/>
                <w:color w:val="auto"/>
              </w:rPr>
              <w:t>Powers of Attorney</w:t>
            </w:r>
          </w:p>
        </w:tc>
        <w:tc>
          <w:tcPr>
            <w:tcW w:w="2140" w:type="dxa"/>
            <w:vAlign w:val="bottom"/>
          </w:tcPr>
          <w:p>
            <w:pPr>
              <w:ind w:left="340"/>
              <w:spacing w:after="0"/>
              <w:rPr>
                <w:sz w:val="20"/>
                <w:szCs w:val="20"/>
                <w:color w:val="auto"/>
              </w:rPr>
            </w:pPr>
            <w:r>
              <w:rPr>
                <w:rFonts w:ascii="Arial" w:cs="Arial" w:eastAsia="Arial" w:hAnsi="Arial"/>
                <w:sz w:val="18"/>
                <w:szCs w:val="18"/>
                <w:color w:val="auto"/>
                <w:w w:val="91"/>
              </w:rPr>
              <w:t>dated: January 31, 2007</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24.2</w:t>
            </w: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Didier Primat</w:t>
            </w: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Rana Talwar</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97"/>
        </w:trPr>
        <w:tc>
          <w:tcPr>
            <w:tcW w:w="8240" w:type="dxa"/>
            <w:vAlign w:val="bottom"/>
          </w:tcPr>
          <w:p>
            <w:pPr>
              <w:spacing w:after="0"/>
              <w:rPr>
                <w:sz w:val="20"/>
                <w:szCs w:val="20"/>
                <w:color w:val="auto"/>
              </w:rPr>
            </w:pPr>
            <w:r>
              <w:rPr>
                <w:rFonts w:ascii="Arial" w:cs="Arial" w:eastAsia="Arial" w:hAnsi="Arial"/>
                <w:sz w:val="18"/>
                <w:szCs w:val="18"/>
                <w:color w:val="auto"/>
              </w:rPr>
              <w:t>Additional Exhibits:</w:t>
            </w:r>
          </w:p>
        </w:tc>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84"/>
        </w:trPr>
        <w:tc>
          <w:tcPr>
            <w:tcW w:w="10380" w:type="dxa"/>
            <w:vAlign w:val="bottom"/>
            <w:gridSpan w:val="2"/>
          </w:tcPr>
          <w:p>
            <w:pPr>
              <w:ind w:left="440"/>
              <w:spacing w:after="0"/>
              <w:rPr>
                <w:sz w:val="20"/>
                <w:szCs w:val="20"/>
                <w:color w:val="auto"/>
              </w:rPr>
            </w:pPr>
            <w:r>
              <w:rPr>
                <w:rFonts w:ascii="Arial" w:cs="Arial" w:eastAsia="Arial" w:hAnsi="Arial"/>
                <w:sz w:val="18"/>
                <w:szCs w:val="18"/>
                <w:color w:val="auto"/>
                <w:w w:val="90"/>
              </w:rPr>
              <w:t>Certification of Chief Executive Officer pursuant to Rule 13a-14(a) as Adopted Pursuant to Section 302 of the Sarbanes-Oxley Act of 2002</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31.1</w:t>
            </w: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84"/>
        </w:trPr>
        <w:tc>
          <w:tcPr>
            <w:tcW w:w="10380" w:type="dxa"/>
            <w:vAlign w:val="bottom"/>
            <w:gridSpan w:val="2"/>
          </w:tcPr>
          <w:p>
            <w:pPr>
              <w:ind w:left="440"/>
              <w:spacing w:after="0"/>
              <w:rPr>
                <w:sz w:val="20"/>
                <w:szCs w:val="20"/>
                <w:color w:val="auto"/>
              </w:rPr>
            </w:pPr>
            <w:r>
              <w:rPr>
                <w:rFonts w:ascii="Arial" w:cs="Arial" w:eastAsia="Arial" w:hAnsi="Arial"/>
                <w:sz w:val="18"/>
                <w:szCs w:val="18"/>
                <w:color w:val="auto"/>
                <w:w w:val="90"/>
              </w:rPr>
              <w:t>Certification of Chief Financial Officer pursuant to Rule 13a-14(a) as Adopted Pursuant to Section 302 of the Sarbanes-Oxley Act of 2002</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3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7"/>
        </w:trPr>
        <w:tc>
          <w:tcPr>
            <w:tcW w:w="10380" w:type="dxa"/>
            <w:vAlign w:val="bottom"/>
            <w:gridSpan w:val="2"/>
          </w:tcPr>
          <w:p>
            <w:pPr>
              <w:ind w:left="44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32.1</w:t>
            </w: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2"/>
        </w:trPr>
        <w:tc>
          <w:tcPr>
            <w:tcW w:w="8240" w:type="dxa"/>
            <w:vAlign w:val="bottom"/>
          </w:tcPr>
          <w:p>
            <w:pPr>
              <w:ind w:left="660"/>
              <w:spacing w:after="0"/>
              <w:rPr>
                <w:sz w:val="20"/>
                <w:szCs w:val="20"/>
                <w:color w:val="auto"/>
              </w:rPr>
            </w:pPr>
            <w:r>
              <w:rPr>
                <w:rFonts w:ascii="Arial" w:cs="Arial" w:eastAsia="Arial" w:hAnsi="Arial"/>
                <w:sz w:val="18"/>
                <w:szCs w:val="18"/>
                <w:color w:val="auto"/>
              </w:rPr>
              <w:t>Act of 2002</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77"/>
        </w:trPr>
        <w:tc>
          <w:tcPr>
            <w:tcW w:w="10380" w:type="dxa"/>
            <w:vAlign w:val="bottom"/>
            <w:gridSpan w:val="2"/>
          </w:tcPr>
          <w:p>
            <w:pPr>
              <w:ind w:left="44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 Act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32.2</w:t>
            </w: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2"/>
        </w:trPr>
        <w:tc>
          <w:tcPr>
            <w:tcW w:w="8240" w:type="dxa"/>
            <w:vAlign w:val="bottom"/>
          </w:tcPr>
          <w:p>
            <w:pPr>
              <w:ind w:left="660"/>
              <w:spacing w:after="0"/>
              <w:rPr>
                <w:sz w:val="20"/>
                <w:szCs w:val="20"/>
                <w:color w:val="auto"/>
              </w:rPr>
            </w:pPr>
            <w:r>
              <w:rPr>
                <w:rFonts w:ascii="Arial" w:cs="Arial" w:eastAsia="Arial" w:hAnsi="Arial"/>
                <w:sz w:val="18"/>
                <w:szCs w:val="18"/>
                <w:color w:val="auto"/>
              </w:rPr>
              <w:t>of 2002</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12"/>
        </w:trPr>
        <w:tc>
          <w:tcPr>
            <w:tcW w:w="8240" w:type="dxa"/>
            <w:vAlign w:val="bottom"/>
          </w:tcPr>
          <w:p>
            <w:pPr>
              <w:ind w:left="5640"/>
              <w:spacing w:after="0"/>
              <w:rPr>
                <w:sz w:val="20"/>
                <w:szCs w:val="20"/>
                <w:color w:val="auto"/>
              </w:rPr>
            </w:pPr>
            <w:r>
              <w:rPr>
                <w:rFonts w:ascii="Arial" w:cs="Arial" w:eastAsia="Arial" w:hAnsi="Arial"/>
                <w:sz w:val="14"/>
                <w:szCs w:val="14"/>
                <w:color w:val="auto"/>
              </w:rPr>
              <w:t>83</w:t>
            </w:r>
          </w:p>
        </w:tc>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 SUPPLEMENTARY BENEFITS PLAN</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Established Effective June 1, 1995)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Amendment</w:t>
      </w:r>
    </w:p>
    <w:p>
      <w:pPr>
        <w:spacing w:after="0" w:line="155" w:lineRule="exact"/>
        <w:rPr>
          <w:sz w:val="20"/>
          <w:szCs w:val="20"/>
          <w:color w:val="auto"/>
        </w:rPr>
      </w:pPr>
    </w:p>
    <w:p>
      <w:pPr>
        <w:ind w:right="280" w:firstLine="228"/>
        <w:spacing w:after="0" w:line="347" w:lineRule="auto"/>
        <w:rPr>
          <w:sz w:val="20"/>
          <w:szCs w:val="20"/>
          <w:color w:val="auto"/>
        </w:rPr>
      </w:pPr>
      <w:r>
        <w:rPr>
          <w:rFonts w:ascii="Arial" w:cs="Arial" w:eastAsia="Arial" w:hAnsi="Arial"/>
          <w:sz w:val="15"/>
          <w:szCs w:val="15"/>
          <w:color w:val="auto"/>
        </w:rPr>
        <w:t>Schlumberger Limited, a Netherlands Antilles corporation (the “Company”), having reserved the right under Section 7.2 of the Schlumberger Limited Supplementary Benefit Plan, as established effective June 1, 1995, to amend the Plan, does hereby amend the Plan, effective as of January 1, 2004, as follows:</w:t>
      </w:r>
    </w:p>
    <w:p>
      <w:pPr>
        <w:spacing w:after="0" w:line="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3.3(a) of the Plan is hereby amended by deleting the phrase:</w:t>
      </w:r>
    </w:p>
    <w:p>
      <w:pPr>
        <w:spacing w:after="0" w:line="77" w:lineRule="exact"/>
        <w:rPr>
          <w:sz w:val="20"/>
          <w:szCs w:val="20"/>
          <w:color w:val="auto"/>
        </w:rPr>
      </w:pPr>
    </w:p>
    <w:p>
      <w:pPr>
        <w:ind w:left="920" w:right="560"/>
        <w:spacing w:after="0" w:line="268" w:lineRule="auto"/>
        <w:rPr>
          <w:sz w:val="20"/>
          <w:szCs w:val="20"/>
          <w:color w:val="auto"/>
        </w:rPr>
      </w:pPr>
      <w:r>
        <w:rPr>
          <w:rFonts w:ascii="Arial" w:cs="Arial" w:eastAsia="Arial" w:hAnsi="Arial"/>
          <w:sz w:val="18"/>
          <w:szCs w:val="18"/>
          <w:color w:val="auto"/>
        </w:rPr>
        <w:t>“provided, however, that such a Defined Benefit Restoration Benefit shall only be paid to or in respect of a Participant who terminates Active Service after attaining age 55,”</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replacing it with:</w:t>
      </w:r>
    </w:p>
    <w:p>
      <w:pPr>
        <w:spacing w:after="0" w:line="77" w:lineRule="exact"/>
        <w:rPr>
          <w:sz w:val="20"/>
          <w:szCs w:val="20"/>
          <w:color w:val="auto"/>
        </w:rPr>
      </w:pPr>
    </w:p>
    <w:p>
      <w:pPr>
        <w:ind w:left="920" w:right="560"/>
        <w:spacing w:after="0" w:line="268" w:lineRule="auto"/>
        <w:rPr>
          <w:sz w:val="20"/>
          <w:szCs w:val="20"/>
          <w:color w:val="auto"/>
        </w:rPr>
      </w:pPr>
      <w:r>
        <w:rPr>
          <w:rFonts w:ascii="Arial" w:cs="Arial" w:eastAsia="Arial" w:hAnsi="Arial"/>
          <w:sz w:val="18"/>
          <w:szCs w:val="18"/>
          <w:color w:val="auto"/>
        </w:rPr>
        <w:t>“provided, however, that such a Defined Benefit Restoration Benefit shall only be paid to or in respect of a Participant who terminates Active Service after attaining age 50,”</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each time such phrase appears in this Section.</w:t>
      </w:r>
    </w:p>
    <w:p>
      <w:pPr>
        <w:spacing w:after="0" w:line="77" w:lineRule="exact"/>
        <w:rPr>
          <w:sz w:val="20"/>
          <w:szCs w:val="20"/>
          <w:color w:val="auto"/>
        </w:rPr>
      </w:pPr>
    </w:p>
    <w:p>
      <w:pPr>
        <w:ind w:left="900" w:right="1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4.3(a) of the Plan is hereby amended by deleting the phrase “after attaining age 55” and replacing it with the phrase “after attaining age 50” each time it appears therein.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5.1 of the Plan is hereby amended by deleting the first sentence thereof and replacing it with the following:</w:t>
      </w:r>
    </w:p>
    <w:p>
      <w:pPr>
        <w:spacing w:after="0" w:line="77" w:lineRule="exact"/>
        <w:rPr>
          <w:sz w:val="20"/>
          <w:szCs w:val="20"/>
          <w:color w:val="auto"/>
        </w:rPr>
      </w:pPr>
    </w:p>
    <w:p>
      <w:pPr>
        <w:ind w:left="920" w:right="80"/>
        <w:spacing w:after="0" w:line="306" w:lineRule="auto"/>
        <w:rPr>
          <w:sz w:val="20"/>
          <w:szCs w:val="20"/>
          <w:color w:val="auto"/>
        </w:rPr>
      </w:pPr>
      <w:r>
        <w:rPr>
          <w:rFonts w:ascii="Arial" w:cs="Arial" w:eastAsia="Arial" w:hAnsi="Arial"/>
          <w:sz w:val="16"/>
          <w:szCs w:val="16"/>
          <w:color w:val="auto"/>
        </w:rPr>
        <w:t>“Vesting: A Participant shall become vested in the benefits payable under Sections 3.3 and 4.3 hereof at the same time that he becomes vested under the applicable Qualified Plan; provided however, that in order to become vested in the Defined Benefit Restoration Benefit and the Section 415 Defined Benefit Restoration Benefit, the Participant must attain age 50 before he terminates Active Service.”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269"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RESTORATION SAVINGS PLAN</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Established Effective June 1, 1995)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Amendment</w:t>
      </w:r>
    </w:p>
    <w:p>
      <w:pPr>
        <w:spacing w:after="0" w:line="155" w:lineRule="exact"/>
        <w:rPr>
          <w:sz w:val="20"/>
          <w:szCs w:val="20"/>
          <w:color w:val="auto"/>
        </w:rPr>
      </w:pPr>
    </w:p>
    <w:p>
      <w:pPr>
        <w:ind w:right="500" w:firstLine="228"/>
        <w:spacing w:after="0" w:line="347" w:lineRule="auto"/>
        <w:rPr>
          <w:sz w:val="20"/>
          <w:szCs w:val="20"/>
          <w:color w:val="auto"/>
        </w:rPr>
      </w:pPr>
      <w:r>
        <w:rPr>
          <w:rFonts w:ascii="Arial" w:cs="Arial" w:eastAsia="Arial" w:hAnsi="Arial"/>
          <w:sz w:val="15"/>
          <w:szCs w:val="15"/>
          <w:color w:val="auto"/>
        </w:rPr>
        <w:t>Schlumberger Limited, a Netherlands Antilles corporation (the “Company”), having reserved the right under Section 8.2 of the Schlumberger Limited Restoration Savings Plan, as established effective June 1, 1995, to amend the Plan, does hereby amend the Plan, effective as of January 1, 2004, as follows:</w:t>
      </w:r>
    </w:p>
    <w:p>
      <w:pPr>
        <w:spacing w:after="0" w:line="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Section 4.1 of the Plan is hereby amended by deleting the first paragraph thereof and replacing it with the following:</w:t>
      </w:r>
    </w:p>
    <w:p>
      <w:pPr>
        <w:spacing w:after="0" w:line="77"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“Except as provided in Section 4.2, an Eligible employee may irrevocable elect to defer, in any whole percentage, an amount from 1% to 15% of such Eligible Employee’s Excess Compensation.”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26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74" w:lineRule="exact"/>
        <w:rPr>
          <w:sz w:val="20"/>
          <w:szCs w:val="20"/>
          <w:color w:val="auto"/>
        </w:rPr>
      </w:pPr>
    </w:p>
    <w:p>
      <w:pPr>
        <w:ind w:right="180"/>
        <w:spacing w:after="0" w:line="329" w:lineRule="auto"/>
        <w:rPr>
          <w:sz w:val="20"/>
          <w:szCs w:val="20"/>
          <w:color w:val="auto"/>
        </w:rPr>
      </w:pPr>
      <w:r>
        <w:rPr>
          <w:rFonts w:ascii="Arial" w:cs="Arial" w:eastAsia="Arial" w:hAnsi="Arial"/>
          <w:sz w:val="15"/>
          <w:szCs w:val="15"/>
          <w:color w:val="auto"/>
        </w:rPr>
        <w:t>Listed below are the significant first tier subsidiaries of the Registrant, along with the total number of active subsidiaries directly or indirectly owned by each as of January 23, 2007. Certain second and third tier subsidiaries, though included in the numbers, are also shown by name. Ownership is 100% unless otherwise indicated. The business activities of the subsidiaries have been keyed as follows: (a) Oilfield Services, (b) WesternGeco, (c) General/Multiple Segments.</w:t>
      </w:r>
    </w:p>
    <w:tbl>
      <w:tblPr>
        <w:tblLayout w:type="fixed"/>
        <w:tblInd w:w="0" w:type="dxa"/>
        <w:tblCellMar>
          <w:top w:w="0" w:type="dxa"/>
          <w:left w:w="0" w:type="dxa"/>
          <w:bottom w:w="0" w:type="dxa"/>
          <w:right w:w="0" w:type="dxa"/>
        </w:tblCellMar>
      </w:tblPr>
      <w:tr>
        <w:trPr>
          <w:trHeight w:val="151"/>
        </w:trPr>
        <w:tc>
          <w:tcPr>
            <w:tcW w:w="75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80" w:type="dxa"/>
            <w:vAlign w:val="bottom"/>
          </w:tcPr>
          <w:p>
            <w:pPr>
              <w:jc w:val="right"/>
              <w:ind w:right="116"/>
              <w:spacing w:after="0" w:line="151" w:lineRule="exact"/>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74"/>
        </w:trPr>
        <w:tc>
          <w:tcPr>
            <w:tcW w:w="7500" w:type="dxa"/>
            <w:vAlign w:val="bottom"/>
          </w:tcPr>
          <w:p>
            <w:pPr>
              <w:spacing w:after="0"/>
              <w:rPr>
                <w:sz w:val="15"/>
                <w:szCs w:val="15"/>
                <w:color w:val="auto"/>
              </w:rPr>
            </w:pPr>
          </w:p>
        </w:tc>
        <w:tc>
          <w:tcPr>
            <w:tcW w:w="2780" w:type="dxa"/>
            <w:vAlign w:val="bottom"/>
          </w:tcPr>
          <w:p>
            <w:pPr>
              <w:ind w:left="1920"/>
              <w:spacing w:after="0"/>
              <w:rPr>
                <w:sz w:val="20"/>
                <w:szCs w:val="20"/>
                <w:color w:val="auto"/>
              </w:rPr>
            </w:pPr>
            <w:r>
              <w:rPr>
                <w:rFonts w:ascii="Arial" w:cs="Arial" w:eastAsia="Arial" w:hAnsi="Arial"/>
                <w:sz w:val="14"/>
                <w:szCs w:val="14"/>
                <w:b w:val="1"/>
                <w:bCs w:val="1"/>
                <w:color w:val="auto"/>
              </w:rPr>
              <w:t>U.S.</w:t>
            </w:r>
          </w:p>
        </w:tc>
        <w:tc>
          <w:tcPr>
            <w:tcW w:w="1080" w:type="dxa"/>
            <w:vAlign w:val="bottom"/>
          </w:tcPr>
          <w:p>
            <w:pPr>
              <w:jc w:val="right"/>
              <w:ind w:right="116"/>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303"/>
        </w:trPr>
        <w:tc>
          <w:tcPr>
            <w:tcW w:w="7500" w:type="dxa"/>
            <w:vAlign w:val="bottom"/>
          </w:tcPr>
          <w:p>
            <w:pPr>
              <w:spacing w:after="0"/>
              <w:rPr>
                <w:sz w:val="20"/>
                <w:szCs w:val="20"/>
                <w:color w:val="auto"/>
              </w:rPr>
            </w:pPr>
            <w:r>
              <w:rPr>
                <w:rFonts w:ascii="Arial" w:cs="Arial" w:eastAsia="Arial" w:hAnsi="Arial"/>
                <w:sz w:val="18"/>
                <w:szCs w:val="18"/>
                <w:color w:val="auto"/>
              </w:rPr>
              <w:t>Schlumberger B.V., Netherlands (c)</w:t>
            </w:r>
          </w:p>
        </w:tc>
        <w:tc>
          <w:tcPr>
            <w:tcW w:w="2780" w:type="dxa"/>
            <w:vAlign w:val="bottom"/>
          </w:tcPr>
          <w:p>
            <w:pPr>
              <w:spacing w:after="0"/>
              <w:rPr>
                <w:sz w:val="24"/>
                <w:szCs w:val="24"/>
                <w:color w:val="auto"/>
              </w:rPr>
            </w:pP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36(a)</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80" w:type="dxa"/>
            <w:vAlign w:val="bottom"/>
          </w:tcPr>
          <w:p>
            <w:pPr>
              <w:jc w:val="right"/>
              <w:ind w:right="116"/>
              <w:spacing w:after="0" w:line="217" w:lineRule="exact"/>
              <w:rPr>
                <w:sz w:val="20"/>
                <w:szCs w:val="20"/>
                <w:color w:val="auto"/>
              </w:rPr>
            </w:pPr>
            <w:r>
              <w:rPr>
                <w:rFonts w:ascii="Arial" w:cs="Arial" w:eastAsia="Arial" w:hAnsi="Arial"/>
                <w:sz w:val="18"/>
                <w:szCs w:val="18"/>
                <w:color w:val="auto"/>
              </w:rPr>
              <w:t>11(b)</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22"/>
        </w:trPr>
        <w:tc>
          <w:tcPr>
            <w:tcW w:w="7500" w:type="dxa"/>
            <w:vAlign w:val="bottom"/>
            <w:vMerge w:val="restart"/>
          </w:tcPr>
          <w:p>
            <w:pPr>
              <w:ind w:left="440"/>
              <w:spacing w:after="0"/>
              <w:rPr>
                <w:sz w:val="20"/>
                <w:szCs w:val="20"/>
                <w:color w:val="auto"/>
              </w:rPr>
            </w:pPr>
            <w:r>
              <w:rPr>
                <w:rFonts w:ascii="Arial" w:cs="Arial" w:eastAsia="Arial" w:hAnsi="Arial"/>
                <w:sz w:val="18"/>
                <w:szCs w:val="18"/>
                <w:color w:val="auto"/>
              </w:rPr>
              <w:t>Schlumberger Canada Limited, Ontario (c)</w:t>
            </w:r>
          </w:p>
        </w:tc>
        <w:tc>
          <w:tcPr>
            <w:tcW w:w="2780" w:type="dxa"/>
            <w:vAlign w:val="bottom"/>
          </w:tcPr>
          <w:p>
            <w:pPr>
              <w:spacing w:after="0"/>
              <w:rPr>
                <w:sz w:val="19"/>
                <w:szCs w:val="19"/>
                <w:color w:val="auto"/>
              </w:rPr>
            </w:pP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6(c)</w:t>
            </w:r>
          </w:p>
        </w:tc>
        <w:tc>
          <w:tcPr>
            <w:tcW w:w="0" w:type="dxa"/>
            <w:vAlign w:val="bottom"/>
          </w:tcPr>
          <w:p>
            <w:pPr>
              <w:spacing w:after="0"/>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Schlumberger SA, France (a)</w:t>
            </w: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Services Petroliers Schlumberger, France (a)</w:t>
            </w: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440"/>
              <w:spacing w:after="0"/>
              <w:rPr>
                <w:sz w:val="20"/>
                <w:szCs w:val="20"/>
                <w:color w:val="auto"/>
              </w:rPr>
            </w:pPr>
            <w:r>
              <w:rPr>
                <w:rFonts w:ascii="Arial" w:cs="Arial" w:eastAsia="Arial" w:hAnsi="Arial"/>
                <w:sz w:val="18"/>
                <w:szCs w:val="18"/>
                <w:color w:val="auto"/>
              </w:rPr>
              <w:t>Schlumberger Norge AS (c)</w:t>
            </w:r>
          </w:p>
        </w:tc>
        <w:tc>
          <w:tcPr>
            <w:tcW w:w="2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500" w:type="dxa"/>
            <w:vAlign w:val="bottom"/>
          </w:tcPr>
          <w:p>
            <w:pPr>
              <w:spacing w:after="0"/>
              <w:rPr>
                <w:sz w:val="20"/>
                <w:szCs w:val="20"/>
                <w:color w:val="auto"/>
              </w:rPr>
            </w:pPr>
            <w:r>
              <w:rPr>
                <w:rFonts w:ascii="Arial" w:cs="Arial" w:eastAsia="Arial" w:hAnsi="Arial"/>
                <w:sz w:val="18"/>
                <w:szCs w:val="18"/>
                <w:color w:val="auto"/>
              </w:rPr>
              <w:t>Schlumberger Antilles N.V., Netherlands Antilles (a)</w:t>
            </w:r>
          </w:p>
        </w:tc>
        <w:tc>
          <w:tcPr>
            <w:tcW w:w="2780" w:type="dxa"/>
            <w:vAlign w:val="bottom"/>
          </w:tcPr>
          <w:p>
            <w:pPr>
              <w:spacing w:after="0"/>
              <w:rPr>
                <w:sz w:val="24"/>
                <w:szCs w:val="24"/>
                <w:color w:val="auto"/>
              </w:rPr>
            </w:pP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3(a)</w:t>
            </w:r>
          </w:p>
        </w:tc>
        <w:tc>
          <w:tcPr>
            <w:tcW w:w="0" w:type="dxa"/>
            <w:vAlign w:val="bottom"/>
          </w:tcPr>
          <w:p>
            <w:pPr>
              <w:spacing w:after="0"/>
              <w:rPr>
                <w:sz w:val="1"/>
                <w:szCs w:val="1"/>
                <w:color w:val="auto"/>
              </w:rPr>
            </w:pPr>
          </w:p>
        </w:tc>
      </w:tr>
      <w:tr>
        <w:trPr>
          <w:trHeight w:val="222"/>
        </w:trPr>
        <w:tc>
          <w:tcPr>
            <w:tcW w:w="7500" w:type="dxa"/>
            <w:vAlign w:val="bottom"/>
          </w:tcPr>
          <w:p>
            <w:pPr>
              <w:ind w:left="440"/>
              <w:spacing w:after="0"/>
              <w:rPr>
                <w:sz w:val="20"/>
                <w:szCs w:val="20"/>
                <w:color w:val="auto"/>
              </w:rPr>
            </w:pPr>
            <w:r>
              <w:rPr>
                <w:rFonts w:ascii="Arial" w:cs="Arial" w:eastAsia="Arial" w:hAnsi="Arial"/>
                <w:sz w:val="18"/>
                <w:szCs w:val="18"/>
                <w:color w:val="auto"/>
              </w:rPr>
              <w:t>Schlumberger Offshore Services N.V. (Limited), Netherlands Antilles (a)</w:t>
            </w:r>
          </w:p>
        </w:tc>
        <w:tc>
          <w:tcPr>
            <w:tcW w:w="2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500" w:type="dxa"/>
            <w:vAlign w:val="bottom"/>
          </w:tcPr>
          <w:p>
            <w:pPr>
              <w:spacing w:after="0"/>
              <w:rPr>
                <w:sz w:val="20"/>
                <w:szCs w:val="20"/>
                <w:color w:val="auto"/>
              </w:rPr>
            </w:pPr>
            <w:r>
              <w:rPr>
                <w:rFonts w:ascii="Arial" w:cs="Arial" w:eastAsia="Arial" w:hAnsi="Arial"/>
                <w:sz w:val="18"/>
                <w:szCs w:val="18"/>
                <w:color w:val="auto"/>
              </w:rPr>
              <w:t>Schlumberger Oilfield Holdings Limited, BVI (c)</w:t>
            </w:r>
          </w:p>
        </w:tc>
        <w:tc>
          <w:tcPr>
            <w:tcW w:w="2780" w:type="dxa"/>
            <w:vAlign w:val="bottom"/>
          </w:tcPr>
          <w:p>
            <w:pPr>
              <w:spacing w:after="0"/>
              <w:rPr>
                <w:sz w:val="24"/>
                <w:szCs w:val="24"/>
                <w:color w:val="auto"/>
              </w:rPr>
            </w:pP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119(a)</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80" w:type="dxa"/>
            <w:vAlign w:val="bottom"/>
          </w:tcPr>
          <w:p>
            <w:pPr>
              <w:jc w:val="right"/>
              <w:ind w:right="116"/>
              <w:spacing w:after="0" w:line="217" w:lineRule="exact"/>
              <w:rPr>
                <w:sz w:val="20"/>
                <w:szCs w:val="20"/>
                <w:color w:val="auto"/>
              </w:rPr>
            </w:pPr>
            <w:r>
              <w:rPr>
                <w:rFonts w:ascii="Arial" w:cs="Arial" w:eastAsia="Arial" w:hAnsi="Arial"/>
                <w:sz w:val="18"/>
                <w:szCs w:val="18"/>
                <w:color w:val="auto"/>
              </w:rPr>
              <w:t>29(b)</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22"/>
        </w:trPr>
        <w:tc>
          <w:tcPr>
            <w:tcW w:w="7500" w:type="dxa"/>
            <w:vAlign w:val="bottom"/>
            <w:vMerge w:val="restart"/>
          </w:tcPr>
          <w:p>
            <w:pPr>
              <w:ind w:left="440"/>
              <w:spacing w:after="0"/>
              <w:rPr>
                <w:sz w:val="20"/>
                <w:szCs w:val="20"/>
                <w:color w:val="auto"/>
              </w:rPr>
            </w:pPr>
            <w:r>
              <w:rPr>
                <w:rFonts w:ascii="Arial" w:cs="Arial" w:eastAsia="Arial" w:hAnsi="Arial"/>
                <w:sz w:val="18"/>
                <w:szCs w:val="18"/>
                <w:color w:val="auto"/>
              </w:rPr>
              <w:t>Dowell Schlumberger Corporation, BVI (a)</w:t>
            </w:r>
          </w:p>
        </w:tc>
        <w:tc>
          <w:tcPr>
            <w:tcW w:w="2780" w:type="dxa"/>
            <w:vAlign w:val="bottom"/>
          </w:tcPr>
          <w:p>
            <w:pPr>
              <w:spacing w:after="0"/>
              <w:rPr>
                <w:sz w:val="19"/>
                <w:szCs w:val="19"/>
                <w:color w:val="auto"/>
              </w:rPr>
            </w:pP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9(c)</w:t>
            </w:r>
          </w:p>
        </w:tc>
        <w:tc>
          <w:tcPr>
            <w:tcW w:w="0" w:type="dxa"/>
            <w:vAlign w:val="bottom"/>
          </w:tcPr>
          <w:p>
            <w:pPr>
              <w:spacing w:after="0"/>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Schlumberger Holdings Limited, BVI (a)</w:t>
            </w: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Schlumberger Middle East S.A., Panama (a)</w:t>
            </w: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Schlumberger Oilfield UK Plc, UK (a)</w:t>
            </w: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Schlumberger Overseas, S.A., Panama (a)</w:t>
            </w: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440"/>
              <w:spacing w:after="0"/>
              <w:rPr>
                <w:sz w:val="20"/>
                <w:szCs w:val="20"/>
                <w:color w:val="auto"/>
              </w:rPr>
            </w:pPr>
            <w:r>
              <w:rPr>
                <w:rFonts w:ascii="Arial" w:cs="Arial" w:eastAsia="Arial" w:hAnsi="Arial"/>
                <w:sz w:val="18"/>
                <w:szCs w:val="18"/>
                <w:color w:val="auto"/>
              </w:rPr>
              <w:t>Schlumberger Plc, UK (c)</w:t>
            </w:r>
          </w:p>
        </w:tc>
        <w:tc>
          <w:tcPr>
            <w:tcW w:w="2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Pr>
          <w:p>
            <w:pPr>
              <w:ind w:left="440"/>
              <w:spacing w:after="0"/>
              <w:rPr>
                <w:sz w:val="20"/>
                <w:szCs w:val="20"/>
                <w:color w:val="auto"/>
              </w:rPr>
            </w:pPr>
            <w:r>
              <w:rPr>
                <w:rFonts w:ascii="Arial" w:cs="Arial" w:eastAsia="Arial" w:hAnsi="Arial"/>
                <w:sz w:val="18"/>
                <w:szCs w:val="18"/>
                <w:color w:val="auto"/>
              </w:rPr>
              <w:t>Schlumberger Seaco, Inc., Panama (a)</w:t>
            </w:r>
          </w:p>
        </w:tc>
        <w:tc>
          <w:tcPr>
            <w:tcW w:w="2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Schlumberger Surenco, S.A., Panama (a)</w:t>
            </w: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440"/>
              <w:spacing w:after="0"/>
              <w:rPr>
                <w:sz w:val="20"/>
                <w:szCs w:val="20"/>
                <w:color w:val="auto"/>
              </w:rPr>
            </w:pPr>
            <w:r>
              <w:rPr>
                <w:rFonts w:ascii="Arial" w:cs="Arial" w:eastAsia="Arial" w:hAnsi="Arial"/>
                <w:sz w:val="18"/>
                <w:szCs w:val="18"/>
                <w:color w:val="auto"/>
              </w:rPr>
              <w:t>WesternGeco Limited, UK (b)</w:t>
            </w: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440"/>
              <w:spacing w:after="0"/>
              <w:rPr>
                <w:sz w:val="20"/>
                <w:szCs w:val="20"/>
                <w:color w:val="auto"/>
              </w:rPr>
            </w:pPr>
            <w:r>
              <w:rPr>
                <w:rFonts w:ascii="Arial" w:cs="Arial" w:eastAsia="Arial" w:hAnsi="Arial"/>
                <w:sz w:val="18"/>
                <w:szCs w:val="18"/>
                <w:color w:val="auto"/>
              </w:rPr>
              <w:t>WesternGeco Seismic Holdings Limited, BVI (b)</w:t>
            </w:r>
          </w:p>
        </w:tc>
        <w:tc>
          <w:tcPr>
            <w:tcW w:w="2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500" w:type="dxa"/>
            <w:vAlign w:val="bottom"/>
          </w:tcPr>
          <w:p>
            <w:pPr>
              <w:spacing w:after="0"/>
              <w:rPr>
                <w:sz w:val="20"/>
                <w:szCs w:val="20"/>
                <w:color w:val="auto"/>
              </w:rPr>
            </w:pPr>
            <w:r>
              <w:rPr>
                <w:rFonts w:ascii="Arial" w:cs="Arial" w:eastAsia="Arial" w:hAnsi="Arial"/>
                <w:sz w:val="18"/>
                <w:szCs w:val="18"/>
                <w:color w:val="auto"/>
              </w:rPr>
              <w:t>Schlumberger Technology Corporation, Texas (c)</w:t>
            </w:r>
          </w:p>
        </w:tc>
        <w:tc>
          <w:tcPr>
            <w:tcW w:w="2780" w:type="dxa"/>
            <w:vAlign w:val="bottom"/>
          </w:tcPr>
          <w:p>
            <w:pPr>
              <w:ind w:left="2060"/>
              <w:spacing w:after="0"/>
              <w:rPr>
                <w:sz w:val="20"/>
                <w:szCs w:val="20"/>
                <w:color w:val="auto"/>
              </w:rPr>
            </w:pPr>
            <w:r>
              <w:rPr>
                <w:rFonts w:ascii="Arial" w:cs="Arial" w:eastAsia="Arial" w:hAnsi="Arial"/>
                <w:sz w:val="18"/>
                <w:szCs w:val="18"/>
                <w:color w:val="auto"/>
              </w:rPr>
              <w:t>7(a)</w:t>
            </w:r>
            <w:r>
              <w:rPr>
                <w:rFonts w:ascii="Arial" w:cs="Arial" w:eastAsia="Arial" w:hAnsi="Arial"/>
                <w:sz w:val="22"/>
                <w:szCs w:val="22"/>
                <w:color w:val="auto"/>
                <w:vertAlign w:val="superscript"/>
              </w:rPr>
              <w:t>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18"/>
                <w:szCs w:val="18"/>
                <w:color w:val="auto"/>
              </w:rPr>
            </w:pPr>
          </w:p>
        </w:tc>
        <w:tc>
          <w:tcPr>
            <w:tcW w:w="2780" w:type="dxa"/>
            <w:vAlign w:val="bottom"/>
          </w:tcPr>
          <w:p>
            <w:pPr>
              <w:ind w:left="2060"/>
              <w:spacing w:after="0"/>
              <w:rPr>
                <w:sz w:val="20"/>
                <w:szCs w:val="20"/>
                <w:color w:val="auto"/>
              </w:rPr>
            </w:pPr>
            <w:r>
              <w:rPr>
                <w:rFonts w:ascii="Arial" w:cs="Arial" w:eastAsia="Arial" w:hAnsi="Arial"/>
                <w:sz w:val="18"/>
                <w:szCs w:val="18"/>
                <w:color w:val="auto"/>
              </w:rPr>
              <w:t>3(b)</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vMerge w:val="restart"/>
          </w:tcPr>
          <w:p>
            <w:pPr>
              <w:ind w:left="440"/>
              <w:spacing w:after="0"/>
              <w:rPr>
                <w:sz w:val="20"/>
                <w:szCs w:val="20"/>
                <w:color w:val="auto"/>
              </w:rPr>
            </w:pPr>
            <w:r>
              <w:rPr>
                <w:rFonts w:ascii="Arial" w:cs="Arial" w:eastAsia="Arial" w:hAnsi="Arial"/>
                <w:sz w:val="18"/>
                <w:szCs w:val="18"/>
                <w:color w:val="auto"/>
              </w:rPr>
              <w:t>WesternGeco L.L.C., Delaware (b)</w:t>
            </w:r>
          </w:p>
        </w:tc>
        <w:tc>
          <w:tcPr>
            <w:tcW w:w="2780" w:type="dxa"/>
            <w:vAlign w:val="bottom"/>
          </w:tcPr>
          <w:p>
            <w:pPr>
              <w:ind w:left="2060"/>
              <w:spacing w:after="0"/>
              <w:rPr>
                <w:sz w:val="20"/>
                <w:szCs w:val="20"/>
                <w:color w:val="auto"/>
              </w:rPr>
            </w:pPr>
            <w:r>
              <w:rPr>
                <w:rFonts w:ascii="Arial" w:cs="Arial" w:eastAsia="Arial" w:hAnsi="Arial"/>
                <w:sz w:val="18"/>
                <w:szCs w:val="18"/>
                <w:color w:val="auto"/>
              </w:rPr>
              <w:t>3(c)</w:t>
            </w:r>
          </w:p>
        </w:tc>
        <w:tc>
          <w:tcPr>
            <w:tcW w:w="1080" w:type="dxa"/>
            <w:vAlign w:val="bottom"/>
          </w:tcPr>
          <w:p>
            <w:pPr>
              <w:jc w:val="right"/>
              <w:spacing w:after="0"/>
              <w:rPr>
                <w:sz w:val="20"/>
                <w:szCs w:val="20"/>
                <w:color w:val="auto"/>
              </w:rPr>
            </w:pPr>
            <w:r>
              <w:rPr>
                <w:rFonts w:ascii="Arial" w:cs="Arial" w:eastAsia="Arial" w:hAnsi="Arial"/>
                <w:sz w:val="18"/>
                <w:szCs w:val="18"/>
                <w:color w:val="auto"/>
              </w:rPr>
              <w:t>1(b)</w:t>
            </w:r>
          </w:p>
        </w:tc>
        <w:tc>
          <w:tcPr>
            <w:tcW w:w="0" w:type="dxa"/>
            <w:vAlign w:val="bottom"/>
          </w:tcPr>
          <w:p>
            <w:pPr>
              <w:spacing w:after="0"/>
              <w:rPr>
                <w:sz w:val="1"/>
                <w:szCs w:val="1"/>
                <w:color w:val="auto"/>
              </w:rPr>
            </w:pPr>
          </w:p>
        </w:tc>
      </w:tr>
      <w:tr>
        <w:trPr>
          <w:trHeight w:val="216"/>
        </w:trPr>
        <w:tc>
          <w:tcPr>
            <w:tcW w:w="7500" w:type="dxa"/>
            <w:vAlign w:val="bottom"/>
            <w:vMerge w:val="continue"/>
          </w:tcPr>
          <w:p>
            <w:pPr>
              <w:spacing w:after="0"/>
              <w:rPr>
                <w:sz w:val="18"/>
                <w:szCs w:val="18"/>
                <w:color w:val="auto"/>
              </w:rPr>
            </w:pPr>
          </w:p>
        </w:tc>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two majority-owned subsidiaries and one 50%-owned subsidiary.</w:t>
      </w:r>
    </w:p>
    <w:p>
      <w:pPr>
        <w:spacing w:after="0"/>
        <w:rPr>
          <w:rFonts w:ascii="Arial" w:cs="Arial" w:eastAsia="Arial" w:hAnsi="Arial"/>
          <w:sz w:val="14"/>
          <w:szCs w:val="14"/>
          <w:color w:val="auto"/>
        </w:rPr>
      </w:pPr>
      <w:r>
        <w:rPr>
          <w:rFonts w:ascii="Arial" w:cs="Arial" w:eastAsia="Arial" w:hAnsi="Arial"/>
          <w:sz w:val="14"/>
          <w:szCs w:val="14"/>
          <w:color w:val="auto"/>
        </w:rPr>
        <w:t>2</w:t>
      </w:r>
      <w:r>
        <w:rPr>
          <w:rFonts w:ascii="Arial" w:cs="Arial" w:eastAsia="Arial" w:hAnsi="Arial"/>
          <w:sz w:val="12"/>
          <w:szCs w:val="12"/>
          <w:color w:val="auto"/>
        </w:rPr>
        <w:t>Includes one majority-owned subsidiary and one 50%-owned subsidiary.</w:t>
      </w:r>
    </w:p>
    <w:p>
      <w:pPr>
        <w:ind w:right="6900"/>
        <w:spacing w:after="0" w:line="221" w:lineRule="auto"/>
        <w:rPr>
          <w:rFonts w:ascii="Arial" w:cs="Arial" w:eastAsia="Arial" w:hAnsi="Arial"/>
          <w:sz w:val="14"/>
          <w:szCs w:val="14"/>
          <w:color w:val="auto"/>
        </w:rPr>
      </w:pPr>
      <w:r>
        <w:rPr>
          <w:rFonts w:ascii="Arial" w:cs="Arial" w:eastAsia="Arial" w:hAnsi="Arial"/>
          <w:sz w:val="14"/>
          <w:szCs w:val="14"/>
          <w:color w:val="auto"/>
        </w:rPr>
        <w:t>3 Includes two majority-owned subsidiaries and three 50%-owned subsidiaries. 4 Includes one majority-owned subsidiary.</w:t>
      </w:r>
    </w:p>
    <w:p>
      <w:pPr>
        <w:spacing w:after="0"/>
        <w:rPr>
          <w:rFonts w:ascii="Arial" w:cs="Arial" w:eastAsia="Arial" w:hAnsi="Arial"/>
          <w:sz w:val="14"/>
          <w:szCs w:val="14"/>
          <w:color w:val="auto"/>
        </w:rPr>
      </w:pPr>
      <w:r>
        <w:rPr>
          <w:rFonts w:ascii="Arial" w:cs="Arial" w:eastAsia="Arial" w:hAnsi="Arial"/>
          <w:sz w:val="14"/>
          <w:szCs w:val="14"/>
          <w:color w:val="auto"/>
        </w:rPr>
        <w:t>5</w:t>
      </w:r>
      <w:r>
        <w:rPr>
          <w:rFonts w:ascii="Arial" w:cs="Arial" w:eastAsia="Arial" w:hAnsi="Arial"/>
          <w:sz w:val="12"/>
          <w:szCs w:val="12"/>
          <w:color w:val="auto"/>
        </w:rPr>
        <w:t>Includes one majority-owned subsidiary and one 50%-owned subsidiary.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269"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33-35606; 33-86424; 333-40227; 333-62545; 333-36366; 333-36364; 333-67330; 333-104225; 333-115277; 333-124534), Form S-3 (Nos. 333-108730, 333-124541 and 333-134300) and on Form S-4 (No. 333-97899) of Schlumberger Limited of our report dated February 16, 2007 relating to the consolidated financial statements, management’s assessment of the effectiveness of internal control over financial reporting and the effectiveness of internal control over financial reporting, which appears in this Form 10-K.</w:t>
      </w:r>
    </w:p>
    <w:p>
      <w:pPr>
        <w:spacing w:after="0" w:line="9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3550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2007</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269"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24.1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5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Jean-Marc Perraud, Howard Guild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2006,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1420"/>
          </w:cols>
          <w:pgMar w:left="240" w:top="269" w:right="239" w:bottom="1440" w:gutter="0" w:footer="0" w:header="0"/>
        </w:sectPr>
      </w:pPr>
    </w:p>
    <w:p>
      <w:pPr>
        <w:spacing w:after="0" w:line="226"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John Deutch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Chairman and Chief Executive Officer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18, 2007</w:t>
      </w:r>
    </w:p>
    <w:p>
      <w:pPr>
        <w:spacing w:after="0" w:line="155" w:lineRule="exact"/>
        <w:rPr>
          <w:sz w:val="20"/>
          <w:szCs w:val="20"/>
          <w:color w:val="auto"/>
        </w:rPr>
      </w:pPr>
    </w:p>
    <w:p>
      <w:pPr>
        <w:jc w:val="right"/>
        <w:ind w:right="1500"/>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André Lévy-Lang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/s/ 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80010</wp:posOffset>
            </wp:positionV>
            <wp:extent cx="321564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Tore Sandvold</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Nicolas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7280" w:space="720"/>
            <w:col w:w="3420"/>
          </w:cols>
          <w:pgMar w:left="240" w:top="269" w:right="2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24.2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5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Jean-Marc Perraud, Howard Guild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2006,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2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 Didier 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Rana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Rana Talwar</w:t>
      </w:r>
    </w:p>
    <w:p>
      <w:pPr>
        <w:spacing w:after="0" w:line="1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Director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31, 2007</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269"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420" w:hanging="184"/>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right="660" w:firstLine="236"/>
        <w:spacing w:after="0" w:line="370" w:lineRule="auto"/>
        <w:tabs>
          <w:tab w:leader="none" w:pos="404"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 w:firstLine="236"/>
        <w:spacing w:after="0" w:line="268" w:lineRule="auto"/>
        <w:tabs>
          <w:tab w:leader="none" w:pos="4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80" w:firstLine="236"/>
        <w:spacing w:after="0" w:line="259" w:lineRule="auto"/>
        <w:tabs>
          <w:tab w:leader="none" w:pos="4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February 16,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28981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269"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420" w:hanging="184"/>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right="660" w:firstLine="236"/>
        <w:spacing w:after="0" w:line="370" w:lineRule="auto"/>
        <w:tabs>
          <w:tab w:leader="none" w:pos="404"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0" w:firstLine="236"/>
        <w:spacing w:after="0" w:line="268" w:lineRule="auto"/>
        <w:tabs>
          <w:tab w:leader="none" w:pos="4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80" w:firstLine="236"/>
        <w:spacing w:after="0" w:line="259" w:lineRule="auto"/>
        <w:tabs>
          <w:tab w:leader="none" w:pos="4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40" w:hanging="446"/>
        <w:spacing w:after="0" w:line="325"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8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February 16, 2007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28981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269"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connection with the Annual Report of Schlumberger N.V. (Schlumberger Limited) (the “Company”) on Form 10-K for the year ended December 31, 2006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February 16, 2007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43522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jc w:val="both"/>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269"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connection with the Annual Report of Schlumberger N.V. (Schlumberger Limited) (the “Company”) on Form 10-K for the year ended December 31, 2006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380" w:val="left"/>
          <w:tab w:leader="none" w:pos="6740" w:val="left"/>
        </w:tabs>
        <w:rPr>
          <w:sz w:val="20"/>
          <w:szCs w:val="20"/>
          <w:color w:val="auto"/>
        </w:rPr>
      </w:pPr>
      <w:r>
        <w:rPr>
          <w:rFonts w:ascii="Arial" w:cs="Arial" w:eastAsia="Arial" w:hAnsi="Arial"/>
          <w:sz w:val="18"/>
          <w:szCs w:val="18"/>
          <w:color w:val="auto"/>
        </w:rPr>
        <w:t>Date: February 16, 2007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jc w:val="both"/>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upperLetter"/>
      <w:start w:val="1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endash "/>
      <w:numFmt w:val="bullet"/>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2"/>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1."/>
      <w:numFmt w:val="decimal"/>
      <w:start w:val="3"/>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4"/>
    </w:lvl>
  </w:abstractNum>
  <w:abstractNum w:abstractNumId="21">
    <w:nsid w:val="419AC241"/>
    <w:multiLevelType w:val="hybridMultilevel"/>
    <w:lvl w:ilvl="0">
      <w:lvlJc w:val="left"/>
      <w:lvlText w:val="%1."/>
      <w:numFmt w:val="decimal"/>
      <w:start w:val="5"/>
    </w:lvl>
  </w:abstractNum>
  <w:abstractNum w:abstractNumId="22">
    <w:nsid w:val="5577F8E1"/>
    <w:multiLevelType w:val="hybridMultilevel"/>
    <w:lvl w:ilvl="0">
      <w:lvlJc w:val="left"/>
      <w:lvlText w:val="%1."/>
      <w:numFmt w:val="decimal"/>
      <w:start w:val="9"/>
    </w:lvl>
  </w:abstractNum>
  <w:abstractNum w:abstractNumId="23">
    <w:nsid w:val="440BADFC"/>
    <w:multiLevelType w:val="hybridMultilevel"/>
    <w:lvl w:ilvl="0">
      <w:lvlJc w:val="left"/>
      <w:lvlText w:val="%1."/>
      <w:numFmt w:val="decimal"/>
      <w:start w:val="10"/>
    </w:lvl>
  </w:abstractNum>
  <w:abstractNum w:abstractNumId="24">
    <w:nsid w:val="5072367"/>
    <w:multiLevelType w:val="hybridMultilevel"/>
    <w:lvl w:ilvl="0">
      <w:lvlJc w:val="left"/>
      <w:lvlText w:val="%1."/>
      <w:numFmt w:val="decimal"/>
      <w:start w:val="11"/>
    </w:lvl>
  </w:abstractNum>
  <w:abstractNum w:abstractNumId="25">
    <w:nsid w:val="3804823E"/>
    <w:multiLevelType w:val="hybridMultilevel"/>
    <w:lvl w:ilvl="0">
      <w:lvlJc w:val="left"/>
      <w:lvlText w:val="%1."/>
      <w:numFmt w:val="decimal"/>
      <w:start w:val="13"/>
    </w:lvl>
  </w:abstractNum>
  <w:abstractNum w:abstractNumId="26">
    <w:nsid w:val="77465F01"/>
    <w:multiLevelType w:val="hybridMultilevel"/>
    <w:lvl w:ilvl="0">
      <w:lvlJc w:val="left"/>
      <w:lvlText w:val="%1."/>
      <w:numFmt w:val="decimal"/>
      <w:start w:val="14"/>
    </w:lvl>
  </w:abstractNum>
  <w:abstractNum w:abstractNumId="27">
    <w:nsid w:val="7724C67E"/>
    <w:multiLevelType w:val="hybridMultilevel"/>
    <w:lvl w:ilvl="0">
      <w:lvlJc w:val="left"/>
      <w:lvlText w:val="%1."/>
      <w:numFmt w:val="decimal"/>
      <w:start w:val="15"/>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6"/>
    </w:lvl>
  </w:abstractNum>
  <w:abstractNum w:abstractNumId="32">
    <w:nsid w:val="2D517796"/>
    <w:multiLevelType w:val="hybridMultilevel"/>
    <w:lvl w:ilvl="0">
      <w:lvlJc w:val="left"/>
      <w:lvlText w:val="%1."/>
      <w:numFmt w:val="decimal"/>
      <w:start w:val="17"/>
    </w:lvl>
  </w:abstractNum>
  <w:abstractNum w:abstractNumId="33">
    <w:nsid w:val="580BD78F"/>
    <w:multiLevelType w:val="hybridMultilevel"/>
    <w:lvl w:ilvl="0">
      <w:lvlJc w:val="left"/>
      <w:lvlText w:val="%1."/>
      <w:numFmt w:val="decimal"/>
      <w:start w:val="18"/>
    </w:lvl>
  </w:abstractNum>
  <w:abstractNum w:abstractNumId="34">
    <w:nsid w:val="153EA438"/>
    <w:multiLevelType w:val="hybridMultilevel"/>
    <w:lvl w:ilvl="0">
      <w:lvlJc w:val="left"/>
      <w:lvlText w:val="%1."/>
      <w:numFmt w:val="decimal"/>
      <w:start w:val="19"/>
    </w:lvl>
  </w:abstractNum>
  <w:abstractNum w:abstractNumId="35">
    <w:nsid w:val="3855585C"/>
    <w:multiLevelType w:val="hybridMultilevel"/>
    <w:lvl w:ilvl="0">
      <w:lvlJc w:val="left"/>
      <w:lvlText w:val="%1."/>
      <w:numFmt w:val="decimal"/>
      <w:start w:val="20"/>
    </w:lvl>
  </w:abstractNum>
  <w:abstractNum w:abstractNumId="36">
    <w:nsid w:val="70A64E2A"/>
    <w:multiLevelType w:val="hybridMultilevel"/>
    <w:lvl w:ilvl="0">
      <w:lvlJc w:val="left"/>
      <w:lvlText w:val="1"/>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2"/>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2019-12-13T06:41:12Z</dcterms:created>
  <dcterms:modified xsi:type="dcterms:W3CDTF">2019-12-13T06:41:12Z</dcterms:modified>
</cp:coreProperties>
</file>